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CEF8B">
      <w:pPr>
        <w:keepNext w:val="0"/>
        <w:pageBreakBefore w:val="0"/>
        <w:wordWrap/>
        <w:overflowPunct/>
        <w:topLinePunct w:val="0"/>
        <w:bidi w:val="0"/>
        <w:spacing w:line="360" w:lineRule="auto"/>
        <w:ind w:firstLine="880" w:firstLineChars="200"/>
        <w:jc w:val="center"/>
        <w:outlineLvl w:val="0"/>
        <w:rPr>
          <w:rFonts w:hint="eastAsia" w:ascii="楷体" w:hAnsi="楷体" w:eastAsia="楷体" w:cs="楷体"/>
          <w:sz w:val="44"/>
          <w:szCs w:val="44"/>
          <w:lang w:val="en-US" w:eastAsia="zh-CN"/>
        </w:rPr>
      </w:pPr>
      <w:r>
        <w:rPr>
          <w:rFonts w:hint="eastAsia" w:ascii="楷体" w:hAnsi="楷体" w:eastAsia="楷体" w:cs="楷体"/>
          <w:sz w:val="44"/>
          <w:szCs w:val="44"/>
          <w:lang w:val="en-US" w:eastAsia="zh-CN"/>
        </w:rPr>
        <w:t>武汉市护理质量数据上报平台升级改造项目</w:t>
      </w:r>
    </w:p>
    <w:p w14:paraId="792E481D">
      <w:pPr>
        <w:keepNext w:val="0"/>
        <w:pageBreakBefore w:val="0"/>
        <w:wordWrap/>
        <w:overflowPunct/>
        <w:topLinePunct w:val="0"/>
        <w:bidi w:val="0"/>
        <w:spacing w:line="360" w:lineRule="auto"/>
        <w:ind w:firstLine="640" w:firstLineChars="200"/>
        <w:outlineLvl w:val="0"/>
        <w:rPr>
          <w:rFonts w:hint="eastAsia" w:ascii="楷体" w:hAnsi="楷体" w:eastAsia="楷体" w:cs="楷体"/>
          <w:b w:val="0"/>
          <w:bCs/>
          <w:sz w:val="32"/>
          <w:szCs w:val="32"/>
          <w:lang w:val="en-US" w:eastAsia="zh-CN"/>
        </w:rPr>
      </w:pPr>
      <w:r>
        <w:rPr>
          <w:rFonts w:hint="eastAsia" w:ascii="楷体" w:hAnsi="楷体" w:eastAsia="楷体" w:cs="楷体"/>
          <w:sz w:val="32"/>
          <w:szCs w:val="32"/>
          <w:lang w:val="en-US" w:eastAsia="zh-CN"/>
        </w:rPr>
        <w:t>（一）项目背景</w:t>
      </w:r>
    </w:p>
    <w:p w14:paraId="5CFE3FA4">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outlineLvl w:val="9"/>
        <w:rPr>
          <w:rFonts w:hint="eastAsia" w:ascii="仿宋_GB2312" w:hAnsi="Arial" w:eastAsia="仿宋_GB2312" w:cs="Arial"/>
          <w:snapToGrid w:val="0"/>
          <w:color w:val="000000"/>
          <w:kern w:val="0"/>
          <w:sz w:val="32"/>
          <w:szCs w:val="32"/>
        </w:rPr>
      </w:pPr>
      <w:r>
        <w:rPr>
          <w:rFonts w:hint="eastAsia" w:ascii="仿宋_GB2312" w:hAnsi="Arial" w:eastAsia="仿宋_GB2312" w:cs="Arial"/>
          <w:snapToGrid w:val="0"/>
          <w:color w:val="000000"/>
          <w:kern w:val="0"/>
          <w:sz w:val="32"/>
          <w:szCs w:val="32"/>
        </w:rPr>
        <w:t xml:space="preserve">我院护理部作为武汉市护理质量控制中心，在省护理质控中心和市卫健委指导下，承担着对全市各级各类医疗机构护理质量“结构—过程—结果”全过程指标监测与评价的职责。2018 年建成的“武汉市护理质量数据上报平台”（以下简称“市平台”）实现了护理质量数据的在线采集、审核、统计，为总结《武汉市护理质量指标分析报告》提供依据，有效支撑了护理质量持续改进与同质化发展。 </w:t>
      </w:r>
    </w:p>
    <w:p w14:paraId="187182FE">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outlineLvl w:val="9"/>
        <w:rPr>
          <w:rFonts w:hint="eastAsia" w:ascii="仿宋_GB2312" w:hAnsi="Arial" w:eastAsia="仿宋_GB2312" w:cs="Arial"/>
          <w:snapToGrid w:val="0"/>
          <w:color w:val="000000"/>
          <w:kern w:val="0"/>
          <w:sz w:val="32"/>
          <w:szCs w:val="32"/>
        </w:rPr>
      </w:pPr>
      <w:r>
        <w:rPr>
          <w:rFonts w:hint="eastAsia" w:ascii="仿宋_GB2312" w:hAnsi="Arial" w:eastAsia="仿宋_GB2312" w:cs="Arial"/>
          <w:snapToGrid w:val="0"/>
          <w:color w:val="000000"/>
          <w:kern w:val="0"/>
          <w:sz w:val="32"/>
          <w:szCs w:val="32"/>
        </w:rPr>
        <w:t>随着国家及省级护理质控管理要求的更新，市平台在功能与安全方面已难以满足现实需要，主要存在以下问题：一是用户角色权限、数据上报指标、数据统计分析等功能模块方面不完善，与实际业务管理</w:t>
      </w:r>
      <w:r>
        <w:rPr>
          <w:rFonts w:hint="eastAsia" w:ascii="仿宋_GB2312" w:hAnsi="Arial" w:eastAsia="仿宋_GB2312" w:cs="Arial"/>
          <w:snapToGrid w:val="0"/>
          <w:color w:val="000000"/>
          <w:kern w:val="0"/>
          <w:sz w:val="32"/>
          <w:szCs w:val="32"/>
          <w:lang w:eastAsia="zh-CN"/>
        </w:rPr>
        <w:t>需求</w:t>
      </w:r>
      <w:r>
        <w:rPr>
          <w:rFonts w:hint="eastAsia" w:ascii="仿宋_GB2312" w:hAnsi="Arial" w:eastAsia="仿宋_GB2312" w:cs="Arial"/>
          <w:snapToGrid w:val="0"/>
          <w:color w:val="000000"/>
          <w:kern w:val="0"/>
          <w:sz w:val="32"/>
          <w:szCs w:val="32"/>
        </w:rPr>
        <w:t xml:space="preserve">不匹配，需要新增相关系统功能；二是系统基于早期架构开发，扩展性差，存在一定安全隐患问题，需要重构市平台架构，完成系统代码改造，加强安全保障措施，提升信息安全防护能力。 </w:t>
      </w:r>
    </w:p>
    <w:p w14:paraId="724E1AE8">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outlineLvl w:val="9"/>
        <w:rPr>
          <w:rFonts w:hint="eastAsia" w:ascii="楷体" w:hAnsi="楷体" w:eastAsia="楷体" w:cs="楷体"/>
          <w:sz w:val="32"/>
          <w:szCs w:val="32"/>
          <w:lang w:val="en-US" w:eastAsia="zh-CN"/>
        </w:rPr>
      </w:pPr>
      <w:r>
        <w:rPr>
          <w:rFonts w:hint="eastAsia" w:ascii="仿宋_GB2312" w:hAnsi="Arial" w:eastAsia="仿宋_GB2312" w:cs="Arial"/>
          <w:snapToGrid w:val="0"/>
          <w:color w:val="000000"/>
          <w:kern w:val="0"/>
          <w:sz w:val="32"/>
          <w:szCs w:val="32"/>
        </w:rPr>
        <w:t>通过本次改造，市平台将进一步发挥武汉市护理质量质控中心“桥梁纽带、辐射带动”作用，全面提升武汉市护理质量管理标准化、数据精细化、服务同质化水平，为打造区域护理质量高地提供坚实的信息化支撑。</w:t>
      </w:r>
    </w:p>
    <w:p w14:paraId="418A7A6D">
      <w:pPr>
        <w:keepNext w:val="0"/>
        <w:pageBreakBefore w:val="0"/>
        <w:wordWrap/>
        <w:overflowPunct/>
        <w:topLinePunct w:val="0"/>
        <w:bidi w:val="0"/>
        <w:spacing w:line="360" w:lineRule="auto"/>
        <w:ind w:firstLine="640" w:firstLineChars="200"/>
        <w:outlineLvl w:val="0"/>
        <w:rPr>
          <w:rFonts w:hint="eastAsia" w:ascii="仿宋_GB2312" w:hAnsi="仿宋_GB2312" w:eastAsia="仿宋_GB2312" w:cs="仿宋_GB2312"/>
          <w:b w:val="0"/>
          <w:bCs/>
          <w:sz w:val="30"/>
          <w:szCs w:val="30"/>
          <w:lang w:val="en-US" w:eastAsia="zh-CN"/>
        </w:rPr>
      </w:pPr>
      <w:r>
        <w:rPr>
          <w:rFonts w:hint="eastAsia" w:ascii="楷体" w:hAnsi="楷体" w:eastAsia="楷体" w:cs="楷体"/>
          <w:sz w:val="32"/>
          <w:szCs w:val="32"/>
          <w:lang w:val="en-US" w:eastAsia="zh-CN"/>
        </w:rPr>
        <w:t>（二）功能需求清单</w:t>
      </w:r>
    </w:p>
    <w:tbl>
      <w:tblPr>
        <w:tblStyle w:val="2"/>
        <w:tblW w:w="9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11"/>
        <w:gridCol w:w="1268"/>
        <w:gridCol w:w="7558"/>
      </w:tblGrid>
      <w:tr w14:paraId="3B917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1" w:hRule="atLeast"/>
        </w:trPr>
        <w:tc>
          <w:tcPr>
            <w:tcW w:w="10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83BE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w:t>
            </w:r>
          </w:p>
          <w:p w14:paraId="536BC95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功能点</w:t>
            </w:r>
          </w:p>
        </w:tc>
        <w:tc>
          <w:tcPr>
            <w:tcW w:w="1268" w:type="dxa"/>
            <w:tcBorders>
              <w:top w:val="single" w:color="000000" w:sz="4" w:space="0"/>
              <w:left w:val="single" w:color="000000" w:sz="4" w:space="0"/>
              <w:bottom w:val="nil"/>
              <w:right w:val="single" w:color="000000" w:sz="4" w:space="0"/>
            </w:tcBorders>
            <w:shd w:val="clear" w:color="auto" w:fill="FFFFFF"/>
            <w:noWrap w:val="0"/>
            <w:vAlign w:val="center"/>
          </w:tcPr>
          <w:p w14:paraId="1BD3C67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二级功能点</w:t>
            </w:r>
          </w:p>
        </w:tc>
        <w:tc>
          <w:tcPr>
            <w:tcW w:w="7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C27F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功能点说明</w:t>
            </w:r>
          </w:p>
        </w:tc>
      </w:tr>
      <w:tr w14:paraId="5E996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8" w:hRule="atLeast"/>
        </w:trPr>
        <w:tc>
          <w:tcPr>
            <w:tcW w:w="1011" w:type="dxa"/>
            <w:tcBorders>
              <w:top w:val="single" w:color="000000" w:sz="4" w:space="0"/>
              <w:left w:val="single" w:color="000000" w:sz="4" w:space="0"/>
              <w:bottom w:val="single" w:color="auto" w:sz="4" w:space="0"/>
              <w:right w:val="single" w:color="000000" w:sz="4" w:space="0"/>
            </w:tcBorders>
            <w:noWrap/>
            <w:vAlign w:val="center"/>
          </w:tcPr>
          <w:p w14:paraId="5C8E021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用户管理</w:t>
            </w:r>
          </w:p>
        </w:tc>
        <w:tc>
          <w:tcPr>
            <w:tcW w:w="1268" w:type="dxa"/>
            <w:tcBorders>
              <w:top w:val="single" w:color="000000" w:sz="4" w:space="0"/>
              <w:left w:val="single" w:color="000000" w:sz="4" w:space="0"/>
              <w:bottom w:val="single" w:color="auto" w:sz="4" w:space="0"/>
              <w:right w:val="single" w:color="000000" w:sz="4" w:space="0"/>
            </w:tcBorders>
            <w:noWrap w:val="0"/>
            <w:vAlign w:val="center"/>
          </w:tcPr>
          <w:p w14:paraId="1483AC0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用户角色及权限管理</w:t>
            </w:r>
          </w:p>
        </w:tc>
        <w:tc>
          <w:tcPr>
            <w:tcW w:w="7558" w:type="dxa"/>
            <w:tcBorders>
              <w:top w:val="single" w:color="000000" w:sz="4" w:space="0"/>
              <w:left w:val="single" w:color="000000" w:sz="4" w:space="0"/>
              <w:bottom w:val="single" w:color="auto" w:sz="4" w:space="0"/>
              <w:right w:val="single" w:color="000000" w:sz="4" w:space="0"/>
            </w:tcBorders>
            <w:noWrap w:val="0"/>
            <w:vAlign w:val="center"/>
          </w:tcPr>
          <w:p w14:paraId="035E16DC">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系统用户角色分为：医院管理员、区级管理员、市级管理员</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（一）医院管理员信息维护：</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1.医院管理员是医院数据的直接填报和负责人员，负责数据上报。</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2.如医院管理员更换，或者医院管理员电话、邮箱、密码需要更改，可在此页面进行操作。</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（二）区级管理员信息：</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1.医院管理员如需联系所在区的区级质控中心管理员，可在此页面查看管理员信息。</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2.区级平台管理员可查看和导出平台数据，并且可以对数据统计信息进行查看。</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（三）市级平台管理员</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1.市级平台管理员负责平台的建设、日常维护和管理。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2.市级平台管理员可查看和导出平台数据，并且可以对数据统计信息进行查看。</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系统需要根据不同系统用户角色进行功能菜单权限、操作权限、数据权限的划分与管理，并且可以在系统中对于各角色用户进行管理。</w:t>
            </w:r>
          </w:p>
        </w:tc>
      </w:tr>
      <w:tr w14:paraId="340DF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11" w:type="dxa"/>
            <w:tcBorders>
              <w:top w:val="single" w:color="auto" w:sz="4" w:space="0"/>
              <w:left w:val="single" w:color="auto" w:sz="4" w:space="0"/>
              <w:bottom w:val="single" w:color="auto" w:sz="4" w:space="0"/>
              <w:right w:val="single" w:color="auto" w:sz="4" w:space="0"/>
            </w:tcBorders>
            <w:noWrap/>
            <w:vAlign w:val="center"/>
          </w:tcPr>
          <w:p w14:paraId="2735B017">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数据上报</w:t>
            </w:r>
          </w:p>
        </w:tc>
        <w:tc>
          <w:tcPr>
            <w:tcW w:w="1268" w:type="dxa"/>
            <w:tcBorders>
              <w:top w:val="single" w:color="auto" w:sz="4" w:space="0"/>
              <w:left w:val="single" w:color="auto" w:sz="4" w:space="0"/>
              <w:bottom w:val="single" w:color="auto" w:sz="4" w:space="0"/>
              <w:right w:val="single" w:color="auto" w:sz="4" w:space="0"/>
            </w:tcBorders>
            <w:noWrap/>
            <w:vAlign w:val="center"/>
          </w:tcPr>
          <w:p w14:paraId="67C21E3B">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数据上报</w:t>
            </w:r>
          </w:p>
        </w:tc>
        <w:tc>
          <w:tcPr>
            <w:tcW w:w="7558" w:type="dxa"/>
            <w:tcBorders>
              <w:top w:val="single" w:color="auto" w:sz="4" w:space="0"/>
              <w:left w:val="single" w:color="auto" w:sz="4" w:space="0"/>
              <w:bottom w:val="single" w:color="auto" w:sz="4" w:space="0"/>
              <w:right w:val="single" w:color="auto" w:sz="4" w:space="0"/>
            </w:tcBorders>
            <w:noWrap w:val="0"/>
            <w:vAlign w:val="center"/>
          </w:tcPr>
          <w:p w14:paraId="09649C4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实现季度指标变量数据的上报任务，护理质量上报周期为每季度一次，为帮助医院填报数据设置一些辅助功能，如医院填报进度总览、数据填报模板下载、数据导入、变量解释、逻辑校验提醒等。</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1.医院上报数据表单设计，主要分为护理质量结构指标、护理质量过程指标、护理质量结果指标、护理不良事件上报。</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2.数据如果超过警戒值、异常值，提醒用户；部门数据由公式自动生成，比如：达标率=1-不符合要求数/总数。</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3.医院在上报过程中，未提交保证数据不丢失(临时保存),提交后直接进入后台数据库。</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市级管理员可以设置上报时间区间，超过时间后，医院无法进行数据上报与修改；每季度上报数据时，可申请修改本年之前某个季度的数据，往年上报数据不能进行修改申请；市级管理员可查看对应季度已上报或未上报数据的医院列表，并且可以通过系统内部流程对未上报的医院进行提醒；某季度未按时上报数据的医院，市级管理员可为其临时开启补报权限，医院完成数据上报后不能自行修改。</w:t>
            </w:r>
          </w:p>
        </w:tc>
      </w:tr>
      <w:tr w14:paraId="5F1AD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restart"/>
            <w:tcBorders>
              <w:top w:val="single" w:color="auto" w:sz="4" w:space="0"/>
              <w:left w:val="single" w:color="000000" w:sz="4" w:space="0"/>
              <w:bottom w:val="single" w:color="000000" w:sz="4" w:space="0"/>
              <w:right w:val="single" w:color="000000" w:sz="4" w:space="0"/>
            </w:tcBorders>
            <w:noWrap/>
            <w:vAlign w:val="center"/>
          </w:tcPr>
          <w:p w14:paraId="5F776E2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数据管理</w:t>
            </w:r>
          </w:p>
        </w:tc>
        <w:tc>
          <w:tcPr>
            <w:tcW w:w="1268" w:type="dxa"/>
            <w:vMerge w:val="restart"/>
            <w:tcBorders>
              <w:top w:val="single" w:color="auto" w:sz="4" w:space="0"/>
              <w:left w:val="single" w:color="000000" w:sz="4" w:space="0"/>
              <w:bottom w:val="single" w:color="000000" w:sz="4" w:space="0"/>
              <w:right w:val="single" w:color="000000" w:sz="4" w:space="0"/>
            </w:tcBorders>
            <w:noWrap/>
            <w:vAlign w:val="center"/>
          </w:tcPr>
          <w:p w14:paraId="135B5A7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数据查询和导出</w:t>
            </w:r>
          </w:p>
        </w:tc>
        <w:tc>
          <w:tcPr>
            <w:tcW w:w="7558" w:type="dxa"/>
            <w:tcBorders>
              <w:top w:val="single" w:color="auto" w:sz="4" w:space="0"/>
              <w:left w:val="single" w:color="000000" w:sz="4" w:space="0"/>
              <w:bottom w:val="single" w:color="000000" w:sz="4" w:space="0"/>
              <w:right w:val="single" w:color="000000" w:sz="4" w:space="0"/>
            </w:tcBorders>
            <w:noWrap w:val="0"/>
            <w:vAlign w:val="center"/>
          </w:tcPr>
          <w:p w14:paraId="5C2405F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根据各用户的权限和实际需求可以查询展示本院、本区及所有医院的上报数据列表及详情。</w:t>
            </w:r>
          </w:p>
        </w:tc>
      </w:tr>
      <w:tr w14:paraId="57F7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ign w:val="center"/>
          </w:tcPr>
          <w:p w14:paraId="7C42C2F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vMerge w:val="continue"/>
            <w:tcBorders>
              <w:top w:val="single" w:color="000000" w:sz="4" w:space="0"/>
              <w:left w:val="single" w:color="000000" w:sz="4" w:space="0"/>
              <w:bottom w:val="single" w:color="000000" w:sz="4" w:space="0"/>
              <w:right w:val="single" w:color="000000" w:sz="4" w:space="0"/>
            </w:tcBorders>
            <w:noWrap/>
            <w:vAlign w:val="center"/>
          </w:tcPr>
          <w:p w14:paraId="489BAD90">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662C132C">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对数据查询结果可以导出为相应的Excel文件。</w:t>
            </w:r>
          </w:p>
        </w:tc>
      </w:tr>
      <w:tr w14:paraId="4DF2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ign w:val="center"/>
          </w:tcPr>
          <w:p w14:paraId="15C1E55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134E86A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数据修改</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23536B76">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1.未点击“上报市平台”按钮之前，医院可修改数据。一旦提交，数据就不能自行修改。</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2.数据上报后，医院管理员若发现数据错误，需提交数据修改申请。</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数据上报后，市级或区级质控中心管理员若发现明显错误时，会退回相应数据并通知医院管理员。医院管理员复核和修改数据后重新提交。提醒：未在上报时限内再次上报数据，会被平台视为“未按时上报该季度数据”。</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4.数据修改申请设置提交时限，超出时限则无法申请。</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5.医院将数据上报完成后，数据状态为“已上报”，无需任何审核通过的流程。</w:t>
            </w:r>
          </w:p>
        </w:tc>
      </w:tr>
      <w:tr w14:paraId="1C62A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0"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ign w:val="center"/>
          </w:tcPr>
          <w:p w14:paraId="64CAC38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01E579F8">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数据统计和分析</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5C3DBCB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员根据需要可进行多维度组合分析，自行选择医院等级、医院床位数、数据采集范围等不同信息，确定比较对象，同时平台提供本区和全市符合比较条件医院数量、最小值、10%分位数、25%分位数、50%分位数、75%分位数、90%分位数、最大值，便于管理员了解本医院、本区在行业内所处水平。</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以上报数据医院为维度，可通过查看一览表（包括但不限于柱状图、饼图、折线图、条形图等）的方式查看不同季度或年份的本院、本区、本市层面各个医院上报的各指标数据信息（各个指标字段横向展示），可导出本院填报数据与分析报告；点击指标总览-查看图表可以实现多维度组合分析（包括但不限于不同级别（如一级、二级或三级）、类型医疗机构（如综合或专科）、不同区级质控中心之间的季度、半年、年度的同比、环比分析图及表格），且可以导出EXCEL文件。</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2.以填写指标为维度，可查看不同季度或年份的各个指标数据的中位数、25%分位数、75%分位数、上报医院总数量信息，点击指标总览-查看图表可以进行多维度组合分析，且可以导出EXCEL文件。</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3.以指标项分组上级信息为维度，可查看各个季度和全年的对应指标分组信息下面各个医院的上报指标数据信息，点击指标总览-查看图表可以进行多维度组合分析，且可以导出EXCEL文件。</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4.结果指标相关信息分析：不同层级的管理员在此页面可查看相应的季度或年份的院级、本区和全市层面结果指标相关数据信息的汇总、分析，且可以导出EXCEL文件。</w:t>
            </w:r>
          </w:p>
        </w:tc>
      </w:tr>
      <w:tr w14:paraId="1BDF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1011" w:type="dxa"/>
            <w:tcBorders>
              <w:top w:val="nil"/>
              <w:left w:val="single" w:color="000000" w:sz="4" w:space="0"/>
              <w:bottom w:val="nil"/>
              <w:right w:val="single" w:color="000000" w:sz="4" w:space="0"/>
            </w:tcBorders>
            <w:noWrap/>
            <w:vAlign w:val="center"/>
          </w:tcPr>
          <w:p w14:paraId="0C749006">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医院信息管理</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5973F26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信息维护</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54D610AB">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1.系统管理可在后台添加医院的基本信息，包括医院名称、医院编码、医院类型、医院级别、医院所有制、医院隶属关系、用户账号、用户密码等信息，并进行相应信息管理。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2.医院首次登录，可以修改登录密码。</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3.如医院基本信息发生变更，可申请修改本医院基本信息。</w:t>
            </w:r>
          </w:p>
        </w:tc>
      </w:tr>
      <w:tr w14:paraId="062EA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restart"/>
            <w:tcBorders>
              <w:top w:val="single" w:color="000000" w:sz="4" w:space="0"/>
              <w:left w:val="single" w:color="000000" w:sz="4" w:space="0"/>
              <w:bottom w:val="single" w:color="000000" w:sz="4" w:space="0"/>
              <w:right w:val="single" w:color="000000" w:sz="4" w:space="0"/>
            </w:tcBorders>
            <w:noWrap w:val="0"/>
            <w:vAlign w:val="center"/>
          </w:tcPr>
          <w:p w14:paraId="20BA54F0">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系统管理</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58E94EC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管理员管理</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651658B7">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配置系统人员帐号信息。</w:t>
            </w:r>
          </w:p>
        </w:tc>
      </w:tr>
      <w:tr w14:paraId="6AEFD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24258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1A97620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角色管理</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79C41DF5">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管理各角色及权限信息。</w:t>
            </w:r>
          </w:p>
        </w:tc>
      </w:tr>
      <w:tr w14:paraId="229A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3D3B54">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1239F7ED">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字典管理</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5EA86F0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系统平台将这些常用的参数作为基础数据，方便录入。</w:t>
            </w:r>
          </w:p>
        </w:tc>
      </w:tr>
      <w:tr w14:paraId="644A0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0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AA18D0">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07941893">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管理日志</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3A134E4D">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可以对系统的登录日志进行记录查看。</w:t>
            </w:r>
          </w:p>
        </w:tc>
      </w:tr>
      <w:tr w14:paraId="3F24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11" w:type="dxa"/>
            <w:tcBorders>
              <w:top w:val="single" w:color="000000" w:sz="4" w:space="0"/>
              <w:left w:val="single" w:color="000000" w:sz="4" w:space="0"/>
              <w:bottom w:val="single" w:color="000000" w:sz="4" w:space="0"/>
              <w:right w:val="single" w:color="000000" w:sz="4" w:space="0"/>
            </w:tcBorders>
            <w:noWrap w:val="0"/>
            <w:vAlign w:val="center"/>
          </w:tcPr>
          <w:p w14:paraId="11D84F6F">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指标字段管理</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411CF68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指标基础设置</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5E9CDD81">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对于指标变量进行管理，包括变量名称、解释说明、变量类型、采集范围等，主要用于各变量的文字说明维护。</w:t>
            </w:r>
          </w:p>
        </w:tc>
      </w:tr>
      <w:tr w14:paraId="029FC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11" w:type="dxa"/>
            <w:tcBorders>
              <w:top w:val="single" w:color="000000" w:sz="4" w:space="0"/>
              <w:left w:val="single" w:color="000000" w:sz="4" w:space="0"/>
              <w:bottom w:val="single" w:color="000000" w:sz="4" w:space="0"/>
              <w:right w:val="single" w:color="000000" w:sz="4" w:space="0"/>
            </w:tcBorders>
            <w:noWrap w:val="0"/>
            <w:vAlign w:val="center"/>
          </w:tcPr>
          <w:p w14:paraId="34E5BD09">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数据迁移</w:t>
            </w:r>
          </w:p>
        </w:tc>
        <w:tc>
          <w:tcPr>
            <w:tcW w:w="1268" w:type="dxa"/>
            <w:tcBorders>
              <w:top w:val="single" w:color="000000" w:sz="4" w:space="0"/>
              <w:left w:val="single" w:color="000000" w:sz="4" w:space="0"/>
              <w:bottom w:val="single" w:color="000000" w:sz="4" w:space="0"/>
              <w:right w:val="single" w:color="000000" w:sz="4" w:space="0"/>
            </w:tcBorders>
            <w:noWrap w:val="0"/>
            <w:vAlign w:val="center"/>
          </w:tcPr>
          <w:p w14:paraId="276671F7">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数据清洗和迁移</w:t>
            </w:r>
          </w:p>
        </w:tc>
        <w:tc>
          <w:tcPr>
            <w:tcW w:w="7558" w:type="dxa"/>
            <w:tcBorders>
              <w:top w:val="single" w:color="000000" w:sz="4" w:space="0"/>
              <w:left w:val="single" w:color="000000" w:sz="4" w:space="0"/>
              <w:bottom w:val="single" w:color="000000" w:sz="4" w:space="0"/>
              <w:right w:val="single" w:color="000000" w:sz="4" w:space="0"/>
            </w:tcBorders>
            <w:noWrap w:val="0"/>
            <w:vAlign w:val="center"/>
          </w:tcPr>
          <w:p w14:paraId="1F08D402">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将原有数据进行清洗，包括数据合规检查、数据格式转换、异常数据剔除、缺省数据补充等，最终由用户进行人工确认后导入系统。</w:t>
            </w:r>
          </w:p>
        </w:tc>
      </w:tr>
    </w:tbl>
    <w:p w14:paraId="2CC8B253">
      <w:pPr>
        <w:spacing w:line="360" w:lineRule="auto"/>
      </w:pPr>
    </w:p>
    <w:p w14:paraId="29A767AC">
      <w:pPr>
        <w:keepNext w:val="0"/>
        <w:pageBreakBefore w:val="0"/>
        <w:wordWrap/>
        <w:overflowPunct/>
        <w:topLinePunct w:val="0"/>
        <w:bidi w:val="0"/>
        <w:spacing w:line="360" w:lineRule="auto"/>
        <w:ind w:firstLine="640" w:firstLineChars="200"/>
        <w:outlineLvl w:val="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三、其他要求</w:t>
      </w:r>
    </w:p>
    <w:p w14:paraId="0F0E5632">
      <w:pPr>
        <w:numPr>
          <w:numId w:val="0"/>
        </w:numPr>
        <w:spacing w:line="360" w:lineRule="auto"/>
        <w:rPr>
          <w:rFonts w:hint="eastAsia"/>
          <w:lang w:val="en-US" w:eastAsia="zh-CN"/>
        </w:rPr>
      </w:pPr>
      <w:r>
        <w:rPr>
          <w:rFonts w:hint="eastAsia"/>
          <w:lang w:val="en-US" w:eastAsia="zh-CN"/>
        </w:rPr>
        <w:t>1、实施工期：3个月以内</w:t>
      </w:r>
    </w:p>
    <w:p w14:paraId="520B706B">
      <w:pPr>
        <w:numPr>
          <w:numId w:val="0"/>
        </w:numPr>
        <w:spacing w:line="360" w:lineRule="auto"/>
        <w:rPr>
          <w:rFonts w:hint="default"/>
          <w:lang w:val="en-US" w:eastAsia="zh-CN"/>
        </w:rPr>
      </w:pPr>
      <w:r>
        <w:rPr>
          <w:rFonts w:hint="eastAsia"/>
          <w:lang w:val="en-US" w:eastAsia="zh-CN"/>
        </w:rPr>
        <w:t>2、维保服务期：1年</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934D3C"/>
    <w:rsid w:val="47934D3C"/>
    <w:rsid w:val="4C847914"/>
    <w:rsid w:val="618F6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2025-11-20T06:09:00Z</dcterms:created>
  <dc:creator>桂明</dc:creator>
  <cp:lastModifiedBy>桂明</cp:lastModifiedBy>
  <dcterms:modified xsi:type="dcterms:W3CDTF">2025-11-20T06:11:18Z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A51EBD59ADDC4C5FB5291A09E5A18155_13</vt:lpwstr>
  </property>
  <property fmtid="{D5CDD505-2E9C-101B-9397-08002B2CF9AE}" pid="4" name="KSOTemplateDocerSaveRecord">
    <vt:lpwstr>eyJoZGlkIjoiMzlmMDI2MjJkZTk1YTZmYWVmMjlmYzNmOTZhMmRlZjIiLCJ1c2VySWQiOiIxNjk2OTc0NjU2In0=</vt:lpwstr>
  </property>
</Properties>
</file>