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spacing w:after="0" w:line="240" w:lineRule="auto"/>
        <w:jc w:val="center"/>
        <w:rPr>
          <w:rFonts w:ascii="宋体" w:hAnsi="宋体" w:eastAsia="宋体" w:cs="Times New Roman"/>
          <w:b/>
          <w:bCs/>
          <w:kern w:val="2"/>
          <w:sz w:val="44"/>
          <w:szCs w:val="44"/>
          <w:lang w:eastAsia="zh-CN"/>
        </w:rPr>
      </w:pPr>
      <w:r>
        <w:rPr>
          <w:rFonts w:ascii="宋体" w:hAnsi="宋体" w:eastAsia="宋体" w:cs="Times New Roman"/>
          <w:b/>
          <w:bCs/>
          <w:kern w:val="2"/>
          <w:sz w:val="44"/>
          <w:szCs w:val="44"/>
          <w:lang w:eastAsia="zh-CN"/>
        </w:rPr>
        <w:t>2026-2027年武汉市生态环境数据治理服务项目采购需求</w:t>
      </w:r>
    </w:p>
    <w:p>
      <w:pPr>
        <w:keepNext/>
        <w:spacing w:before="180" w:after="100" w:line="276" w:lineRule="auto"/>
      </w:pPr>
      <w:r>
        <w:rPr>
          <w:rFonts w:ascii="黑体" w:hAnsi="黑体" w:eastAsia="黑体"/>
          <w:b/>
          <w:color w:val="000000"/>
          <w:sz w:val="30"/>
        </w:rPr>
        <w:t>一、项目基本情况</w:t>
      </w:r>
    </w:p>
    <w:p>
      <w:pPr>
        <w:keepNext w:val="0"/>
        <w:spacing w:before="0" w:after="80" w:line="276" w:lineRule="auto"/>
        <w:rPr>
          <w:rFonts w:hint="eastAsia" w:ascii="宋体" w:hAnsi="宋体" w:eastAsia="宋体" w:cs="宋体"/>
          <w:sz w:val="24"/>
          <w:szCs w:val="28"/>
        </w:rPr>
      </w:pPr>
      <w:r>
        <w:rPr>
          <w:rFonts w:hint="eastAsia" w:ascii="宋体" w:hAnsi="宋体" w:eastAsia="宋体" w:cs="宋体"/>
          <w:b w:val="0"/>
          <w:sz w:val="24"/>
          <w:szCs w:val="28"/>
        </w:rPr>
        <w:t>（一）项目名称：2026-2027年武汉市生态环境数据治理服务项目。</w:t>
      </w:r>
    </w:p>
    <w:p>
      <w:pPr>
        <w:keepNext w:val="0"/>
        <w:spacing w:before="0" w:after="80" w:line="276" w:lineRule="auto"/>
        <w:rPr>
          <w:rFonts w:hint="eastAsia" w:ascii="宋体" w:hAnsi="宋体" w:eastAsia="宋体" w:cs="宋体"/>
          <w:sz w:val="24"/>
          <w:szCs w:val="28"/>
        </w:rPr>
      </w:pPr>
      <w:r>
        <w:rPr>
          <w:rFonts w:hint="eastAsia" w:ascii="宋体" w:hAnsi="宋体" w:eastAsia="宋体" w:cs="宋体"/>
          <w:b w:val="0"/>
          <w:sz w:val="24"/>
          <w:szCs w:val="28"/>
        </w:rPr>
        <w:t>（二）预算金额：49万元。</w:t>
      </w:r>
    </w:p>
    <w:p>
      <w:pPr>
        <w:keepNext w:val="0"/>
        <w:spacing w:before="0" w:after="80" w:line="276" w:lineRule="auto"/>
        <w:rPr>
          <w:rFonts w:hint="eastAsia" w:ascii="宋体" w:hAnsi="宋体" w:eastAsia="宋体" w:cs="宋体"/>
          <w:sz w:val="24"/>
          <w:szCs w:val="28"/>
        </w:rPr>
      </w:pPr>
      <w:r>
        <w:rPr>
          <w:rFonts w:hint="eastAsia" w:ascii="宋体" w:hAnsi="宋体" w:eastAsia="宋体" w:cs="宋体"/>
          <w:b w:val="0"/>
          <w:sz w:val="24"/>
          <w:szCs w:val="28"/>
        </w:rPr>
        <w:t>（三）最高限价：49万元。</w:t>
      </w:r>
    </w:p>
    <w:p>
      <w:pPr>
        <w:keepNext w:val="0"/>
        <w:spacing w:before="0" w:after="80" w:line="276" w:lineRule="auto"/>
        <w:rPr>
          <w:rFonts w:hint="eastAsia" w:ascii="宋体" w:hAnsi="宋体" w:eastAsia="宋体" w:cs="宋体"/>
          <w:sz w:val="24"/>
          <w:szCs w:val="28"/>
        </w:rPr>
      </w:pPr>
      <w:r>
        <w:rPr>
          <w:rFonts w:hint="eastAsia" w:ascii="宋体" w:hAnsi="宋体" w:eastAsia="宋体" w:cs="宋体"/>
          <w:b w:val="0"/>
          <w:sz w:val="24"/>
          <w:szCs w:val="28"/>
        </w:rPr>
        <w:t>（四）服务期限：合同签订之日起</w:t>
      </w:r>
      <w:r>
        <w:rPr>
          <w:rFonts w:hint="eastAsia" w:ascii="宋体" w:hAnsi="宋体" w:eastAsia="宋体" w:cs="宋体"/>
          <w:b w:val="0"/>
          <w:sz w:val="24"/>
          <w:szCs w:val="28"/>
          <w:lang w:eastAsia="zh-CN"/>
        </w:rPr>
        <w:t>一年</w:t>
      </w:r>
      <w:r>
        <w:rPr>
          <w:rFonts w:hint="eastAsia" w:ascii="宋体" w:hAnsi="宋体" w:eastAsia="宋体" w:cs="宋体"/>
          <w:b w:val="0"/>
          <w:sz w:val="24"/>
          <w:szCs w:val="28"/>
        </w:rPr>
        <w:t>，具体起止时间以合同约定为准。</w:t>
      </w:r>
    </w:p>
    <w:p>
      <w:pPr>
        <w:keepNext w:val="0"/>
        <w:spacing w:before="0" w:after="80" w:line="276" w:lineRule="auto"/>
        <w:rPr>
          <w:rFonts w:hint="eastAsia" w:ascii="宋体" w:hAnsi="宋体" w:eastAsia="宋体" w:cs="宋体"/>
          <w:sz w:val="24"/>
          <w:szCs w:val="28"/>
        </w:rPr>
      </w:pPr>
      <w:r>
        <w:rPr>
          <w:rFonts w:hint="eastAsia" w:ascii="宋体" w:hAnsi="宋体" w:eastAsia="宋体" w:cs="宋体"/>
          <w:b w:val="0"/>
          <w:sz w:val="24"/>
          <w:szCs w:val="28"/>
        </w:rPr>
        <w:t>（五）服务地点：采购人指定地点。</w:t>
      </w:r>
    </w:p>
    <w:p>
      <w:pPr>
        <w:keepNext/>
        <w:spacing w:before="180" w:after="100" w:line="276" w:lineRule="auto"/>
      </w:pPr>
      <w:r>
        <w:rPr>
          <w:rFonts w:ascii="黑体" w:hAnsi="黑体" w:eastAsia="黑体"/>
          <w:b/>
          <w:color w:val="000000"/>
          <w:sz w:val="30"/>
        </w:rPr>
        <w:t>二、</w:t>
      </w:r>
      <w:r>
        <w:rPr>
          <w:rFonts w:hint="eastAsia" w:ascii="黑体" w:hAnsi="黑体" w:eastAsia="黑体"/>
          <w:b/>
          <w:color w:val="000000"/>
          <w:sz w:val="30"/>
          <w:lang w:eastAsia="zh-CN"/>
        </w:rPr>
        <w:t>项目</w:t>
      </w:r>
      <w:r>
        <w:rPr>
          <w:rFonts w:ascii="黑体" w:hAnsi="黑体" w:eastAsia="黑体"/>
          <w:b/>
          <w:color w:val="000000"/>
          <w:sz w:val="30"/>
        </w:rPr>
        <w:t>需求</w:t>
      </w:r>
    </w:p>
    <w:p>
      <w:pPr>
        <w:keepNext/>
        <w:spacing w:before="100" w:after="80" w:line="276" w:lineRule="auto"/>
      </w:pPr>
      <w:r>
        <w:rPr>
          <w:rFonts w:ascii="黑体" w:hAnsi="黑体" w:eastAsia="黑体"/>
          <w:b/>
          <w:color w:val="000000"/>
          <w:sz w:val="24"/>
        </w:rPr>
        <w:t>（一）总体要求</w:t>
      </w:r>
    </w:p>
    <w:p>
      <w:pPr>
        <w:keepNext w:val="0"/>
        <w:spacing w:before="0" w:after="80" w:line="276" w:lineRule="auto"/>
        <w:ind w:firstLine="403"/>
        <w:rPr>
          <w:sz w:val="24"/>
          <w:szCs w:val="28"/>
        </w:rPr>
      </w:pPr>
      <w:r>
        <w:rPr>
          <w:rFonts w:ascii="Times New Roman" w:hAnsi="Times New Roman" w:eastAsia="宋体"/>
          <w:b w:val="0"/>
          <w:sz w:val="24"/>
          <w:szCs w:val="28"/>
        </w:rPr>
        <w:t>服务应遵循国家、省、市关于政务数据、公共数据、数据安全、网络安全、个人信息保护、数据资产管理等方面的法律法规、政策文件和技术标准，保障现有数据资源中心稳定运行，确保数据采集、共享交换、质量监控、数据备份等工作连续、安全、可追溯。</w:t>
      </w:r>
    </w:p>
    <w:p>
      <w:pPr>
        <w:keepNext/>
        <w:numPr>
          <w:ilvl w:val="0"/>
          <w:numId w:val="7"/>
        </w:numPr>
        <w:spacing w:before="100" w:after="80" w:line="276" w:lineRule="auto"/>
        <w:rPr>
          <w:rFonts w:ascii="黑体" w:hAnsi="黑体" w:eastAsia="黑体"/>
          <w:b/>
          <w:color w:val="000000"/>
          <w:sz w:val="24"/>
        </w:rPr>
      </w:pPr>
      <w:r>
        <w:rPr>
          <w:rFonts w:ascii="黑体" w:hAnsi="黑体" w:eastAsia="黑体"/>
          <w:b/>
          <w:color w:val="000000"/>
          <w:sz w:val="24"/>
        </w:rPr>
        <w:t>服务</w:t>
      </w:r>
      <w:r>
        <w:rPr>
          <w:rFonts w:hint="eastAsia" w:ascii="黑体" w:hAnsi="黑体" w:eastAsia="黑体"/>
          <w:b/>
          <w:color w:val="000000"/>
          <w:sz w:val="24"/>
          <w:lang w:eastAsia="zh-CN"/>
        </w:rPr>
        <w:t>内容</w:t>
      </w:r>
    </w:p>
    <w:p>
      <w:pPr>
        <w:keepNext w:val="0"/>
        <w:spacing w:before="0" w:after="80" w:line="276" w:lineRule="auto"/>
        <w:ind w:firstLine="403"/>
        <w:rPr>
          <w:rFonts w:hint="eastAsia" w:ascii="宋体" w:hAnsi="宋体" w:eastAsia="宋体" w:cs="宋体"/>
          <w:b/>
          <w:color w:val="000000"/>
          <w:sz w:val="24"/>
          <w:szCs w:val="24"/>
          <w:lang w:eastAsia="zh-CN"/>
        </w:rPr>
      </w:pPr>
      <w:r>
        <w:rPr>
          <w:rFonts w:hint="eastAsia" w:ascii="宋体" w:hAnsi="宋体" w:eastAsia="宋体" w:cs="宋体"/>
          <w:b w:val="0"/>
          <w:sz w:val="24"/>
          <w:szCs w:val="24"/>
        </w:rPr>
        <w:t>根据《关于推动一体化数字资源管理体系建设工作方案》（武政办〔2025〕47号）、《武汉市公共数据资源管理实施细则（试行）》（武政规〔2025〕6号）等要求，为进一步强化武汉市生态环境数据采集、管理、共享和应用能力，持续做好全市数据一体化、数据资产化工作，拟开展2026-2027年武汉市生态环境数据治理服务。</w:t>
      </w:r>
      <w:r>
        <w:rPr>
          <w:rFonts w:hint="eastAsia" w:ascii="宋体" w:hAnsi="宋体" w:eastAsia="宋体" w:cs="宋体"/>
          <w:sz w:val="24"/>
          <w:szCs w:val="24"/>
          <w:lang w:eastAsia="zh-CN"/>
        </w:rPr>
        <w:t>具体服务内容如下所示：</w:t>
      </w:r>
    </w:p>
    <w:tbl>
      <w:tblPr>
        <w:tblStyle w:val="33"/>
        <w:tblW w:w="8300" w:type="dxa"/>
        <w:jc w:val="center"/>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Layout w:type="fixed"/>
        <w:tblCellMar>
          <w:top w:w="0" w:type="dxa"/>
          <w:left w:w="108" w:type="dxa"/>
          <w:bottom w:w="0" w:type="dxa"/>
          <w:right w:w="108" w:type="dxa"/>
        </w:tblCellMar>
      </w:tblPr>
      <w:tblGrid>
        <w:gridCol w:w="650"/>
        <w:gridCol w:w="1800"/>
        <w:gridCol w:w="5850"/>
      </w:tblGrid>
      <w:tr>
        <w:tblPrEx>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CellMar>
            <w:top w:w="0" w:type="dxa"/>
            <w:left w:w="108" w:type="dxa"/>
            <w:bottom w:w="0" w:type="dxa"/>
            <w:right w:w="108" w:type="dxa"/>
          </w:tblCellMar>
        </w:tblPrEx>
        <w:trPr>
          <w:cantSplit/>
          <w:tblHeader/>
          <w:jc w:val="center"/>
        </w:trPr>
        <w:tc>
          <w:tcPr>
            <w:tcW w:w="650" w:type="dxa"/>
            <w:shd w:val="clear" w:color="auto" w:fill="F2F2F2"/>
            <w:tcMar>
              <w:top w:w="80" w:type="dxa"/>
              <w:left w:w="120" w:type="dxa"/>
              <w:bottom w:w="80" w:type="dxa"/>
              <w:right w:w="120" w:type="dxa"/>
            </w:tcMar>
            <w:vAlign w:val="center"/>
          </w:tcPr>
          <w:p>
            <w:pPr>
              <w:keepNext w:val="0"/>
              <w:spacing w:before="0" w:after="20" w:line="259" w:lineRule="auto"/>
              <w:jc w:val="center"/>
              <w:rPr>
                <w:rFonts w:hint="eastAsia" w:ascii="宋体" w:hAnsi="宋体" w:eastAsia="宋体" w:cs="宋体"/>
                <w:sz w:val="24"/>
                <w:szCs w:val="24"/>
              </w:rPr>
            </w:pPr>
            <w:r>
              <w:rPr>
                <w:rFonts w:hint="eastAsia" w:ascii="宋体" w:hAnsi="宋体" w:eastAsia="宋体" w:cs="宋体"/>
                <w:b/>
                <w:sz w:val="24"/>
                <w:szCs w:val="24"/>
              </w:rPr>
              <w:t>序号</w:t>
            </w:r>
          </w:p>
        </w:tc>
        <w:tc>
          <w:tcPr>
            <w:tcW w:w="1800" w:type="dxa"/>
            <w:shd w:val="clear" w:color="auto" w:fill="F2F2F2"/>
            <w:tcMar>
              <w:top w:w="80" w:type="dxa"/>
              <w:left w:w="120" w:type="dxa"/>
              <w:bottom w:w="80" w:type="dxa"/>
              <w:right w:w="120" w:type="dxa"/>
            </w:tcMar>
            <w:vAlign w:val="center"/>
          </w:tcPr>
          <w:p>
            <w:pPr>
              <w:keepNext w:val="0"/>
              <w:spacing w:before="0" w:after="20" w:line="259" w:lineRule="auto"/>
              <w:jc w:val="center"/>
              <w:rPr>
                <w:rFonts w:hint="eastAsia" w:ascii="宋体" w:hAnsi="宋体" w:eastAsia="宋体" w:cs="宋体"/>
                <w:sz w:val="24"/>
                <w:szCs w:val="24"/>
              </w:rPr>
            </w:pPr>
            <w:r>
              <w:rPr>
                <w:rFonts w:hint="eastAsia" w:ascii="宋体" w:hAnsi="宋体" w:eastAsia="宋体" w:cs="宋体"/>
                <w:b/>
                <w:sz w:val="24"/>
                <w:szCs w:val="24"/>
              </w:rPr>
              <w:t>服务项目</w:t>
            </w:r>
          </w:p>
        </w:tc>
        <w:tc>
          <w:tcPr>
            <w:tcW w:w="5850" w:type="dxa"/>
            <w:shd w:val="clear" w:color="auto" w:fill="F2F2F2"/>
            <w:tcMar>
              <w:top w:w="80" w:type="dxa"/>
              <w:left w:w="120" w:type="dxa"/>
              <w:bottom w:w="80" w:type="dxa"/>
              <w:right w:w="120" w:type="dxa"/>
            </w:tcMar>
            <w:vAlign w:val="center"/>
          </w:tcPr>
          <w:p>
            <w:pPr>
              <w:keepNext w:val="0"/>
              <w:spacing w:before="0" w:after="20" w:line="259" w:lineRule="auto"/>
              <w:jc w:val="center"/>
              <w:rPr>
                <w:rFonts w:hint="eastAsia" w:ascii="宋体" w:hAnsi="宋体" w:eastAsia="宋体" w:cs="宋体"/>
                <w:sz w:val="24"/>
                <w:szCs w:val="24"/>
              </w:rPr>
            </w:pPr>
            <w:r>
              <w:rPr>
                <w:rFonts w:hint="eastAsia" w:ascii="宋体" w:hAnsi="宋体" w:eastAsia="宋体" w:cs="宋体"/>
                <w:b/>
                <w:sz w:val="24"/>
                <w:szCs w:val="24"/>
              </w:rPr>
              <w:t>服务内容及要求</w:t>
            </w:r>
          </w:p>
        </w:tc>
      </w:tr>
      <w:tr>
        <w:tblPrEx>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CellMar>
            <w:top w:w="0" w:type="dxa"/>
            <w:left w:w="108" w:type="dxa"/>
            <w:bottom w:w="0" w:type="dxa"/>
            <w:right w:w="108" w:type="dxa"/>
          </w:tblCellMar>
        </w:tblPrEx>
        <w:trPr>
          <w:jc w:val="center"/>
        </w:trPr>
        <w:tc>
          <w:tcPr>
            <w:tcW w:w="650" w:type="dxa"/>
            <w:tcMar>
              <w:top w:w="80" w:type="dxa"/>
              <w:left w:w="120" w:type="dxa"/>
              <w:bottom w:w="80" w:type="dxa"/>
              <w:right w:w="120" w:type="dxa"/>
            </w:tcMar>
            <w:vAlign w:val="center"/>
          </w:tcPr>
          <w:p>
            <w:pPr>
              <w:keepNext w:val="0"/>
              <w:spacing w:before="0" w:after="20" w:line="259" w:lineRule="auto"/>
              <w:jc w:val="center"/>
              <w:rPr>
                <w:rFonts w:hint="eastAsia" w:ascii="宋体" w:hAnsi="宋体" w:eastAsia="宋体" w:cs="宋体"/>
                <w:sz w:val="24"/>
                <w:szCs w:val="24"/>
              </w:rPr>
            </w:pPr>
            <w:r>
              <w:rPr>
                <w:rFonts w:hint="eastAsia" w:ascii="宋体" w:hAnsi="宋体" w:eastAsia="宋体" w:cs="宋体"/>
                <w:b w:val="0"/>
                <w:sz w:val="24"/>
                <w:szCs w:val="24"/>
              </w:rPr>
              <w:t>1</w:t>
            </w:r>
          </w:p>
        </w:tc>
        <w:tc>
          <w:tcPr>
            <w:tcW w:w="1800" w:type="dxa"/>
            <w:tcMar>
              <w:top w:w="80" w:type="dxa"/>
              <w:left w:w="120" w:type="dxa"/>
              <w:bottom w:w="80" w:type="dxa"/>
              <w:right w:w="120" w:type="dxa"/>
            </w:tcMar>
            <w:vAlign w:val="center"/>
          </w:tcPr>
          <w:p>
            <w:pPr>
              <w:keepNext w:val="0"/>
              <w:spacing w:before="0" w:after="20" w:line="259" w:lineRule="auto"/>
              <w:jc w:val="left"/>
              <w:rPr>
                <w:rFonts w:hint="eastAsia" w:ascii="宋体" w:hAnsi="宋体" w:eastAsia="宋体" w:cs="宋体"/>
                <w:sz w:val="24"/>
                <w:szCs w:val="24"/>
              </w:rPr>
            </w:pPr>
            <w:r>
              <w:rPr>
                <w:rFonts w:hint="eastAsia" w:ascii="宋体" w:hAnsi="宋体" w:eastAsia="宋体" w:cs="宋体"/>
                <w:b w:val="0"/>
                <w:sz w:val="24"/>
                <w:szCs w:val="24"/>
              </w:rPr>
              <w:t>数据编目管理</w:t>
            </w:r>
          </w:p>
        </w:tc>
        <w:tc>
          <w:tcPr>
            <w:tcW w:w="5850" w:type="dxa"/>
            <w:tcMar>
              <w:top w:w="80" w:type="dxa"/>
              <w:left w:w="120" w:type="dxa"/>
              <w:bottom w:w="80" w:type="dxa"/>
              <w:right w:w="120" w:type="dxa"/>
            </w:tcMar>
            <w:vAlign w:val="center"/>
          </w:tcPr>
          <w:p>
            <w:pPr>
              <w:keepNext w:val="0"/>
              <w:spacing w:before="0" w:after="20" w:line="259" w:lineRule="auto"/>
              <w:jc w:val="left"/>
              <w:rPr>
                <w:rFonts w:hint="eastAsia" w:ascii="宋体" w:hAnsi="宋体" w:eastAsia="宋体" w:cs="宋体"/>
                <w:sz w:val="24"/>
                <w:szCs w:val="24"/>
              </w:rPr>
            </w:pPr>
            <w:r>
              <w:rPr>
                <w:rFonts w:hint="eastAsia" w:ascii="宋体" w:hAnsi="宋体" w:eastAsia="宋体" w:cs="宋体"/>
                <w:b w:val="0"/>
                <w:sz w:val="24"/>
                <w:szCs w:val="24"/>
              </w:rPr>
              <w:t>维护数据资源目录和元数据，动态更新目录、字段、数据模型等信息，保证数据来源清晰、目录准确、资源可查可用。</w:t>
            </w:r>
          </w:p>
        </w:tc>
      </w:tr>
      <w:tr>
        <w:tblPrEx>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CellMar>
            <w:top w:w="0" w:type="dxa"/>
            <w:left w:w="108" w:type="dxa"/>
            <w:bottom w:w="0" w:type="dxa"/>
            <w:right w:w="108" w:type="dxa"/>
          </w:tblCellMar>
        </w:tblPrEx>
        <w:trPr>
          <w:jc w:val="center"/>
        </w:trPr>
        <w:tc>
          <w:tcPr>
            <w:tcW w:w="650" w:type="dxa"/>
            <w:tcMar>
              <w:top w:w="80" w:type="dxa"/>
              <w:left w:w="120" w:type="dxa"/>
              <w:bottom w:w="80" w:type="dxa"/>
              <w:right w:w="120" w:type="dxa"/>
            </w:tcMar>
            <w:vAlign w:val="center"/>
          </w:tcPr>
          <w:p>
            <w:pPr>
              <w:keepNext w:val="0"/>
              <w:spacing w:before="0" w:after="20" w:line="259" w:lineRule="auto"/>
              <w:jc w:val="center"/>
              <w:rPr>
                <w:rFonts w:hint="eastAsia" w:ascii="宋体" w:hAnsi="宋体" w:eastAsia="宋体" w:cs="宋体"/>
                <w:sz w:val="24"/>
                <w:szCs w:val="24"/>
              </w:rPr>
            </w:pPr>
            <w:r>
              <w:rPr>
                <w:rFonts w:hint="eastAsia" w:ascii="宋体" w:hAnsi="宋体" w:eastAsia="宋体" w:cs="宋体"/>
                <w:b w:val="0"/>
                <w:sz w:val="24"/>
                <w:szCs w:val="24"/>
              </w:rPr>
              <w:t>2</w:t>
            </w:r>
          </w:p>
        </w:tc>
        <w:tc>
          <w:tcPr>
            <w:tcW w:w="1800" w:type="dxa"/>
            <w:tcMar>
              <w:top w:w="80" w:type="dxa"/>
              <w:left w:w="120" w:type="dxa"/>
              <w:bottom w:w="80" w:type="dxa"/>
              <w:right w:w="120" w:type="dxa"/>
            </w:tcMar>
            <w:vAlign w:val="center"/>
          </w:tcPr>
          <w:p>
            <w:pPr>
              <w:keepNext w:val="0"/>
              <w:spacing w:before="0" w:after="20" w:line="259" w:lineRule="auto"/>
              <w:jc w:val="left"/>
              <w:rPr>
                <w:rFonts w:hint="eastAsia" w:ascii="宋体" w:hAnsi="宋体" w:eastAsia="宋体" w:cs="宋体"/>
                <w:sz w:val="24"/>
                <w:szCs w:val="24"/>
              </w:rPr>
            </w:pPr>
            <w:r>
              <w:rPr>
                <w:rFonts w:hint="eastAsia" w:ascii="宋体" w:hAnsi="宋体" w:eastAsia="宋体" w:cs="宋体"/>
                <w:b w:val="0"/>
                <w:sz w:val="24"/>
                <w:szCs w:val="24"/>
              </w:rPr>
              <w:t>数据采集</w:t>
            </w:r>
          </w:p>
        </w:tc>
        <w:tc>
          <w:tcPr>
            <w:tcW w:w="5850" w:type="dxa"/>
            <w:tcMar>
              <w:top w:w="80" w:type="dxa"/>
              <w:left w:w="120" w:type="dxa"/>
              <w:bottom w:w="80" w:type="dxa"/>
              <w:right w:w="120" w:type="dxa"/>
            </w:tcMar>
            <w:vAlign w:val="center"/>
          </w:tcPr>
          <w:p>
            <w:pPr>
              <w:keepNext w:val="0"/>
              <w:spacing w:before="0" w:after="20" w:line="259" w:lineRule="auto"/>
              <w:jc w:val="left"/>
              <w:rPr>
                <w:rFonts w:hint="eastAsia" w:ascii="宋体" w:hAnsi="宋体" w:eastAsia="宋体" w:cs="宋体"/>
                <w:sz w:val="24"/>
                <w:szCs w:val="24"/>
              </w:rPr>
            </w:pPr>
            <w:r>
              <w:rPr>
                <w:rFonts w:hint="eastAsia" w:ascii="宋体" w:hAnsi="宋体" w:eastAsia="宋体" w:cs="宋体"/>
                <w:b w:val="0"/>
                <w:sz w:val="24"/>
                <w:szCs w:val="24"/>
              </w:rPr>
              <w:t>按需完成非结构化数据入库、数据结构补齐、数据源切换、标准变更适配及采集任务运维，保障数据稳定入库。</w:t>
            </w:r>
          </w:p>
        </w:tc>
      </w:tr>
      <w:tr>
        <w:tblPrEx>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CellMar>
            <w:top w:w="0" w:type="dxa"/>
            <w:left w:w="108" w:type="dxa"/>
            <w:bottom w:w="0" w:type="dxa"/>
            <w:right w:w="108" w:type="dxa"/>
          </w:tblCellMar>
        </w:tblPrEx>
        <w:trPr>
          <w:jc w:val="center"/>
        </w:trPr>
        <w:tc>
          <w:tcPr>
            <w:tcW w:w="650" w:type="dxa"/>
            <w:tcMar>
              <w:top w:w="80" w:type="dxa"/>
              <w:left w:w="120" w:type="dxa"/>
              <w:bottom w:w="80" w:type="dxa"/>
              <w:right w:w="120" w:type="dxa"/>
            </w:tcMar>
            <w:vAlign w:val="center"/>
          </w:tcPr>
          <w:p>
            <w:pPr>
              <w:keepNext w:val="0"/>
              <w:spacing w:before="0" w:after="20" w:line="259" w:lineRule="auto"/>
              <w:jc w:val="center"/>
              <w:rPr>
                <w:rFonts w:hint="eastAsia" w:ascii="宋体" w:hAnsi="宋体" w:eastAsia="宋体" w:cs="宋体"/>
                <w:sz w:val="24"/>
                <w:szCs w:val="24"/>
              </w:rPr>
            </w:pPr>
            <w:r>
              <w:rPr>
                <w:rFonts w:hint="eastAsia" w:ascii="宋体" w:hAnsi="宋体" w:eastAsia="宋体" w:cs="宋体"/>
                <w:b w:val="0"/>
                <w:sz w:val="24"/>
                <w:szCs w:val="24"/>
              </w:rPr>
              <w:t>3</w:t>
            </w:r>
          </w:p>
        </w:tc>
        <w:tc>
          <w:tcPr>
            <w:tcW w:w="1800" w:type="dxa"/>
            <w:tcMar>
              <w:top w:w="80" w:type="dxa"/>
              <w:left w:w="120" w:type="dxa"/>
              <w:bottom w:w="80" w:type="dxa"/>
              <w:right w:w="120" w:type="dxa"/>
            </w:tcMar>
            <w:vAlign w:val="center"/>
          </w:tcPr>
          <w:p>
            <w:pPr>
              <w:keepNext w:val="0"/>
              <w:spacing w:before="0" w:after="20" w:line="259" w:lineRule="auto"/>
              <w:jc w:val="left"/>
              <w:rPr>
                <w:rFonts w:hint="eastAsia" w:ascii="宋体" w:hAnsi="宋体" w:eastAsia="宋体" w:cs="宋体"/>
                <w:sz w:val="24"/>
                <w:szCs w:val="24"/>
              </w:rPr>
            </w:pPr>
            <w:r>
              <w:rPr>
                <w:rFonts w:hint="eastAsia" w:ascii="宋体" w:hAnsi="宋体" w:eastAsia="宋体" w:cs="宋体"/>
                <w:b w:val="0"/>
                <w:sz w:val="24"/>
                <w:szCs w:val="24"/>
              </w:rPr>
              <w:t>数据共享</w:t>
            </w:r>
          </w:p>
        </w:tc>
        <w:tc>
          <w:tcPr>
            <w:tcW w:w="5850" w:type="dxa"/>
            <w:tcMar>
              <w:top w:w="80" w:type="dxa"/>
              <w:left w:w="120" w:type="dxa"/>
              <w:bottom w:w="80" w:type="dxa"/>
              <w:right w:w="120" w:type="dxa"/>
            </w:tcMar>
            <w:vAlign w:val="center"/>
          </w:tcPr>
          <w:p>
            <w:pPr>
              <w:keepNext w:val="0"/>
              <w:spacing w:before="0" w:after="20" w:line="259" w:lineRule="auto"/>
              <w:jc w:val="left"/>
              <w:rPr>
                <w:rFonts w:hint="eastAsia" w:ascii="宋体" w:hAnsi="宋体" w:eastAsia="宋体" w:cs="宋体"/>
                <w:sz w:val="24"/>
                <w:szCs w:val="24"/>
              </w:rPr>
            </w:pPr>
            <w:r>
              <w:rPr>
                <w:rFonts w:hint="eastAsia" w:ascii="宋体" w:hAnsi="宋体" w:eastAsia="宋体" w:cs="宋体"/>
                <w:b w:val="0"/>
                <w:sz w:val="24"/>
                <w:szCs w:val="24"/>
              </w:rPr>
              <w:t>维护数据接口和共享任务，支撑城运中心、信用办、市一体化数字资源平台等共享对接，按要求开展接口开发、数据推送、补报和整改。</w:t>
            </w:r>
          </w:p>
        </w:tc>
      </w:tr>
      <w:tr>
        <w:tblPrEx>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CellMar>
            <w:top w:w="0" w:type="dxa"/>
            <w:left w:w="108" w:type="dxa"/>
            <w:bottom w:w="0" w:type="dxa"/>
            <w:right w:w="108" w:type="dxa"/>
          </w:tblCellMar>
        </w:tblPrEx>
        <w:trPr>
          <w:jc w:val="center"/>
        </w:trPr>
        <w:tc>
          <w:tcPr>
            <w:tcW w:w="650" w:type="dxa"/>
            <w:tcMar>
              <w:top w:w="80" w:type="dxa"/>
              <w:left w:w="120" w:type="dxa"/>
              <w:bottom w:w="80" w:type="dxa"/>
              <w:right w:w="120" w:type="dxa"/>
            </w:tcMar>
            <w:vAlign w:val="center"/>
          </w:tcPr>
          <w:p>
            <w:pPr>
              <w:keepNext w:val="0"/>
              <w:spacing w:before="0" w:after="20" w:line="259" w:lineRule="auto"/>
              <w:jc w:val="center"/>
              <w:rPr>
                <w:rFonts w:hint="eastAsia" w:ascii="宋体" w:hAnsi="宋体" w:eastAsia="宋体" w:cs="宋体"/>
                <w:sz w:val="24"/>
                <w:szCs w:val="24"/>
              </w:rPr>
            </w:pPr>
            <w:r>
              <w:rPr>
                <w:rFonts w:hint="eastAsia" w:ascii="宋体" w:hAnsi="宋体" w:eastAsia="宋体" w:cs="宋体"/>
                <w:b w:val="0"/>
                <w:sz w:val="24"/>
                <w:szCs w:val="24"/>
              </w:rPr>
              <w:t>4</w:t>
            </w:r>
          </w:p>
        </w:tc>
        <w:tc>
          <w:tcPr>
            <w:tcW w:w="1800" w:type="dxa"/>
            <w:tcMar>
              <w:top w:w="80" w:type="dxa"/>
              <w:left w:w="120" w:type="dxa"/>
              <w:bottom w:w="80" w:type="dxa"/>
              <w:right w:w="120" w:type="dxa"/>
            </w:tcMar>
            <w:vAlign w:val="center"/>
          </w:tcPr>
          <w:p>
            <w:pPr>
              <w:keepNext w:val="0"/>
              <w:spacing w:before="0" w:after="20" w:line="259" w:lineRule="auto"/>
              <w:jc w:val="left"/>
              <w:rPr>
                <w:rFonts w:hint="eastAsia" w:ascii="宋体" w:hAnsi="宋体" w:eastAsia="宋体" w:cs="宋体"/>
                <w:sz w:val="24"/>
                <w:szCs w:val="24"/>
              </w:rPr>
            </w:pPr>
            <w:r>
              <w:rPr>
                <w:rFonts w:hint="eastAsia" w:ascii="宋体" w:hAnsi="宋体" w:eastAsia="宋体" w:cs="宋体"/>
                <w:b w:val="0"/>
                <w:sz w:val="24"/>
                <w:szCs w:val="24"/>
              </w:rPr>
              <w:t>数据质量监控</w:t>
            </w:r>
          </w:p>
        </w:tc>
        <w:tc>
          <w:tcPr>
            <w:tcW w:w="5850" w:type="dxa"/>
            <w:tcMar>
              <w:top w:w="80" w:type="dxa"/>
              <w:left w:w="120" w:type="dxa"/>
              <w:bottom w:w="80" w:type="dxa"/>
              <w:right w:w="120" w:type="dxa"/>
            </w:tcMar>
            <w:vAlign w:val="center"/>
          </w:tcPr>
          <w:p>
            <w:pPr>
              <w:keepNext w:val="0"/>
              <w:spacing w:before="0" w:after="20" w:line="259" w:lineRule="auto"/>
              <w:jc w:val="left"/>
              <w:rPr>
                <w:rFonts w:hint="eastAsia" w:ascii="宋体" w:hAnsi="宋体" w:eastAsia="宋体" w:cs="宋体"/>
                <w:sz w:val="24"/>
                <w:szCs w:val="24"/>
              </w:rPr>
            </w:pPr>
            <w:r>
              <w:rPr>
                <w:rFonts w:hint="eastAsia" w:ascii="宋体" w:hAnsi="宋体" w:eastAsia="宋体" w:cs="宋体"/>
                <w:b w:val="0"/>
                <w:sz w:val="24"/>
                <w:szCs w:val="24"/>
              </w:rPr>
              <w:t>开展常态化巡检和月度专项对账，对数据更新滞后、缺失、错漏、口径不一致等问题进行溯源核查和闭环整改。</w:t>
            </w:r>
          </w:p>
        </w:tc>
      </w:tr>
      <w:tr>
        <w:tblPrEx>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CellMar>
            <w:top w:w="0" w:type="dxa"/>
            <w:left w:w="108" w:type="dxa"/>
            <w:bottom w:w="0" w:type="dxa"/>
            <w:right w:w="108" w:type="dxa"/>
          </w:tblCellMar>
        </w:tblPrEx>
        <w:trPr>
          <w:jc w:val="center"/>
        </w:trPr>
        <w:tc>
          <w:tcPr>
            <w:tcW w:w="650" w:type="dxa"/>
            <w:tcMar>
              <w:top w:w="80" w:type="dxa"/>
              <w:left w:w="120" w:type="dxa"/>
              <w:bottom w:w="80" w:type="dxa"/>
              <w:right w:w="120" w:type="dxa"/>
            </w:tcMar>
            <w:vAlign w:val="center"/>
          </w:tcPr>
          <w:p>
            <w:pPr>
              <w:keepNext w:val="0"/>
              <w:spacing w:before="0" w:after="20" w:line="259" w:lineRule="auto"/>
              <w:jc w:val="center"/>
              <w:rPr>
                <w:rFonts w:hint="eastAsia" w:ascii="宋体" w:hAnsi="宋体" w:eastAsia="宋体" w:cs="宋体"/>
                <w:sz w:val="24"/>
                <w:szCs w:val="24"/>
              </w:rPr>
            </w:pPr>
            <w:r>
              <w:rPr>
                <w:rFonts w:hint="eastAsia" w:ascii="宋体" w:hAnsi="宋体" w:eastAsia="宋体" w:cs="宋体"/>
                <w:b w:val="0"/>
                <w:sz w:val="24"/>
                <w:szCs w:val="24"/>
              </w:rPr>
              <w:t>5</w:t>
            </w:r>
          </w:p>
        </w:tc>
        <w:tc>
          <w:tcPr>
            <w:tcW w:w="1800" w:type="dxa"/>
            <w:tcMar>
              <w:top w:w="80" w:type="dxa"/>
              <w:left w:w="120" w:type="dxa"/>
              <w:bottom w:w="80" w:type="dxa"/>
              <w:right w:w="120" w:type="dxa"/>
            </w:tcMar>
            <w:vAlign w:val="center"/>
          </w:tcPr>
          <w:p>
            <w:pPr>
              <w:keepNext w:val="0"/>
              <w:spacing w:before="0" w:after="20" w:line="259" w:lineRule="auto"/>
              <w:jc w:val="left"/>
              <w:rPr>
                <w:rFonts w:hint="eastAsia" w:ascii="宋体" w:hAnsi="宋体" w:eastAsia="宋体" w:cs="宋体"/>
                <w:sz w:val="24"/>
                <w:szCs w:val="24"/>
              </w:rPr>
            </w:pPr>
            <w:r>
              <w:rPr>
                <w:rFonts w:hint="eastAsia" w:ascii="宋体" w:hAnsi="宋体" w:eastAsia="宋体" w:cs="宋体"/>
                <w:b w:val="0"/>
                <w:sz w:val="24"/>
                <w:szCs w:val="24"/>
              </w:rPr>
              <w:t>专题数据加工与优化</w:t>
            </w:r>
          </w:p>
        </w:tc>
        <w:tc>
          <w:tcPr>
            <w:tcW w:w="5850" w:type="dxa"/>
            <w:tcMar>
              <w:top w:w="80" w:type="dxa"/>
              <w:left w:w="120" w:type="dxa"/>
              <w:bottom w:w="80" w:type="dxa"/>
              <w:right w:w="120" w:type="dxa"/>
            </w:tcMar>
            <w:vAlign w:val="center"/>
          </w:tcPr>
          <w:p>
            <w:pPr>
              <w:keepNext w:val="0"/>
              <w:spacing w:before="0" w:after="20" w:line="259" w:lineRule="auto"/>
              <w:jc w:val="left"/>
              <w:rPr>
                <w:rFonts w:hint="eastAsia" w:ascii="宋体" w:hAnsi="宋体" w:eastAsia="宋体" w:cs="宋体"/>
                <w:sz w:val="24"/>
                <w:szCs w:val="24"/>
              </w:rPr>
            </w:pPr>
            <w:r>
              <w:rPr>
                <w:rFonts w:hint="eastAsia" w:ascii="宋体" w:hAnsi="宋体" w:eastAsia="宋体" w:cs="宋体"/>
                <w:b w:val="0"/>
                <w:sz w:val="24"/>
                <w:szCs w:val="24"/>
              </w:rPr>
              <w:t>围绕污染源“一企一档”、排污许可证、气象数据等重点场景开展数据对账、加工、更新和优化。</w:t>
            </w:r>
          </w:p>
        </w:tc>
      </w:tr>
      <w:tr>
        <w:tblPrEx>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CellMar>
            <w:top w:w="0" w:type="dxa"/>
            <w:left w:w="108" w:type="dxa"/>
            <w:bottom w:w="0" w:type="dxa"/>
            <w:right w:w="108" w:type="dxa"/>
          </w:tblCellMar>
        </w:tblPrEx>
        <w:trPr>
          <w:jc w:val="center"/>
        </w:trPr>
        <w:tc>
          <w:tcPr>
            <w:tcW w:w="650" w:type="dxa"/>
            <w:tcMar>
              <w:top w:w="80" w:type="dxa"/>
              <w:left w:w="120" w:type="dxa"/>
              <w:bottom w:w="80" w:type="dxa"/>
              <w:right w:w="120" w:type="dxa"/>
            </w:tcMar>
            <w:vAlign w:val="center"/>
          </w:tcPr>
          <w:p>
            <w:pPr>
              <w:keepNext w:val="0"/>
              <w:spacing w:before="0" w:after="20" w:line="259" w:lineRule="auto"/>
              <w:jc w:val="center"/>
              <w:rPr>
                <w:rFonts w:hint="eastAsia" w:ascii="宋体" w:hAnsi="宋体" w:eastAsia="宋体" w:cs="宋体"/>
                <w:sz w:val="24"/>
                <w:szCs w:val="24"/>
              </w:rPr>
            </w:pPr>
            <w:r>
              <w:rPr>
                <w:rFonts w:hint="eastAsia" w:ascii="宋体" w:hAnsi="宋体" w:eastAsia="宋体" w:cs="宋体"/>
                <w:b w:val="0"/>
                <w:sz w:val="24"/>
                <w:szCs w:val="24"/>
              </w:rPr>
              <w:t>6</w:t>
            </w:r>
          </w:p>
        </w:tc>
        <w:tc>
          <w:tcPr>
            <w:tcW w:w="1800" w:type="dxa"/>
            <w:tcMar>
              <w:top w:w="80" w:type="dxa"/>
              <w:left w:w="120" w:type="dxa"/>
              <w:bottom w:w="80" w:type="dxa"/>
              <w:right w:w="120" w:type="dxa"/>
            </w:tcMar>
            <w:vAlign w:val="center"/>
          </w:tcPr>
          <w:p>
            <w:pPr>
              <w:keepNext w:val="0"/>
              <w:spacing w:before="0" w:after="20" w:line="259" w:lineRule="auto"/>
              <w:jc w:val="left"/>
              <w:rPr>
                <w:rFonts w:hint="eastAsia" w:ascii="宋体" w:hAnsi="宋体" w:eastAsia="宋体" w:cs="宋体"/>
                <w:sz w:val="24"/>
                <w:szCs w:val="24"/>
              </w:rPr>
            </w:pPr>
            <w:r>
              <w:rPr>
                <w:rFonts w:hint="eastAsia" w:ascii="宋体" w:hAnsi="宋体" w:eastAsia="宋体" w:cs="宋体"/>
                <w:b w:val="0"/>
                <w:sz w:val="24"/>
                <w:szCs w:val="24"/>
              </w:rPr>
              <w:t>数据安全管理</w:t>
            </w:r>
          </w:p>
        </w:tc>
        <w:tc>
          <w:tcPr>
            <w:tcW w:w="5850" w:type="dxa"/>
            <w:tcMar>
              <w:top w:w="80" w:type="dxa"/>
              <w:left w:w="120" w:type="dxa"/>
              <w:bottom w:w="80" w:type="dxa"/>
              <w:right w:w="120" w:type="dxa"/>
            </w:tcMar>
            <w:vAlign w:val="center"/>
          </w:tcPr>
          <w:p>
            <w:pPr>
              <w:keepNext w:val="0"/>
              <w:spacing w:before="0" w:after="20" w:line="259" w:lineRule="auto"/>
              <w:jc w:val="left"/>
              <w:rPr>
                <w:rFonts w:hint="eastAsia" w:ascii="宋体" w:hAnsi="宋体" w:eastAsia="宋体" w:cs="宋体"/>
                <w:sz w:val="24"/>
                <w:szCs w:val="24"/>
              </w:rPr>
            </w:pPr>
            <w:r>
              <w:rPr>
                <w:rFonts w:hint="eastAsia" w:ascii="宋体" w:hAnsi="宋体" w:eastAsia="宋体" w:cs="宋体"/>
                <w:b w:val="0"/>
                <w:sz w:val="24"/>
                <w:szCs w:val="24"/>
              </w:rPr>
              <w:t>按要求开展数据备份巡检、恢复演练、数据脱敏、分类分级等工作，保障数据共享和应用安全。</w:t>
            </w:r>
          </w:p>
        </w:tc>
      </w:tr>
      <w:tr>
        <w:tblPrEx>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CellMar>
            <w:top w:w="0" w:type="dxa"/>
            <w:left w:w="108" w:type="dxa"/>
            <w:bottom w:w="0" w:type="dxa"/>
            <w:right w:w="108" w:type="dxa"/>
          </w:tblCellMar>
        </w:tblPrEx>
        <w:trPr>
          <w:jc w:val="center"/>
        </w:trPr>
        <w:tc>
          <w:tcPr>
            <w:tcW w:w="650" w:type="dxa"/>
            <w:tcMar>
              <w:top w:w="80" w:type="dxa"/>
              <w:left w:w="120" w:type="dxa"/>
              <w:bottom w:w="80" w:type="dxa"/>
              <w:right w:w="120" w:type="dxa"/>
            </w:tcMar>
            <w:vAlign w:val="center"/>
          </w:tcPr>
          <w:p>
            <w:pPr>
              <w:keepNext w:val="0"/>
              <w:spacing w:before="0" w:after="20" w:line="259" w:lineRule="auto"/>
              <w:jc w:val="center"/>
              <w:rPr>
                <w:rFonts w:hint="eastAsia" w:ascii="宋体" w:hAnsi="宋体" w:eastAsia="宋体" w:cs="宋体"/>
                <w:sz w:val="24"/>
                <w:szCs w:val="24"/>
              </w:rPr>
            </w:pPr>
            <w:r>
              <w:rPr>
                <w:rFonts w:hint="eastAsia" w:ascii="宋体" w:hAnsi="宋体" w:eastAsia="宋体" w:cs="宋体"/>
                <w:b w:val="0"/>
                <w:sz w:val="24"/>
                <w:szCs w:val="24"/>
              </w:rPr>
              <w:t>7</w:t>
            </w:r>
          </w:p>
        </w:tc>
        <w:tc>
          <w:tcPr>
            <w:tcW w:w="1800" w:type="dxa"/>
            <w:tcMar>
              <w:top w:w="80" w:type="dxa"/>
              <w:left w:w="120" w:type="dxa"/>
              <w:bottom w:w="80" w:type="dxa"/>
              <w:right w:w="120" w:type="dxa"/>
            </w:tcMar>
            <w:vAlign w:val="center"/>
          </w:tcPr>
          <w:p>
            <w:pPr>
              <w:keepNext w:val="0"/>
              <w:spacing w:before="0" w:after="20" w:line="259" w:lineRule="auto"/>
              <w:jc w:val="left"/>
              <w:rPr>
                <w:rFonts w:hint="eastAsia" w:ascii="宋体" w:hAnsi="宋体" w:eastAsia="宋体" w:cs="宋体"/>
                <w:sz w:val="24"/>
                <w:szCs w:val="24"/>
              </w:rPr>
            </w:pPr>
            <w:r>
              <w:rPr>
                <w:rFonts w:hint="eastAsia" w:ascii="宋体" w:hAnsi="宋体" w:eastAsia="宋体" w:cs="宋体"/>
                <w:b w:val="0"/>
                <w:sz w:val="24"/>
                <w:szCs w:val="24"/>
              </w:rPr>
              <w:t>数据资产化工作</w:t>
            </w:r>
          </w:p>
        </w:tc>
        <w:tc>
          <w:tcPr>
            <w:tcW w:w="5850" w:type="dxa"/>
            <w:tcMar>
              <w:top w:w="80" w:type="dxa"/>
              <w:left w:w="120" w:type="dxa"/>
              <w:bottom w:w="80" w:type="dxa"/>
              <w:right w:w="120" w:type="dxa"/>
            </w:tcMar>
            <w:vAlign w:val="center"/>
          </w:tcPr>
          <w:p>
            <w:pPr>
              <w:keepNext w:val="0"/>
              <w:spacing w:before="0" w:after="20" w:line="259" w:lineRule="auto"/>
              <w:jc w:val="left"/>
              <w:rPr>
                <w:rFonts w:hint="eastAsia" w:ascii="宋体" w:hAnsi="宋体" w:eastAsia="宋体" w:cs="宋体"/>
                <w:sz w:val="24"/>
                <w:szCs w:val="24"/>
              </w:rPr>
            </w:pPr>
            <w:r>
              <w:rPr>
                <w:rFonts w:hint="eastAsia" w:ascii="宋体" w:hAnsi="宋体" w:eastAsia="宋体" w:cs="宋体"/>
                <w:b w:val="0"/>
                <w:sz w:val="24"/>
                <w:szCs w:val="24"/>
              </w:rPr>
              <w:t>配合</w:t>
            </w:r>
            <w:r>
              <w:rPr>
                <w:rFonts w:hint="eastAsia" w:ascii="宋体" w:hAnsi="宋体" w:eastAsia="宋体" w:cs="宋体"/>
                <w:b w:val="0"/>
                <w:sz w:val="24"/>
                <w:szCs w:val="24"/>
                <w:lang w:eastAsia="zh-CN"/>
              </w:rPr>
              <w:t>提供数据资产化工作</w:t>
            </w:r>
            <w:r>
              <w:rPr>
                <w:rFonts w:hint="eastAsia" w:ascii="宋体" w:hAnsi="宋体" w:eastAsia="宋体" w:cs="宋体"/>
                <w:b w:val="0"/>
                <w:sz w:val="24"/>
                <w:szCs w:val="24"/>
              </w:rPr>
              <w:t>数据资源存证证明、合规评估等</w:t>
            </w:r>
            <w:r>
              <w:rPr>
                <w:rFonts w:hint="eastAsia" w:ascii="宋体" w:hAnsi="宋体" w:eastAsia="宋体" w:cs="宋体"/>
                <w:b w:val="0"/>
                <w:sz w:val="24"/>
                <w:szCs w:val="24"/>
                <w:lang w:eastAsia="zh-CN"/>
              </w:rPr>
              <w:t>工作的</w:t>
            </w:r>
            <w:r>
              <w:rPr>
                <w:rFonts w:hint="eastAsia" w:ascii="宋体" w:hAnsi="宋体" w:eastAsia="宋体" w:cs="宋体"/>
                <w:b w:val="0"/>
                <w:sz w:val="24"/>
                <w:szCs w:val="24"/>
              </w:rPr>
              <w:t>技术支持。</w:t>
            </w:r>
          </w:p>
        </w:tc>
      </w:tr>
      <w:tr>
        <w:tblPrEx>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CellMar>
            <w:top w:w="0" w:type="dxa"/>
            <w:left w:w="108" w:type="dxa"/>
            <w:bottom w:w="0" w:type="dxa"/>
            <w:right w:w="108" w:type="dxa"/>
          </w:tblCellMar>
        </w:tblPrEx>
        <w:trPr>
          <w:jc w:val="center"/>
        </w:trPr>
        <w:tc>
          <w:tcPr>
            <w:tcW w:w="650" w:type="dxa"/>
            <w:tcMar>
              <w:top w:w="80" w:type="dxa"/>
              <w:left w:w="120" w:type="dxa"/>
              <w:bottom w:w="80" w:type="dxa"/>
              <w:right w:w="120" w:type="dxa"/>
            </w:tcMar>
            <w:vAlign w:val="center"/>
          </w:tcPr>
          <w:p>
            <w:pPr>
              <w:keepNext w:val="0"/>
              <w:spacing w:before="0" w:after="20" w:line="259" w:lineRule="auto"/>
              <w:jc w:val="center"/>
              <w:rPr>
                <w:rFonts w:hint="eastAsia" w:ascii="宋体" w:hAnsi="宋体" w:eastAsia="宋体" w:cs="宋体"/>
                <w:sz w:val="24"/>
                <w:szCs w:val="24"/>
              </w:rPr>
            </w:pPr>
            <w:r>
              <w:rPr>
                <w:rFonts w:hint="eastAsia" w:ascii="宋体" w:hAnsi="宋体" w:eastAsia="宋体" w:cs="宋体"/>
                <w:b w:val="0"/>
                <w:sz w:val="24"/>
                <w:szCs w:val="24"/>
              </w:rPr>
              <w:t>8</w:t>
            </w:r>
          </w:p>
        </w:tc>
        <w:tc>
          <w:tcPr>
            <w:tcW w:w="1800" w:type="dxa"/>
            <w:tcMar>
              <w:top w:w="80" w:type="dxa"/>
              <w:left w:w="120" w:type="dxa"/>
              <w:bottom w:w="80" w:type="dxa"/>
              <w:right w:w="120" w:type="dxa"/>
            </w:tcMar>
            <w:vAlign w:val="center"/>
          </w:tcPr>
          <w:p>
            <w:pPr>
              <w:keepNext w:val="0"/>
              <w:spacing w:before="0" w:after="20" w:line="259" w:lineRule="auto"/>
              <w:jc w:val="left"/>
              <w:rPr>
                <w:rFonts w:hint="eastAsia" w:ascii="宋体" w:hAnsi="宋体" w:eastAsia="宋体" w:cs="宋体"/>
                <w:sz w:val="24"/>
                <w:szCs w:val="24"/>
              </w:rPr>
            </w:pPr>
            <w:r>
              <w:rPr>
                <w:rFonts w:hint="eastAsia" w:ascii="宋体" w:hAnsi="宋体" w:eastAsia="宋体" w:cs="宋体"/>
                <w:b w:val="0"/>
                <w:sz w:val="24"/>
                <w:szCs w:val="24"/>
              </w:rPr>
              <w:t>一体化数字资源平台技术支持</w:t>
            </w:r>
          </w:p>
        </w:tc>
        <w:tc>
          <w:tcPr>
            <w:tcW w:w="5850" w:type="dxa"/>
            <w:tcMar>
              <w:top w:w="80" w:type="dxa"/>
              <w:left w:w="120" w:type="dxa"/>
              <w:bottom w:w="80" w:type="dxa"/>
              <w:right w:w="120" w:type="dxa"/>
            </w:tcMar>
            <w:vAlign w:val="center"/>
          </w:tcPr>
          <w:p>
            <w:pPr>
              <w:keepNext w:val="0"/>
              <w:spacing w:before="0" w:after="20" w:line="259" w:lineRule="auto"/>
              <w:jc w:val="left"/>
              <w:rPr>
                <w:rFonts w:hint="eastAsia" w:ascii="宋体" w:hAnsi="宋体" w:eastAsia="宋体" w:cs="宋体"/>
                <w:sz w:val="24"/>
                <w:szCs w:val="24"/>
              </w:rPr>
            </w:pPr>
            <w:r>
              <w:rPr>
                <w:rFonts w:hint="eastAsia" w:ascii="宋体" w:hAnsi="宋体" w:eastAsia="宋体" w:cs="宋体"/>
                <w:b w:val="0"/>
                <w:sz w:val="24"/>
                <w:szCs w:val="24"/>
              </w:rPr>
              <w:t>按照市一体化数字资源平台标准，配合开展质量问题整改、接口适配、数据推送及跨部门共享技术对接。</w:t>
            </w:r>
          </w:p>
        </w:tc>
      </w:tr>
      <w:tr>
        <w:tblPrEx>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CellMar>
            <w:top w:w="0" w:type="dxa"/>
            <w:left w:w="108" w:type="dxa"/>
            <w:bottom w:w="0" w:type="dxa"/>
            <w:right w:w="108" w:type="dxa"/>
          </w:tblCellMar>
        </w:tblPrEx>
        <w:trPr>
          <w:jc w:val="center"/>
        </w:trPr>
        <w:tc>
          <w:tcPr>
            <w:tcW w:w="650" w:type="dxa"/>
            <w:tcMar>
              <w:top w:w="80" w:type="dxa"/>
              <w:left w:w="120" w:type="dxa"/>
              <w:bottom w:w="80" w:type="dxa"/>
              <w:right w:w="120" w:type="dxa"/>
            </w:tcMar>
            <w:vAlign w:val="center"/>
          </w:tcPr>
          <w:p>
            <w:pPr>
              <w:keepNext w:val="0"/>
              <w:spacing w:before="0" w:after="20" w:line="259" w:lineRule="auto"/>
              <w:jc w:val="center"/>
              <w:rPr>
                <w:rFonts w:hint="eastAsia" w:ascii="宋体" w:hAnsi="宋体" w:eastAsia="宋体" w:cs="宋体"/>
                <w:sz w:val="24"/>
                <w:szCs w:val="24"/>
              </w:rPr>
            </w:pPr>
            <w:r>
              <w:rPr>
                <w:rFonts w:hint="eastAsia" w:ascii="宋体" w:hAnsi="宋体" w:eastAsia="宋体" w:cs="宋体"/>
                <w:b w:val="0"/>
                <w:sz w:val="24"/>
                <w:szCs w:val="24"/>
              </w:rPr>
              <w:t>9</w:t>
            </w:r>
          </w:p>
        </w:tc>
        <w:tc>
          <w:tcPr>
            <w:tcW w:w="1800" w:type="dxa"/>
            <w:tcMar>
              <w:top w:w="80" w:type="dxa"/>
              <w:left w:w="120" w:type="dxa"/>
              <w:bottom w:w="80" w:type="dxa"/>
              <w:right w:w="120" w:type="dxa"/>
            </w:tcMar>
            <w:vAlign w:val="center"/>
          </w:tcPr>
          <w:p>
            <w:pPr>
              <w:keepNext w:val="0"/>
              <w:spacing w:before="0" w:after="20" w:line="259" w:lineRule="auto"/>
              <w:jc w:val="left"/>
              <w:rPr>
                <w:rFonts w:hint="eastAsia" w:ascii="宋体" w:hAnsi="宋体" w:eastAsia="宋体" w:cs="宋体"/>
                <w:sz w:val="24"/>
                <w:szCs w:val="24"/>
              </w:rPr>
            </w:pPr>
            <w:r>
              <w:rPr>
                <w:rFonts w:hint="eastAsia" w:ascii="宋体" w:hAnsi="宋体" w:eastAsia="宋体" w:cs="宋体"/>
                <w:b w:val="0"/>
                <w:sz w:val="24"/>
                <w:szCs w:val="24"/>
              </w:rPr>
              <w:t>定期数据报告</w:t>
            </w:r>
          </w:p>
        </w:tc>
        <w:tc>
          <w:tcPr>
            <w:tcW w:w="5850" w:type="dxa"/>
            <w:tcMar>
              <w:top w:w="80" w:type="dxa"/>
              <w:left w:w="120" w:type="dxa"/>
              <w:bottom w:w="80" w:type="dxa"/>
              <w:right w:w="120" w:type="dxa"/>
            </w:tcMar>
            <w:vAlign w:val="center"/>
          </w:tcPr>
          <w:p>
            <w:pPr>
              <w:keepNext w:val="0"/>
              <w:spacing w:before="0" w:after="20" w:line="259" w:lineRule="auto"/>
              <w:jc w:val="left"/>
              <w:rPr>
                <w:rFonts w:hint="eastAsia" w:ascii="宋体" w:hAnsi="宋体" w:eastAsia="宋体" w:cs="宋体"/>
                <w:sz w:val="24"/>
                <w:szCs w:val="24"/>
              </w:rPr>
            </w:pPr>
            <w:r>
              <w:rPr>
                <w:rFonts w:hint="eastAsia" w:ascii="宋体" w:hAnsi="宋体" w:eastAsia="宋体" w:cs="宋体"/>
                <w:b w:val="0"/>
                <w:sz w:val="24"/>
                <w:szCs w:val="24"/>
              </w:rPr>
              <w:t>按采购人要求输出周、月、年度数据治理服务报告，内容包括数据采集、共享、质量巡检、问题整改、资产化支撑等情况。</w:t>
            </w:r>
          </w:p>
        </w:tc>
      </w:tr>
    </w:tbl>
    <w:p>
      <w:pPr>
        <w:adjustRightInd w:val="0"/>
        <w:snapToGrid w:val="0"/>
        <w:ind w:firstLine="560" w:firstLineChars="200"/>
        <w:rPr>
          <w:rFonts w:hint="eastAsia" w:ascii="仿宋_GB2312" w:hAnsi="仿宋_GB2312" w:eastAsia="仿宋_GB2312" w:cs="仿宋_GB2312"/>
          <w:color w:val="000000" w:themeColor="text1"/>
          <w:sz w:val="28"/>
          <w:szCs w:val="36"/>
          <w14:textFill>
            <w14:solidFill>
              <w14:schemeClr w14:val="tx1"/>
            </w14:solidFill>
          </w14:textFill>
        </w:rPr>
      </w:pPr>
    </w:p>
    <w:p>
      <w:pPr>
        <w:adjustRightInd w:val="0"/>
        <w:snapToGrid w:val="0"/>
        <w:ind w:firstLine="480" w:firstLineChars="200"/>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1.数据编目管理</w:t>
      </w:r>
    </w:p>
    <w:p>
      <w:pPr>
        <w:adjustRightInd w:val="0"/>
        <w:snapToGrid w:val="0"/>
        <w:ind w:firstLine="480" w:firstLineChars="200"/>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构建规范、统一、可查、可用的生态环境数据资源体系，实现数据资产可视化管理。提供数据资源目录维护服务，面向已接入的数据来源系统及已上架数据目录，开展全要素、动态化、闭环式维护管理；提供元数据维护工作，面向现有数据元、数据模型开展全流程分类管理、动态更新与同步适配维护。</w:t>
      </w:r>
    </w:p>
    <w:p>
      <w:pPr>
        <w:adjustRightInd w:val="0"/>
        <w:snapToGrid w:val="0"/>
        <w:ind w:firstLine="480" w:firstLineChars="200"/>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2.数据采集</w:t>
      </w:r>
    </w:p>
    <w:p>
      <w:pPr>
        <w:adjustRightInd w:val="0"/>
        <w:snapToGrid w:val="0"/>
        <w:ind w:firstLine="480" w:firstLineChars="200"/>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保障全市生态环境数据源头可溯、实时汇聚、稳定接入，覆盖人工导入、新增汇聚、源切换、标准适配、任务保障全流程。提供非结构化数据入库、数据结构补齐、已对接数据来源优化切换、数据标准变更同步适配服务，提供数据采集任务运维保障服务。</w:t>
      </w:r>
    </w:p>
    <w:p>
      <w:pPr>
        <w:adjustRightInd w:val="0"/>
        <w:snapToGrid w:val="0"/>
        <w:ind w:firstLine="480" w:firstLineChars="200"/>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3.数据共享</w:t>
      </w:r>
    </w:p>
    <w:p>
      <w:pPr>
        <w:adjustRightInd w:val="0"/>
        <w:snapToGrid w:val="0"/>
        <w:ind w:firstLine="480" w:firstLineChars="200"/>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需开展数据接口运维，负责数据资源中心各个API接口常态化运维管理；提供数据共享服务，针对各类外部单位数据交换要求，向市一体化数字资源平台常态化推送数据；响应信用办考核要求，完成数据整改、补报、核查；响应新增共享需求，完成数据对接、格式转换、安全脱敏，落实公共数据共享要求；实现省市数据对接，完成新增数据接口开发。</w:t>
      </w:r>
    </w:p>
    <w:p>
      <w:pPr>
        <w:adjustRightInd w:val="0"/>
        <w:snapToGrid w:val="0"/>
        <w:ind w:firstLine="480" w:firstLineChars="200"/>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4.数据质量监控</w:t>
      </w:r>
    </w:p>
    <w:p>
      <w:pPr>
        <w:adjustRightInd w:val="0"/>
        <w:snapToGrid w:val="0"/>
        <w:ind w:firstLine="480" w:firstLineChars="200"/>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通过常态化巡检+每月关键领域专项对账的双层闭环监控机制，对全量生态环境数据开展全维度核查校验，及时发现数据更新滞后、缺失、错漏、口径不一致等问题并快速处置，确保数据质量满足生态环境监管、跨部门共享、业务应用及考核要求。</w:t>
      </w:r>
    </w:p>
    <w:p>
      <w:pPr>
        <w:adjustRightInd w:val="0"/>
        <w:snapToGrid w:val="0"/>
        <w:ind w:firstLine="480" w:firstLineChars="200"/>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5.专题数据加工与优化</w:t>
      </w:r>
    </w:p>
    <w:p>
      <w:pPr>
        <w:adjustRightInd w:val="0"/>
        <w:snapToGrid w:val="0"/>
        <w:ind w:firstLine="480" w:firstLineChars="200"/>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实现污染源“一企一档”数据全量管理与动态更新。完成排污许可证数据精准对账。比对市局回流数据与国家平台数据差异，及时处置异常，保障数据准确，支撑排污许可全生命周期管理。完成气象数据质量核查，为气象数据应用提供数据支撑。</w:t>
      </w:r>
    </w:p>
    <w:p>
      <w:pPr>
        <w:adjustRightInd w:val="0"/>
        <w:snapToGrid w:val="0"/>
        <w:ind w:firstLine="480" w:firstLineChars="200"/>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6.数据安全管理</w:t>
      </w:r>
    </w:p>
    <w:p>
      <w:pPr>
        <w:adjustRightInd w:val="0"/>
        <w:snapToGrid w:val="0"/>
        <w:ind w:firstLine="480" w:firstLineChars="200"/>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提供数据备份服务，每周一次巡检数据备份情况，制定数据备份策略，定期开展数据恢复性演练；进行数据脱敏处理，针对生态环境敏感数据、企业隐私数据、个人信息数据，在数据共享、接口调用、对外提供、业务应用中严防敏感信息泄露；进行数据分类分级，遵循武汉市公共数据安全管理规范与市一体化数据资源平台分类分级标准，对生态环境数据实施标准化分类、精准化分级、动态化标注管理。</w:t>
      </w:r>
    </w:p>
    <w:p>
      <w:pPr>
        <w:adjustRightInd w:val="0"/>
        <w:snapToGrid w:val="0"/>
        <w:ind w:firstLine="480" w:firstLineChars="200"/>
        <w:rPr>
          <w:rFonts w:hint="eastAsia" w:ascii="宋体" w:hAnsi="宋体" w:eastAsia="宋体" w:cs="宋体"/>
          <w:color w:val="000000" w:themeColor="text1"/>
          <w:sz w:val="24"/>
          <w:szCs w:val="32"/>
          <w:lang w:eastAsia="zh-CN"/>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7.数据资产化工作</w:t>
      </w:r>
      <w:r>
        <w:rPr>
          <w:rFonts w:hint="eastAsia" w:ascii="宋体" w:hAnsi="宋体" w:eastAsia="宋体" w:cs="宋体"/>
          <w:color w:val="000000" w:themeColor="text1"/>
          <w:sz w:val="24"/>
          <w:szCs w:val="32"/>
          <w:lang w:eastAsia="zh-CN"/>
          <w14:textFill>
            <w14:solidFill>
              <w14:schemeClr w14:val="tx1"/>
            </w14:solidFill>
          </w14:textFill>
        </w:rPr>
        <w:t>技术支持</w:t>
      </w:r>
    </w:p>
    <w:p>
      <w:pPr>
        <w:adjustRightInd w:val="0"/>
        <w:snapToGrid w:val="0"/>
        <w:ind w:firstLine="480" w:firstLineChars="200"/>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根据《关于加强数据资产管理的指导意见》及《武汉市数据资产全过程管理及公共数据资源资产化改革试点方案》等文件要求，配合完成数据资产化相关技术支持工作。</w:t>
      </w:r>
    </w:p>
    <w:p>
      <w:pPr>
        <w:adjustRightInd w:val="0"/>
        <w:snapToGrid w:val="0"/>
        <w:ind w:firstLine="480" w:firstLineChars="200"/>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8.</w:t>
      </w:r>
      <w:r>
        <w:rPr>
          <w:rFonts w:hint="eastAsia" w:ascii="宋体" w:hAnsi="宋体" w:eastAsia="宋体" w:cs="宋体"/>
          <w:color w:val="000000" w:themeColor="text1"/>
          <w:sz w:val="24"/>
          <w:szCs w:val="28"/>
          <w14:textFill>
            <w14:solidFill>
              <w14:schemeClr w14:val="tx1"/>
            </w14:solidFill>
          </w14:textFill>
        </w:rPr>
        <w:t>武汉市一体化数字资源平台技术支持</w:t>
      </w:r>
    </w:p>
    <w:p>
      <w:pPr>
        <w:adjustRightInd w:val="0"/>
        <w:snapToGrid w:val="0"/>
        <w:ind w:firstLine="480" w:firstLineChars="200"/>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做好数据目录常态化维护与动态编目更新</w:t>
      </w:r>
      <w:r>
        <w:rPr>
          <w:rFonts w:hint="eastAsia" w:ascii="宋体" w:hAnsi="宋体" w:cs="宋体"/>
          <w:color w:val="000000" w:themeColor="text1"/>
          <w:sz w:val="24"/>
          <w:szCs w:val="32"/>
          <w:lang w:eastAsia="zh-CN"/>
          <w14:textFill>
            <w14:solidFill>
              <w14:schemeClr w14:val="tx1"/>
            </w14:solidFill>
          </w14:textFill>
        </w:rPr>
        <w:t>的技术</w:t>
      </w:r>
      <w:bookmarkStart w:id="1" w:name="_GoBack"/>
      <w:bookmarkEnd w:id="1"/>
      <w:r>
        <w:rPr>
          <w:rFonts w:hint="eastAsia" w:ascii="宋体" w:hAnsi="宋体" w:eastAsia="宋体" w:cs="宋体"/>
          <w:color w:val="000000" w:themeColor="text1"/>
          <w:sz w:val="24"/>
          <w:szCs w:val="32"/>
          <w14:textFill>
            <w14:solidFill>
              <w14:schemeClr w14:val="tx1"/>
            </w14:solidFill>
          </w14:textFill>
        </w:rPr>
        <w:t>支持；</w:t>
      </w:r>
      <w:bookmarkStart w:id="0" w:name="OLE_LINK1"/>
      <w:r>
        <w:rPr>
          <w:rFonts w:hint="eastAsia" w:ascii="宋体" w:hAnsi="宋体" w:eastAsia="宋体" w:cs="宋体"/>
          <w:color w:val="000000" w:themeColor="text1"/>
          <w:sz w:val="24"/>
          <w:szCs w:val="32"/>
          <w14:textFill>
            <w14:solidFill>
              <w14:schemeClr w14:val="tx1"/>
            </w14:solidFill>
          </w14:textFill>
        </w:rPr>
        <w:t>配合平台数据质量检测对发现的数据质量问题及时溯源排查、技术研判与整改处置</w:t>
      </w:r>
      <w:bookmarkEnd w:id="0"/>
      <w:r>
        <w:rPr>
          <w:rFonts w:hint="eastAsia" w:ascii="宋体" w:hAnsi="宋体" w:eastAsia="宋体" w:cs="宋体"/>
          <w:color w:val="000000" w:themeColor="text1"/>
          <w:sz w:val="24"/>
          <w:szCs w:val="32"/>
          <w14:textFill>
            <w14:solidFill>
              <w14:schemeClr w14:val="tx1"/>
            </w14:solidFill>
          </w14:textFill>
        </w:rPr>
        <w:t>，1个工作日内反馈；按一体化平台要求，配合完成接口适配改造、稳定数据推送链路，按需做好跨部门数据共享技术对接，保障数据流转安全稳定、常态化可用。</w:t>
      </w:r>
    </w:p>
    <w:p>
      <w:pPr>
        <w:adjustRightInd w:val="0"/>
        <w:snapToGrid w:val="0"/>
        <w:ind w:firstLine="480" w:firstLineChars="200"/>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9.定期数据报告</w:t>
      </w:r>
    </w:p>
    <w:p>
      <w:pPr>
        <w:adjustRightInd w:val="0"/>
        <w:snapToGrid w:val="0"/>
        <w:ind w:firstLine="480" w:firstLineChars="200"/>
      </w:pPr>
      <w:r>
        <w:rPr>
          <w:rFonts w:hint="eastAsia" w:ascii="宋体" w:hAnsi="宋体" w:eastAsia="宋体" w:cs="宋体"/>
          <w:color w:val="000000" w:themeColor="text1"/>
          <w:sz w:val="24"/>
          <w:szCs w:val="32"/>
          <w14:textFill>
            <w14:solidFill>
              <w14:schemeClr w14:val="tx1"/>
            </w14:solidFill>
          </w14:textFill>
        </w:rPr>
        <w:t>定期提供数据报告，按固定周期全面梳理、汇总、分析数据治理全流程工作情况，包括但不限于数据共享情况、数据质量监控、数据巡检情况，形成标准化数据报告，按周、月、年等周期输出数据报告。</w:t>
      </w:r>
    </w:p>
    <w:p>
      <w:pPr>
        <w:keepNext/>
        <w:spacing w:before="180" w:after="100" w:line="276" w:lineRule="auto"/>
      </w:pPr>
      <w:r>
        <w:rPr>
          <w:rFonts w:hint="eastAsia" w:ascii="黑体" w:hAnsi="黑体" w:eastAsia="黑体"/>
          <w:b/>
          <w:color w:val="000000"/>
          <w:sz w:val="30"/>
          <w:lang w:eastAsia="zh-CN"/>
        </w:rPr>
        <w:t>三</w:t>
      </w:r>
      <w:r>
        <w:rPr>
          <w:rFonts w:ascii="黑体" w:hAnsi="黑体" w:eastAsia="黑体"/>
          <w:b/>
          <w:color w:val="000000"/>
          <w:sz w:val="30"/>
        </w:rPr>
        <w:t>、商务要求</w:t>
      </w:r>
    </w:p>
    <w:p>
      <w:pPr>
        <w:keepNext w:val="0"/>
        <w:spacing w:before="0" w:after="80" w:line="276" w:lineRule="auto"/>
        <w:rPr>
          <w:rFonts w:hint="eastAsia" w:ascii="宋体" w:hAnsi="宋体" w:eastAsia="宋体" w:cs="宋体"/>
          <w:sz w:val="24"/>
          <w:szCs w:val="28"/>
          <w:lang w:eastAsia="zh-CN"/>
        </w:rPr>
      </w:pPr>
      <w:r>
        <w:rPr>
          <w:rFonts w:hint="eastAsia" w:ascii="宋体" w:hAnsi="宋体" w:eastAsia="宋体" w:cs="宋体"/>
          <w:b w:val="0"/>
          <w:sz w:val="24"/>
          <w:szCs w:val="28"/>
        </w:rPr>
        <w:t>（一）供应商报价应包括完成本项目所需的人员服务、数据治理、接口开发与运维、文档编制、会议汇报、技术支持、差旅、税费等全部费用</w:t>
      </w:r>
      <w:r>
        <w:rPr>
          <w:rFonts w:hint="eastAsia" w:ascii="宋体" w:hAnsi="宋体" w:eastAsia="宋体" w:cs="宋体"/>
          <w:b w:val="0"/>
          <w:sz w:val="24"/>
          <w:szCs w:val="28"/>
          <w:lang w:eastAsia="zh-CN"/>
        </w:rPr>
        <w:t>，如有漏报、错报，其后果由供应商自行承担，采购人不再另行支付任何费用。</w:t>
      </w:r>
    </w:p>
    <w:p>
      <w:pPr>
        <w:keepNext w:val="0"/>
        <w:spacing w:before="0" w:after="80" w:line="276" w:lineRule="auto"/>
        <w:rPr>
          <w:rFonts w:hint="eastAsia" w:ascii="宋体" w:hAnsi="宋体" w:eastAsia="宋体" w:cs="宋体"/>
          <w:sz w:val="24"/>
          <w:szCs w:val="28"/>
        </w:rPr>
      </w:pPr>
      <w:r>
        <w:rPr>
          <w:rFonts w:hint="eastAsia" w:ascii="宋体" w:hAnsi="宋体" w:eastAsia="宋体" w:cs="宋体"/>
          <w:b w:val="0"/>
          <w:sz w:val="24"/>
          <w:szCs w:val="28"/>
        </w:rPr>
        <w:t>（二）供应商应在合同签订后按采购人要求组建服务团队，现场或远程工作人员须服从采购人管理，遵守采购人工作制度和安全管理要求。</w:t>
      </w:r>
    </w:p>
    <w:p>
      <w:pPr>
        <w:keepNext w:val="0"/>
        <w:spacing w:before="0" w:after="80" w:line="276" w:lineRule="auto"/>
        <w:rPr>
          <w:rFonts w:hint="eastAsia" w:ascii="宋体" w:hAnsi="宋体" w:eastAsia="宋体" w:cs="宋体"/>
          <w:sz w:val="24"/>
          <w:szCs w:val="28"/>
        </w:rPr>
      </w:pPr>
      <w:r>
        <w:rPr>
          <w:rFonts w:hint="eastAsia" w:ascii="宋体" w:hAnsi="宋体" w:eastAsia="宋体" w:cs="宋体"/>
          <w:b w:val="0"/>
          <w:sz w:val="24"/>
          <w:szCs w:val="28"/>
        </w:rPr>
        <w:t>（三）供应商不得将本项目整体或主要服务内容转包、违法分包给第三方。</w:t>
      </w:r>
    </w:p>
    <w:p>
      <w:pPr>
        <w:keepNext w:val="0"/>
        <w:spacing w:before="0" w:after="80" w:line="276" w:lineRule="auto"/>
        <w:rPr>
          <w:rFonts w:hint="eastAsia" w:ascii="宋体" w:hAnsi="宋体" w:eastAsia="宋体" w:cs="宋体"/>
          <w:sz w:val="24"/>
          <w:szCs w:val="28"/>
        </w:rPr>
      </w:pPr>
      <w:r>
        <w:rPr>
          <w:rFonts w:hint="eastAsia" w:ascii="宋体" w:hAnsi="宋体" w:eastAsia="宋体" w:cs="宋体"/>
          <w:b w:val="0"/>
          <w:sz w:val="24"/>
          <w:szCs w:val="28"/>
        </w:rPr>
        <w:t>（四）项目费用支付按采购合同约定执行。</w:t>
      </w:r>
    </w:p>
    <w:p>
      <w:pPr>
        <w:keepNext/>
        <w:spacing w:before="180" w:after="100" w:line="276" w:lineRule="auto"/>
      </w:pPr>
      <w:r>
        <w:rPr>
          <w:rFonts w:hint="eastAsia" w:ascii="黑体" w:hAnsi="黑体" w:eastAsia="黑体"/>
          <w:b/>
          <w:color w:val="000000"/>
          <w:sz w:val="30"/>
          <w:lang w:eastAsia="zh-CN"/>
        </w:rPr>
        <w:t>四</w:t>
      </w:r>
      <w:r>
        <w:rPr>
          <w:rFonts w:ascii="黑体" w:hAnsi="黑体" w:eastAsia="黑体"/>
          <w:b/>
          <w:color w:val="000000"/>
          <w:sz w:val="30"/>
        </w:rPr>
        <w:t>、知识产权及保密要求</w:t>
      </w:r>
    </w:p>
    <w:p>
      <w:pPr>
        <w:keepNext w:val="0"/>
        <w:spacing w:before="0" w:after="80" w:line="276" w:lineRule="auto"/>
        <w:ind w:firstLine="403"/>
        <w:rPr>
          <w:sz w:val="24"/>
          <w:szCs w:val="28"/>
        </w:rPr>
      </w:pPr>
      <w:r>
        <w:rPr>
          <w:rFonts w:ascii="Times New Roman" w:hAnsi="Times New Roman" w:eastAsia="宋体"/>
          <w:b w:val="0"/>
          <w:sz w:val="24"/>
          <w:szCs w:val="28"/>
        </w:rPr>
        <w:t>采购人拥有本项目实施过程中形成的报告、方案、台账、数据治理成果、配置文档、接口资料、验收材料等成果的全部知识产权。未经采购人许可，供应商不得擅自使用、复制、发表、转让或向第三方提供。</w:t>
      </w:r>
    </w:p>
    <w:p>
      <w:pPr>
        <w:keepNext w:val="0"/>
        <w:spacing w:before="0" w:after="80" w:line="276" w:lineRule="auto"/>
        <w:ind w:firstLine="403"/>
        <w:rPr>
          <w:sz w:val="24"/>
          <w:szCs w:val="28"/>
        </w:rPr>
      </w:pPr>
      <w:r>
        <w:rPr>
          <w:rFonts w:ascii="Times New Roman" w:hAnsi="Times New Roman" w:eastAsia="宋体"/>
          <w:b w:val="0"/>
          <w:sz w:val="24"/>
          <w:szCs w:val="28"/>
        </w:rPr>
        <w:t>供应商及其工作人员应对服务过程中接触的业务系统、网络环境、数据资源、接口信息、账号权限、业务流程、技术文档和工作资料严格保密，不得泄露给任何单位或个人，不得将相关资料用于本项目以外的其他用途。</w:t>
      </w:r>
    </w:p>
    <w:p>
      <w:pPr>
        <w:keepNext w:val="0"/>
        <w:spacing w:before="0" w:after="80" w:line="276" w:lineRule="auto"/>
        <w:ind w:firstLine="403"/>
      </w:pPr>
    </w:p>
    <w:sectPr>
      <w:pgSz w:w="11909" w:h="16834"/>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auto"/>
    <w:pitch w:val="default"/>
    <w:sig w:usb0="E00002FF" w:usb1="400004FF" w:usb2="00000000" w:usb3="00000000" w:csb0="2000019F" w:csb1="00000000"/>
  </w:font>
  <w:font w:name="MS Mincho">
    <w:panose1 w:val="02020609040205080304"/>
    <w:charset w:val="80"/>
    <w:family w:val="auto"/>
    <w:pitch w:val="default"/>
    <w:sig w:usb0="E00002FF" w:usb1="6AC7FDFB" w:usb2="00000012" w:usb3="00000000" w:csb0="4002009F" w:csb1="DFD70000"/>
  </w:font>
  <w:font w:name="MS Gothic">
    <w:panose1 w:val="020B0609070205080204"/>
    <w:charset w:val="80"/>
    <w:family w:val="auto"/>
    <w:pitch w:val="default"/>
    <w:sig w:usb0="E00002FF" w:usb1="6AC7FDFB" w:usb2="00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abstractNum w:abstractNumId="6">
    <w:nsid w:val="2C90CE5D"/>
    <w:multiLevelType w:val="singleLevel"/>
    <w:tmpl w:val="2C90CE5D"/>
    <w:lvl w:ilvl="0" w:tentative="0">
      <w:start w:val="2"/>
      <w:numFmt w:val="chineseCounting"/>
      <w:suff w:val="nothing"/>
      <w:lvlText w:val="（%1）"/>
      <w:lvlJc w:val="left"/>
      <w:rPr>
        <w:rFonts w:hint="eastAsia"/>
      </w:rPr>
    </w:lvl>
  </w:abstractNum>
  <w:num w:numId="1">
    <w:abstractNumId w:val="1"/>
  </w:num>
  <w:num w:numId="2">
    <w:abstractNumId w:val="4"/>
  </w:num>
  <w:num w:numId="3">
    <w:abstractNumId w:val="5"/>
  </w:num>
  <w:num w:numId="4">
    <w:abstractNumId w:val="2"/>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9274D1"/>
    <w:rsid w:val="00AA1D8D"/>
    <w:rsid w:val="00B47730"/>
    <w:rsid w:val="00CB0664"/>
    <w:rsid w:val="00FC693F"/>
    <w:rsid w:val="045765A4"/>
    <w:rsid w:val="63C4221F"/>
    <w:rsid w:val="64D83F24"/>
    <w:rsid w:val="66C45B4B"/>
    <w:rsid w:val="704E7A3D"/>
    <w:rsid w:val="79FB27F6"/>
    <w:rsid w:val="7F56478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unhideWhenUsed="0" w:uiPriority="70" w:semiHidden="0" w:name="Dark List"/>
    <w:lsdException w:unhideWhenUsed="0" w:uiPriority="71" w:semiHidden="0" w:name="Colorful Shading"/>
    <w:lsdException w:qFormat="1" w:unhideWhenUsed="0" w:uiPriority="72" w:semiHidden="0" w:name="Colorful List"/>
    <w:lsdException w:qFormat="1" w:unhideWhenUsed="0" w:uiPriority="73" w:semiHidden="0" w:name="Colorful Grid"/>
    <w:lsdException w:unhideWhenUsed="0" w:uiPriority="60" w:semiHidden="0" w:name="Light Shading Accent 1"/>
    <w:lsdException w:qFormat="1" w:unhideWhenUsed="0" w:uiPriority="61" w:semiHidden="0" w:name="Light List Accent 1"/>
    <w:lsdException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unhideWhenUsed="0" w:uiPriority="60" w:semiHidden="0" w:name="Light Shading Accent 2"/>
    <w:lsdException w:qFormat="1" w:unhideWhenUsed="0" w:uiPriority="61" w:semiHidden="0" w:name="Light List Accent 2"/>
    <w:lsdException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80" w:line="276" w:lineRule="auto"/>
    </w:pPr>
    <w:rPr>
      <w:rFonts w:ascii="Times New Roman" w:hAnsi="Times New Roman" w:eastAsia="宋体" w:cstheme="minorBidi"/>
      <w:sz w:val="21"/>
      <w:szCs w:val="22"/>
      <w:lang w:val="en-US" w:eastAsia="en-US" w:bidi="ar-SA"/>
    </w:rPr>
  </w:style>
  <w:style w:type="paragraph" w:styleId="3">
    <w:name w:val="heading 1"/>
    <w:basedOn w:val="1"/>
    <w:next w:val="1"/>
    <w:link w:val="13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40"/>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1"/>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1"/>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2"/>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3"/>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4"/>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5"/>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6"/>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3">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macro"/>
    <w:link w:val="148"/>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qFormat/>
    <w:uiPriority w:val="99"/>
    <w:pPr>
      <w:ind w:left="1080" w:hanging="360"/>
      <w:contextualSpacing/>
    </w:pPr>
  </w:style>
  <w:style w:type="paragraph" w:styleId="13">
    <w:name w:val="List Number 2"/>
    <w:basedOn w:val="1"/>
    <w:unhideWhenUsed/>
    <w:qFormat/>
    <w:uiPriority w:val="99"/>
    <w:pPr>
      <w:numPr>
        <w:ilvl w:val="0"/>
        <w:numId w:val="1"/>
      </w:numPr>
      <w:contextualSpacing/>
    </w:pPr>
  </w:style>
  <w:style w:type="paragraph" w:styleId="14">
    <w:name w:val="List Number"/>
    <w:basedOn w:val="1"/>
    <w:unhideWhenUsed/>
    <w:qFormat/>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qFormat/>
    <w:uiPriority w:val="99"/>
    <w:pPr>
      <w:numPr>
        <w:ilvl w:val="0"/>
        <w:numId w:val="3"/>
      </w:numPr>
      <w:contextualSpacing/>
    </w:pPr>
  </w:style>
  <w:style w:type="paragraph" w:styleId="17">
    <w:name w:val="Body Text 3"/>
    <w:basedOn w:val="1"/>
    <w:link w:val="147"/>
    <w:unhideWhenUsed/>
    <w:qFormat/>
    <w:uiPriority w:val="99"/>
    <w:pPr>
      <w:spacing w:after="120"/>
    </w:pPr>
    <w:rPr>
      <w:sz w:val="16"/>
      <w:szCs w:val="16"/>
    </w:rPr>
  </w:style>
  <w:style w:type="paragraph" w:styleId="18">
    <w:name w:val="List Bullet 3"/>
    <w:basedOn w:val="1"/>
    <w:unhideWhenUsed/>
    <w:qFormat/>
    <w:uiPriority w:val="99"/>
    <w:pPr>
      <w:numPr>
        <w:ilvl w:val="0"/>
        <w:numId w:val="4"/>
      </w:numPr>
      <w:contextualSpacing/>
    </w:pPr>
  </w:style>
  <w:style w:type="paragraph" w:styleId="19">
    <w:name w:val="Body Text"/>
    <w:basedOn w:val="1"/>
    <w:link w:val="145"/>
    <w:unhideWhenUsed/>
    <w:uiPriority w:val="99"/>
    <w:pPr>
      <w:spacing w:after="120"/>
    </w:pPr>
  </w:style>
  <w:style w:type="paragraph" w:styleId="20">
    <w:name w:val="List Number 3"/>
    <w:basedOn w:val="1"/>
    <w:unhideWhenUsed/>
    <w:qFormat/>
    <w:uiPriority w:val="99"/>
    <w:pPr>
      <w:numPr>
        <w:ilvl w:val="0"/>
        <w:numId w:val="5"/>
      </w:numPr>
      <w:contextualSpacing/>
    </w:pPr>
  </w:style>
  <w:style w:type="paragraph" w:styleId="21">
    <w:name w:val="List 2"/>
    <w:basedOn w:val="1"/>
    <w:unhideWhenUsed/>
    <w:qFormat/>
    <w:uiPriority w:val="99"/>
    <w:pPr>
      <w:ind w:left="720" w:hanging="360"/>
      <w:contextualSpacing/>
    </w:pPr>
  </w:style>
  <w:style w:type="paragraph" w:styleId="22">
    <w:name w:val="List Continue"/>
    <w:basedOn w:val="1"/>
    <w:unhideWhenUsed/>
    <w:qFormat/>
    <w:uiPriority w:val="99"/>
    <w:pPr>
      <w:spacing w:after="120"/>
      <w:ind w:left="360"/>
      <w:contextualSpacing/>
    </w:pPr>
  </w:style>
  <w:style w:type="paragraph" w:styleId="23">
    <w:name w:val="List Bullet 2"/>
    <w:basedOn w:val="1"/>
    <w:unhideWhenUsed/>
    <w:qFormat/>
    <w:uiPriority w:val="99"/>
    <w:pPr>
      <w:numPr>
        <w:ilvl w:val="0"/>
        <w:numId w:val="6"/>
      </w:numPr>
      <w:contextualSpacing/>
    </w:pPr>
  </w:style>
  <w:style w:type="paragraph" w:styleId="24">
    <w:name w:val="footer"/>
    <w:basedOn w:val="1"/>
    <w:link w:val="137"/>
    <w:unhideWhenUsed/>
    <w:uiPriority w:val="99"/>
    <w:pPr>
      <w:tabs>
        <w:tab w:val="center" w:pos="4680"/>
        <w:tab w:val="right" w:pos="9360"/>
      </w:tabs>
      <w:spacing w:after="0" w:line="240" w:lineRule="auto"/>
    </w:pPr>
  </w:style>
  <w:style w:type="paragraph" w:styleId="25">
    <w:name w:val="header"/>
    <w:basedOn w:val="1"/>
    <w:link w:val="136"/>
    <w:unhideWhenUsed/>
    <w:uiPriority w:val="99"/>
    <w:pPr>
      <w:tabs>
        <w:tab w:val="center" w:pos="4680"/>
        <w:tab w:val="right" w:pos="9360"/>
      </w:tabs>
      <w:spacing w:after="0" w:line="240" w:lineRule="auto"/>
    </w:pPr>
  </w:style>
  <w:style w:type="paragraph" w:styleId="26">
    <w:name w:val="toc 1"/>
    <w:basedOn w:val="1"/>
    <w:next w:val="1"/>
    <w:unhideWhenUsed/>
    <w:qFormat/>
    <w:uiPriority w:val="39"/>
    <w:pPr>
      <w:ind w:firstLine="420" w:firstLineChars="200"/>
    </w:pPr>
    <w:rPr>
      <w:color w:val="FF0000"/>
    </w:rPr>
  </w:style>
  <w:style w:type="paragraph" w:styleId="27">
    <w:name w:val="Subtitle"/>
    <w:basedOn w:val="1"/>
    <w:next w:val="1"/>
    <w:link w:val="143"/>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8">
    <w:name w:val="List"/>
    <w:basedOn w:val="1"/>
    <w:unhideWhenUsed/>
    <w:qFormat/>
    <w:uiPriority w:val="99"/>
    <w:pPr>
      <w:ind w:left="360" w:hanging="360"/>
      <w:contextualSpacing/>
    </w:pPr>
  </w:style>
  <w:style w:type="paragraph" w:styleId="29">
    <w:name w:val="Body Text 2"/>
    <w:basedOn w:val="1"/>
    <w:link w:val="146"/>
    <w:unhideWhenUsed/>
    <w:uiPriority w:val="99"/>
    <w:pPr>
      <w:spacing w:after="120" w:line="480" w:lineRule="auto"/>
    </w:pPr>
  </w:style>
  <w:style w:type="paragraph" w:styleId="30">
    <w:name w:val="List Continue 2"/>
    <w:basedOn w:val="1"/>
    <w:unhideWhenUsed/>
    <w:qFormat/>
    <w:uiPriority w:val="99"/>
    <w:pPr>
      <w:spacing w:after="120"/>
      <w:ind w:left="720"/>
      <w:contextualSpacing/>
    </w:pPr>
  </w:style>
  <w:style w:type="paragraph" w:styleId="31">
    <w:name w:val="List Continue 3"/>
    <w:basedOn w:val="1"/>
    <w:unhideWhenUsed/>
    <w:qFormat/>
    <w:uiPriority w:val="99"/>
    <w:pPr>
      <w:spacing w:after="120"/>
      <w:ind w:left="1080"/>
      <w:contextualSpacing/>
    </w:pPr>
  </w:style>
  <w:style w:type="paragraph" w:styleId="32">
    <w:name w:val="Title"/>
    <w:basedOn w:val="1"/>
    <w:next w:val="1"/>
    <w:link w:val="142"/>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4">
    <w:name w:val="Table Grid"/>
    <w:basedOn w:val="3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5">
    <w:name w:val="Light Shading"/>
    <w:basedOn w:val="33"/>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6">
    <w:name w:val="Light Shading Accent 1"/>
    <w:basedOn w:val="33"/>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7">
    <w:name w:val="Light Shading Accent 2"/>
    <w:basedOn w:val="33"/>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8">
    <w:name w:val="Light Shading Accent 3"/>
    <w:basedOn w:val="33"/>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9">
    <w:name w:val="Light Shading Accent 4"/>
    <w:basedOn w:val="33"/>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0">
    <w:name w:val="Light Shading Accent 5"/>
    <w:basedOn w:val="33"/>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1">
    <w:name w:val="Light Shading Accent 6"/>
    <w:basedOn w:val="33"/>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2">
    <w:name w:val="Light List"/>
    <w:basedOn w:val="33"/>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3">
    <w:name w:val="Light List Accent 1"/>
    <w:basedOn w:val="33"/>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4">
    <w:name w:val="Light List Accent 2"/>
    <w:basedOn w:val="33"/>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5">
    <w:name w:val="Light List Accent 3"/>
    <w:basedOn w:val="33"/>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6">
    <w:name w:val="Light List Accent 4"/>
    <w:basedOn w:val="33"/>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7">
    <w:name w:val="Light List Accent 5"/>
    <w:basedOn w:val="33"/>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8">
    <w:name w:val="Light List Accent 6"/>
    <w:basedOn w:val="33"/>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9">
    <w:name w:val="Light Grid"/>
    <w:basedOn w:val="33"/>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0">
    <w:name w:val="Light Grid Accent 1"/>
    <w:basedOn w:val="33"/>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1">
    <w:name w:val="Light Grid Accent 2"/>
    <w:basedOn w:val="33"/>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2">
    <w:name w:val="Light Grid Accent 3"/>
    <w:basedOn w:val="33"/>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3">
    <w:name w:val="Light Grid Accent 4"/>
    <w:basedOn w:val="33"/>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4">
    <w:name w:val="Light Grid Accent 5"/>
    <w:basedOn w:val="33"/>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5">
    <w:name w:val="Light Grid Accent 6"/>
    <w:basedOn w:val="33"/>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6">
    <w:name w:val="Medium Shading 1"/>
    <w:basedOn w:val="33"/>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7">
    <w:name w:val="Medium Shading 1 Accent 1"/>
    <w:basedOn w:val="33"/>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8">
    <w:name w:val="Medium Shading 1 Accent 2"/>
    <w:basedOn w:val="33"/>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9">
    <w:name w:val="Medium Shading 1 Accent 3"/>
    <w:basedOn w:val="33"/>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60">
    <w:name w:val="Medium Shading 1 Accent 4"/>
    <w:basedOn w:val="33"/>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1">
    <w:name w:val="Medium Shading 1 Accent 5"/>
    <w:basedOn w:val="33"/>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2">
    <w:name w:val="Medium Shading 1 Accent 6"/>
    <w:basedOn w:val="33"/>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3">
    <w:name w:val="Medium Shading 2"/>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1"/>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2"/>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3"/>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4"/>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5"/>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Shading 2 Accent 6"/>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0">
    <w:name w:val="Medium List 1"/>
    <w:basedOn w:val="33"/>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1">
    <w:name w:val="Medium List 1 Accent 1"/>
    <w:basedOn w:val="33"/>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2">
    <w:name w:val="Medium List 1 Accent 2"/>
    <w:basedOn w:val="33"/>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3">
    <w:name w:val="Medium List 1 Accent 3"/>
    <w:basedOn w:val="33"/>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4">
    <w:name w:val="Medium List 1 Accent 4"/>
    <w:basedOn w:val="33"/>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5">
    <w:name w:val="Medium List 1 Accent 5"/>
    <w:basedOn w:val="33"/>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6">
    <w:name w:val="Medium List 1 Accent 6"/>
    <w:basedOn w:val="33"/>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7">
    <w:name w:val="Medium List 2"/>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1"/>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2"/>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3"/>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4"/>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5"/>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List 2 Accent 6"/>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4">
    <w:name w:val="Medium Grid 1"/>
    <w:basedOn w:val="33"/>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5">
    <w:name w:val="Medium Grid 1 Accent 1"/>
    <w:basedOn w:val="33"/>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6">
    <w:name w:val="Medium Grid 1 Accent 2"/>
    <w:basedOn w:val="33"/>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7">
    <w:name w:val="Medium Grid 1 Accent 3"/>
    <w:basedOn w:val="33"/>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8">
    <w:name w:val="Medium Grid 1 Accent 4"/>
    <w:basedOn w:val="33"/>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9">
    <w:name w:val="Medium Grid 1 Accent 5"/>
    <w:basedOn w:val="33"/>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0">
    <w:name w:val="Medium Grid 1 Accent 6"/>
    <w:basedOn w:val="33"/>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1">
    <w:name w:val="Medium Grid 2"/>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2">
    <w:name w:val="Medium Grid 2 Accent 1"/>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3">
    <w:name w:val="Medium Grid 2 Accent 2"/>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4">
    <w:name w:val="Medium Grid 2 Accent 3"/>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5">
    <w:name w:val="Medium Grid 2 Accent 4"/>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6">
    <w:name w:val="Medium Grid 2 Accent 5"/>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7">
    <w:name w:val="Medium Grid 2 Accent 6"/>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8">
    <w:name w:val="Medium Grid 3"/>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9">
    <w:name w:val="Medium Grid 3 Accent 1"/>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0">
    <w:name w:val="Medium Grid 3 Accent 2"/>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1">
    <w:name w:val="Medium Grid 3 Accent 3"/>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2">
    <w:name w:val="Medium Grid 3 Accent 4"/>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3">
    <w:name w:val="Medium Grid 3 Accent 5"/>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4">
    <w:name w:val="Medium Grid 3 Accent 6"/>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5">
    <w:name w:val="Dark List"/>
    <w:basedOn w:val="33"/>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6">
    <w:name w:val="Dark List Accent 1"/>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7">
    <w:name w:val="Dark List Accent 2"/>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8">
    <w:name w:val="Dark List Accent 3"/>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9">
    <w:name w:val="Dark List Accent 4"/>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0">
    <w:name w:val="Dark List Accent 5"/>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1">
    <w:name w:val="Dark List Accent 6"/>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2">
    <w:name w:val="Colorful Shading"/>
    <w:basedOn w:val="33"/>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1"/>
    <w:basedOn w:val="33"/>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2"/>
    <w:basedOn w:val="33"/>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5">
    <w:name w:val="Colorful Shading Accent 3"/>
    <w:basedOn w:val="33"/>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6">
    <w:name w:val="Colorful Shading Accent 4"/>
    <w:basedOn w:val="33"/>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5"/>
    <w:basedOn w:val="33"/>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Shading Accent 6"/>
    <w:basedOn w:val="33"/>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9">
    <w:name w:val="Colorful List"/>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20">
    <w:name w:val="Colorful List Accent 1"/>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1">
    <w:name w:val="Colorful List Accent 2"/>
    <w:basedOn w:val="33"/>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2">
    <w:name w:val="Colorful List Accent 3"/>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3">
    <w:name w:val="Colorful List Accent 4"/>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4">
    <w:name w:val="Colorful List Accent 5"/>
    <w:basedOn w:val="33"/>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5">
    <w:name w:val="Colorful List Accent 6"/>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6">
    <w:name w:val="Colorful Grid"/>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7">
    <w:name w:val="Colorful Grid Accent 1"/>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8">
    <w:name w:val="Colorful Grid Accent 2"/>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9">
    <w:name w:val="Colorful Grid Accent 3"/>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30">
    <w:name w:val="Colorful Grid Accent 4"/>
    <w:basedOn w:val="33"/>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1">
    <w:name w:val="Colorful Grid Accent 5"/>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2">
    <w:name w:val="Colorful Grid Accent 6"/>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4">
    <w:name w:val="Strong"/>
    <w:basedOn w:val="133"/>
    <w:qFormat/>
    <w:uiPriority w:val="22"/>
    <w:rPr>
      <w:b/>
      <w:bCs/>
    </w:rPr>
  </w:style>
  <w:style w:type="character" w:styleId="135">
    <w:name w:val="Emphasis"/>
    <w:basedOn w:val="133"/>
    <w:qFormat/>
    <w:uiPriority w:val="20"/>
    <w:rPr>
      <w:i/>
      <w:iCs/>
    </w:rPr>
  </w:style>
  <w:style w:type="character" w:customStyle="1" w:styleId="136">
    <w:name w:val="Header Char"/>
    <w:basedOn w:val="133"/>
    <w:link w:val="25"/>
    <w:uiPriority w:val="99"/>
  </w:style>
  <w:style w:type="character" w:customStyle="1" w:styleId="137">
    <w:name w:val="Footer Char"/>
    <w:basedOn w:val="133"/>
    <w:link w:val="24"/>
    <w:uiPriority w:val="99"/>
  </w:style>
  <w:style w:type="paragraph" w:styleId="138">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9">
    <w:name w:val="Heading 1 Char"/>
    <w:basedOn w:val="133"/>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40">
    <w:name w:val="Heading 2 Char"/>
    <w:basedOn w:val="133"/>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1">
    <w:name w:val="Heading 3 Char"/>
    <w:basedOn w:val="133"/>
    <w:link w:val="5"/>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2">
    <w:name w:val="Title Char"/>
    <w:basedOn w:val="133"/>
    <w:link w:val="32"/>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3">
    <w:name w:val="Subtitle Char"/>
    <w:basedOn w:val="133"/>
    <w:link w:val="27"/>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4">
    <w:name w:val="List Paragraph"/>
    <w:basedOn w:val="1"/>
    <w:qFormat/>
    <w:uiPriority w:val="34"/>
    <w:pPr>
      <w:ind w:left="720"/>
      <w:contextualSpacing/>
    </w:pPr>
  </w:style>
  <w:style w:type="character" w:customStyle="1" w:styleId="145">
    <w:name w:val="Body Text Char"/>
    <w:basedOn w:val="133"/>
    <w:link w:val="19"/>
    <w:uiPriority w:val="99"/>
  </w:style>
  <w:style w:type="character" w:customStyle="1" w:styleId="146">
    <w:name w:val="Body Text 2 Char"/>
    <w:basedOn w:val="133"/>
    <w:link w:val="29"/>
    <w:uiPriority w:val="99"/>
  </w:style>
  <w:style w:type="character" w:customStyle="1" w:styleId="147">
    <w:name w:val="Body Text 3 Char"/>
    <w:basedOn w:val="133"/>
    <w:link w:val="17"/>
    <w:qFormat/>
    <w:uiPriority w:val="99"/>
    <w:rPr>
      <w:sz w:val="16"/>
      <w:szCs w:val="16"/>
    </w:rPr>
  </w:style>
  <w:style w:type="character" w:customStyle="1" w:styleId="148">
    <w:name w:val="Macro Text Char"/>
    <w:basedOn w:val="133"/>
    <w:link w:val="2"/>
    <w:qFormat/>
    <w:uiPriority w:val="99"/>
    <w:rPr>
      <w:rFonts w:ascii="Courier" w:hAnsi="Courier"/>
      <w:sz w:val="20"/>
      <w:szCs w:val="20"/>
    </w:rPr>
  </w:style>
  <w:style w:type="paragraph" w:styleId="149">
    <w:name w:val="Quote"/>
    <w:basedOn w:val="1"/>
    <w:next w:val="1"/>
    <w:link w:val="150"/>
    <w:qFormat/>
    <w:uiPriority w:val="29"/>
    <w:rPr>
      <w:i/>
      <w:iCs/>
      <w:color w:val="000000" w:themeColor="text1"/>
      <w14:textFill>
        <w14:solidFill>
          <w14:schemeClr w14:val="tx1"/>
        </w14:solidFill>
      </w14:textFill>
    </w:rPr>
  </w:style>
  <w:style w:type="character" w:customStyle="1" w:styleId="150">
    <w:name w:val="Quote Char"/>
    <w:basedOn w:val="133"/>
    <w:link w:val="149"/>
    <w:qFormat/>
    <w:uiPriority w:val="29"/>
    <w:rPr>
      <w:i/>
      <w:iCs/>
      <w:color w:val="000000" w:themeColor="text1"/>
      <w14:textFill>
        <w14:solidFill>
          <w14:schemeClr w14:val="tx1"/>
        </w14:solidFill>
      </w14:textFill>
    </w:rPr>
  </w:style>
  <w:style w:type="character" w:customStyle="1" w:styleId="151">
    <w:name w:val="Heading 4 Char"/>
    <w:basedOn w:val="133"/>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2">
    <w:name w:val="Heading 5 Char"/>
    <w:basedOn w:val="133"/>
    <w:link w:val="7"/>
    <w:semiHidden/>
    <w:qFormat/>
    <w:uiPriority w:val="9"/>
    <w:rPr>
      <w:rFonts w:asciiTheme="majorHAnsi" w:hAnsiTheme="majorHAnsi" w:eastAsiaTheme="majorEastAsia" w:cstheme="majorBidi"/>
      <w:color w:val="254061" w:themeColor="accent1" w:themeShade="80"/>
    </w:rPr>
  </w:style>
  <w:style w:type="character" w:customStyle="1" w:styleId="153">
    <w:name w:val="Heading 6 Char"/>
    <w:basedOn w:val="133"/>
    <w:link w:val="8"/>
    <w:semiHidden/>
    <w:qFormat/>
    <w:uiPriority w:val="9"/>
    <w:rPr>
      <w:rFonts w:asciiTheme="majorHAnsi" w:hAnsiTheme="majorHAnsi" w:eastAsiaTheme="majorEastAsia" w:cstheme="majorBidi"/>
      <w:i/>
      <w:iCs/>
      <w:color w:val="254061" w:themeColor="accent1" w:themeShade="80"/>
    </w:rPr>
  </w:style>
  <w:style w:type="character" w:customStyle="1" w:styleId="154">
    <w:name w:val="Heading 7 Char"/>
    <w:basedOn w:val="133"/>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5">
    <w:name w:val="Heading 8 Char"/>
    <w:basedOn w:val="133"/>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6">
    <w:name w:val="Heading 9 Char"/>
    <w:basedOn w:val="133"/>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7">
    <w:name w:val="Intense Quote"/>
    <w:basedOn w:val="1"/>
    <w:next w:val="1"/>
    <w:link w:val="158"/>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8">
    <w:name w:val="Intense Quote Char"/>
    <w:basedOn w:val="133"/>
    <w:link w:val="157"/>
    <w:uiPriority w:val="30"/>
    <w:rPr>
      <w:b/>
      <w:bCs/>
      <w:i/>
      <w:iCs/>
      <w:color w:val="4F81BD" w:themeColor="accent1"/>
      <w14:textFill>
        <w14:solidFill>
          <w14:schemeClr w14:val="accent1"/>
        </w14:solidFill>
      </w14:textFill>
    </w:rPr>
  </w:style>
  <w:style w:type="character" w:customStyle="1" w:styleId="159">
    <w:name w:val="Subtle Emphasis"/>
    <w:basedOn w:val="133"/>
    <w:qFormat/>
    <w:uiPriority w:val="19"/>
    <w:rPr>
      <w:i/>
      <w:iCs/>
      <w:color w:val="808080" w:themeColor="text1" w:themeTint="80"/>
      <w14:textFill>
        <w14:solidFill>
          <w14:schemeClr w14:val="tx1">
            <w14:lumMod w14:val="50000"/>
            <w14:lumOff w14:val="50000"/>
          </w14:schemeClr>
        </w14:solidFill>
      </w14:textFill>
    </w:rPr>
  </w:style>
  <w:style w:type="character" w:customStyle="1" w:styleId="160">
    <w:name w:val="Intense Emphasis"/>
    <w:basedOn w:val="133"/>
    <w:qFormat/>
    <w:uiPriority w:val="21"/>
    <w:rPr>
      <w:b/>
      <w:bCs/>
      <w:i/>
      <w:iCs/>
      <w:color w:val="4F81BD" w:themeColor="accent1"/>
      <w14:textFill>
        <w14:solidFill>
          <w14:schemeClr w14:val="accent1"/>
        </w14:solidFill>
      </w14:textFill>
    </w:rPr>
  </w:style>
  <w:style w:type="character" w:customStyle="1" w:styleId="161">
    <w:name w:val="Subtle Reference"/>
    <w:basedOn w:val="133"/>
    <w:qFormat/>
    <w:uiPriority w:val="31"/>
    <w:rPr>
      <w:smallCaps/>
      <w:color w:val="C0504D" w:themeColor="accent2"/>
      <w:u w:val="single"/>
      <w14:textFill>
        <w14:solidFill>
          <w14:schemeClr w14:val="accent2"/>
        </w14:solidFill>
      </w14:textFill>
    </w:rPr>
  </w:style>
  <w:style w:type="character" w:customStyle="1" w:styleId="162">
    <w:name w:val="Intense Reference"/>
    <w:basedOn w:val="133"/>
    <w:qFormat/>
    <w:uiPriority w:val="32"/>
    <w:rPr>
      <w:b/>
      <w:bCs/>
      <w:smallCaps/>
      <w:color w:val="C0504D" w:themeColor="accent2"/>
      <w:spacing w:val="5"/>
      <w:u w:val="single"/>
      <w14:textFill>
        <w14:solidFill>
          <w14:schemeClr w14:val="accent2"/>
        </w14:solidFill>
      </w14:textFill>
    </w:rPr>
  </w:style>
  <w:style w:type="character" w:customStyle="1" w:styleId="163">
    <w:name w:val="Book Title"/>
    <w:basedOn w:val="133"/>
    <w:qFormat/>
    <w:uiPriority w:val="33"/>
    <w:rPr>
      <w:b/>
      <w:bCs/>
      <w:smallCaps/>
      <w:spacing w:val="5"/>
    </w:rPr>
  </w:style>
  <w:style w:type="paragraph" w:customStyle="1" w:styleId="164">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92</TotalTime>
  <ScaleCrop>false</ScaleCrop>
  <LinksUpToDate>false</LinksUpToDate>
  <CharactersWithSpaces>0</CharactersWithSpaces>
  <Application>WPS Office_11.8.6.8811_F1E327BC-269C-435d-A152-05C5408002CA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Administrator</cp:lastModifiedBy>
  <dcterms:modified xsi:type="dcterms:W3CDTF">2026-06-01T07:55:10Z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2052-11.8.6.8811</vt:lpwstr>
  </property>
</Properties>
</file>