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6"/>
        <w:ind w:firstLine="0" w:firstLineChars="0"/>
        <w:jc w:val="center"/>
      </w:pPr>
      <w:r>
        <w:rPr>
          <w:rFonts w:hint="eastAsia"/>
        </w:rPr>
        <w:t>武汉市市场综合监管平台驻场运维服务项目采购需求</w:t>
      </w:r>
    </w:p>
    <w:p>
      <w:pPr>
        <w:pStyle w:val="16"/>
        <w:ind w:firstLine="0" w:firstLineChars="0"/>
        <w:jc w:val="center"/>
      </w:pPr>
    </w:p>
    <w:p>
      <w:pPr>
        <w:pStyle w:val="3"/>
        <w:spacing w:before="0" w:after="0" w:line="520" w:lineRule="exact"/>
        <w:ind w:firstLine="680" w:firstLineChars="200"/>
      </w:pPr>
      <w:r>
        <w:rPr>
          <w:rFonts w:hint="eastAsia"/>
        </w:rPr>
        <w:t>项目概况</w:t>
      </w:r>
    </w:p>
    <w:p>
      <w:pPr>
        <w:spacing w:line="520" w:lineRule="exact"/>
        <w:ind w:firstLine="680"/>
      </w:pPr>
      <w:r>
        <w:rPr>
          <w:rFonts w:hint="eastAsia"/>
        </w:rPr>
        <w:t>市场综合监管平台建设项目作为武汉市智慧城市建设子项目，横向与武汉市智慧城市基础平台进行数据共享，纵向与省市区市场监管职能部门的监管系统实现互联互通，以重点领域监管为突破口，实现各领域综合监管。平台重点实现“四个一”，即“一个数据中心”，强化数据整合，完成了各种类业务数据的接入，为业务融合应用奠定了一定基础；“一个门户”，提升用户体验，整合各应用及业务工作，实现了数据和业务向用户的聚焦；“一个平台”，强化数据驱动，基于安全、秩序、发展和综合四大领域为业务部门提供了多元化数据支撑，释放了数据潜能；“一个终端”，打通监管末梢，基于移动互联网，实现了监管、企业和公众三种角色的闭环互动，推进社会共治。</w:t>
      </w:r>
    </w:p>
    <w:p>
      <w:pPr>
        <w:spacing w:line="520" w:lineRule="exact"/>
        <w:ind w:firstLine="680"/>
      </w:pPr>
      <w:r>
        <w:rPr>
          <w:rFonts w:hint="eastAsia"/>
        </w:rPr>
        <w:t>该平台目前部署在武汉云，为进一步保障系统的稳定安全运行，需要相关技术人员驻场服务。本项目预算</w:t>
      </w:r>
      <w:r>
        <w:rPr>
          <w:rFonts w:hint="eastAsia"/>
          <w:lang w:val="en-US" w:eastAsia="zh-CN"/>
        </w:rPr>
        <w:t>28.8</w:t>
      </w:r>
      <w:r>
        <w:rPr>
          <w:rFonts w:hint="eastAsia"/>
        </w:rPr>
        <w:t>万元。</w:t>
      </w:r>
    </w:p>
    <w:p>
      <w:pPr>
        <w:pStyle w:val="3"/>
        <w:spacing w:before="0" w:after="0" w:line="520" w:lineRule="exact"/>
        <w:ind w:firstLine="680" w:firstLineChars="200"/>
      </w:pPr>
      <w:r>
        <w:rPr>
          <w:rFonts w:hint="eastAsia"/>
        </w:rPr>
        <w:t>总体要求</w:t>
      </w:r>
    </w:p>
    <w:p>
      <w:pPr>
        <w:spacing w:line="520" w:lineRule="exact"/>
        <w:ind w:firstLine="680"/>
      </w:pPr>
      <w:r>
        <w:rPr>
          <w:rFonts w:hint="eastAsia"/>
        </w:rPr>
        <w:t>通过驻场方式，保障武汉市市场综合监管平台运行环境稳定可靠；持续完成武汉市市场监督管理局涉及的各类数据接入、归集、治理和资产化；持续进行数据标准的充实和完善；保障武汉市市场综合监管平台中数据中台、监管门户、一体化智慧应用级扫码监管移动端的正常运行；保障武汉市市场综合监管平台与第三方平台的对接正常；支持武汉市市场综合监管平台的平台化发展，为整合第三方应用提供支撑；按照甲方的业务要求，持续强化数据建设，充实数据归集范围；为平台提供功能扩展服务。</w:t>
      </w:r>
    </w:p>
    <w:p>
      <w:pPr>
        <w:pStyle w:val="3"/>
        <w:spacing w:before="0" w:after="0" w:line="520" w:lineRule="exact"/>
        <w:ind w:firstLine="680" w:firstLineChars="200"/>
      </w:pPr>
      <w:r>
        <w:rPr>
          <w:rFonts w:hint="eastAsia"/>
        </w:rPr>
        <w:t>服务方式要求</w:t>
      </w:r>
    </w:p>
    <w:p>
      <w:pPr>
        <w:numPr>
          <w:ilvl w:val="0"/>
          <w:numId w:val="2"/>
        </w:numPr>
        <w:spacing w:line="520" w:lineRule="exact"/>
        <w:ind w:firstLine="680"/>
      </w:pPr>
      <w:r>
        <w:rPr>
          <w:rFonts w:hint="eastAsia"/>
        </w:rPr>
        <w:t>驻场运维。（1）专业人员选拔。选拔具有丰富技术经验和专业知识的人员来提供驻场维护服务，人员不少于三人。人员应涵盖系统运维、数据库维护等多个专业领域，以满足不同类型的维护需求。（2）客户沟通机制。建立定期沟通机制，包括每日工作汇报、每周总结会议、紧急情况随时沟通等。及时了解需求和意见，并反馈维护工作进展和成果。（3）安全保障措施。制定严格的安全保障措施，确保驻场维护过程中的信息安全和设备安全。包括人员安全培训、访问控制（如门禁系统、权限管理等）、数据加密等措施，防止数据泄露和设备损坏。</w:t>
      </w:r>
    </w:p>
    <w:p>
      <w:pPr>
        <w:numPr>
          <w:ilvl w:val="0"/>
          <w:numId w:val="2"/>
        </w:numPr>
        <w:spacing w:line="520" w:lineRule="exact"/>
        <w:ind w:firstLine="680"/>
      </w:pPr>
      <w:r>
        <w:rPr>
          <w:rFonts w:hint="eastAsia"/>
        </w:rPr>
        <w:t>运维群。（1）响应及时。当客户在群里提出密码修改、报错处理等请求时，运维人员要能够迅速响应，及时解决客户问题，避免客户长时间等待。（2）问题解决。对于用户的报错处理工作，运维人员要具备专业知识和技能，能够准确判断问题并提供有效的解决方案，确保问题得到妥善处理。</w:t>
      </w:r>
    </w:p>
    <w:p>
      <w:pPr>
        <w:numPr>
          <w:ilvl w:val="0"/>
          <w:numId w:val="2"/>
        </w:numPr>
        <w:spacing w:line="520" w:lineRule="exact"/>
        <w:ind w:firstLine="680"/>
      </w:pPr>
      <w:r>
        <w:t>运维服务报告。</w:t>
      </w:r>
      <w:r>
        <w:rPr>
          <w:rFonts w:hint="eastAsia"/>
        </w:rPr>
        <w:t>对照服务内容，</w:t>
      </w:r>
      <w:r>
        <w:t>每季度提交一份运维服务报告，运维期满后提供整体运维服务报告。</w:t>
      </w:r>
    </w:p>
    <w:p>
      <w:pPr>
        <w:pStyle w:val="3"/>
        <w:spacing w:before="0" w:after="0" w:line="520" w:lineRule="exact"/>
        <w:ind w:firstLine="680" w:firstLineChars="200"/>
      </w:pPr>
      <w:r>
        <w:rPr>
          <w:rFonts w:hint="eastAsia"/>
        </w:rPr>
        <w:t>服务内容</w:t>
      </w:r>
    </w:p>
    <w:p>
      <w:pPr>
        <w:spacing w:line="520" w:lineRule="exact"/>
        <w:ind w:firstLine="680"/>
      </w:pPr>
      <w:r>
        <w:rPr>
          <w:rFonts w:hint="eastAsia"/>
        </w:rPr>
        <w:t>供应商要熟悉武汉市市场综合监管平台业务功能、开发框架及运行环境，能基于此平台进行二次开发，运维期间提供以下服务：</w:t>
      </w:r>
    </w:p>
    <w:p>
      <w:pPr>
        <w:pStyle w:val="2"/>
        <w:spacing w:line="520" w:lineRule="exact"/>
        <w:ind w:firstLine="680" w:firstLineChars="200"/>
        <w:rPr>
          <w:rFonts w:hint="eastAsia"/>
        </w:rPr>
      </w:pPr>
      <w:r>
        <w:rPr>
          <w:rFonts w:hint="eastAsia"/>
        </w:rPr>
        <w:t>国产环境运维</w:t>
      </w:r>
    </w:p>
    <w:p>
      <w:pPr>
        <w:numPr>
          <w:ilvl w:val="0"/>
          <w:numId w:val="3"/>
        </w:numPr>
        <w:spacing w:line="520" w:lineRule="exact"/>
        <w:ind w:firstLine="680"/>
      </w:pPr>
      <w:r>
        <w:rPr>
          <w:rFonts w:hint="eastAsia"/>
        </w:rPr>
        <w:t>服务器监控与维护。（1）运行状态监控维护。监控并维护服务器的运行状态，确保程序在国产硬件和软件上的稳定运行，监控是否有崩溃或异常。（2）资源监控维护。监控程序在国产化资源上的消耗，包括 CPU 使用率、内存使用率、磁盘空间等。确保服务器在合理的负载范围内运行，避免因资源过度占用而导致性能下降或系统故障。。</w:t>
      </w:r>
    </w:p>
    <w:p>
      <w:pPr>
        <w:numPr>
          <w:ilvl w:val="0"/>
          <w:numId w:val="3"/>
        </w:numPr>
        <w:spacing w:line="520" w:lineRule="exact"/>
        <w:ind w:firstLine="680"/>
      </w:pPr>
      <w:r>
        <w:rPr>
          <w:rFonts w:hint="eastAsia"/>
        </w:rPr>
        <w:t>安全合规检查维护。（1）国产化等保测评。配合等保测评检查，确保程序及其依赖满足国产化要求。（2）操作审计。记录程序运维操作日志（如配置修改、权限变更），满足审计要求。</w:t>
      </w:r>
    </w:p>
    <w:p>
      <w:pPr>
        <w:numPr>
          <w:ilvl w:val="0"/>
          <w:numId w:val="3"/>
        </w:numPr>
        <w:spacing w:line="520" w:lineRule="exact"/>
        <w:ind w:firstLine="680"/>
      </w:pPr>
      <w:r>
        <w:rPr>
          <w:rFonts w:hint="eastAsia"/>
        </w:rPr>
        <w:t>国产License维护。（1）License合规性维护。确保所有接口及关联组件全面适配国产化License体系，符合国家信创领域对知识产权、加密算法的合规要求，避免因License不合规导致业务系统无法通过安全审查。（2）License稳定性维护。定期校验License有效性，建立失效预警机制（如到期前30天触发告警），支持热更新和动态加载，减少因License更新引发的服务中断。（3）License集中化管理维护。记录License全生命周期操作日志（申请、激活、续期、注销），满足等保审计要求，便于追溯异常行为。</w:t>
      </w:r>
    </w:p>
    <w:p>
      <w:pPr>
        <w:pStyle w:val="2"/>
        <w:spacing w:line="520" w:lineRule="exact"/>
        <w:ind w:firstLine="680" w:firstLineChars="200"/>
        <w:rPr>
          <w:rFonts w:hint="eastAsia"/>
        </w:rPr>
      </w:pPr>
      <w:r>
        <w:rPr>
          <w:rFonts w:hint="eastAsia"/>
        </w:rPr>
        <w:t>系统集成运维</w:t>
      </w:r>
    </w:p>
    <w:p>
      <w:pPr>
        <w:numPr>
          <w:ilvl w:val="0"/>
          <w:numId w:val="4"/>
        </w:numPr>
        <w:spacing w:line="520" w:lineRule="exact"/>
        <w:ind w:firstLine="680"/>
      </w:pPr>
      <w:bookmarkStart w:id="0" w:name="_Hlk208822095"/>
      <w:r>
        <w:rPr>
          <w:rFonts w:hint="eastAsia"/>
        </w:rPr>
        <w:t>系统部署管理。（1）系统稳定性保障。实施实时监控机制，对集成系统的运行状态进行持续跟踪，确保服务不间断，一旦检测到异常或故障，立即启动应急处理流程，迅速恢复系统正常运作。（2）合规与审计维护。定期检查系统的集成特性，确保主系统与分系统在同一上下文环境下运行，满足符合等保合规建设要求。（3）运维文档整理。编写详细的运维手册，包括系统集成部署的架构、安装配置、日常维护、故障排查等步骤。</w:t>
      </w:r>
    </w:p>
    <w:p>
      <w:pPr>
        <w:numPr>
          <w:ilvl w:val="0"/>
          <w:numId w:val="4"/>
        </w:numPr>
        <w:spacing w:line="520" w:lineRule="exact"/>
        <w:ind w:firstLine="680"/>
      </w:pPr>
      <w:r>
        <w:rPr>
          <w:rFonts w:hint="eastAsia"/>
        </w:rPr>
        <w:t>单点集成管理。（1）接口功能稳定性维护。监测单点集成与统一认证功能的运行状态，包括服务可用性、响应时间、错误率等关键指标。一旦发现异常情况，立即触发告警机制。（2）故障排查与恢复。建立快速故障排查流程，确保在出现单点登录或统一认证问题时，能够迅速定位故障原因，并采取有效措施进行修复。（3）安全管理与防护。加强单点登录和统一认证系统的安全防护，定期更新安全策略，防范潜在的安全威胁。</w:t>
      </w:r>
    </w:p>
    <w:p>
      <w:pPr>
        <w:numPr>
          <w:ilvl w:val="0"/>
          <w:numId w:val="4"/>
        </w:numPr>
        <w:spacing w:line="520" w:lineRule="exact"/>
        <w:ind w:firstLineChars="0"/>
      </w:pPr>
      <w:r>
        <w:rPr>
          <w:rFonts w:hint="eastAsia"/>
        </w:rPr>
        <w:t>用户与权限统一管理。（1）主数据管理。提供用户组管理功能，支持按部门、角色批量分配权限，保障子系统同步用户新增、修改、禁用状态。（2）权限中心。主系统定义全局权限模型（如数据权限、操作权限），支持按角色或属性分配权限。保障子系统能实时获取用户权限并控制功能可见性。（3）权限同步维护。维护系统之间的权限同步，保障主系统权限变更后能够实时同步至子系统，确保各系统权限一致。</w:t>
      </w:r>
    </w:p>
    <w:p>
      <w:pPr>
        <w:numPr>
          <w:ilvl w:val="0"/>
          <w:numId w:val="4"/>
        </w:numPr>
        <w:spacing w:line="520" w:lineRule="exact"/>
        <w:ind w:firstLine="680"/>
      </w:pPr>
      <w:r>
        <w:rPr>
          <w:rFonts w:hint="eastAsia"/>
        </w:rPr>
        <w:t>数据同步维护。（1）接口功能稳定性维护。实现API接口及数据同步全链路监控，涵盖接口可用性、响应时间、吞吐量、同步状态监测，保障系统高可用与数据一致性。（2）接口性能优化维护。对于用户和权限接口，要保证加载速度快、响应及时，能够流畅地同步用户信息和权限信息。（3）接口安全性维护。加强对接口的安全管理，防止接口被恶意攻击和滥用。设置访问权限控制、数据加密传输等安全措施，保护接口和数据的安全。</w:t>
      </w:r>
    </w:p>
    <w:p>
      <w:pPr>
        <w:numPr>
          <w:ilvl w:val="0"/>
          <w:numId w:val="4"/>
        </w:numPr>
        <w:spacing w:line="520" w:lineRule="exact"/>
        <w:ind w:firstLine="680"/>
      </w:pPr>
      <w:r>
        <w:rPr>
          <w:rFonts w:hint="eastAsia"/>
        </w:rPr>
        <w:t>统一身份认证系统维护。（1）安全维护。确保用户身份信息的保密性，防止被窃取或泄露。采用加密技术对存储和传输中的身份数据进行保护。（2）稳定性维护。保证认证系统的高可用性，尽量减少故障和停机时间，确保用户随时能够进行身份认证。（3）准确性维护。确保用户身份信息的准确性和完整性，及时更新用户数据变化。</w:t>
      </w:r>
    </w:p>
    <w:bookmarkEnd w:id="0"/>
    <w:p>
      <w:pPr>
        <w:pStyle w:val="2"/>
        <w:spacing w:line="520" w:lineRule="exact"/>
        <w:ind w:firstLine="680" w:firstLineChars="200"/>
        <w:rPr>
          <w:rFonts w:hint="eastAsia"/>
        </w:rPr>
      </w:pPr>
      <w:r>
        <w:rPr>
          <w:rFonts w:hint="eastAsia"/>
        </w:rPr>
        <w:t>数据中枢运维</w:t>
      </w:r>
    </w:p>
    <w:p>
      <w:pPr>
        <w:numPr>
          <w:ilvl w:val="0"/>
          <w:numId w:val="5"/>
        </w:numPr>
        <w:spacing w:line="520" w:lineRule="exact"/>
        <w:ind w:firstLine="680"/>
      </w:pPr>
      <w:r>
        <w:rPr>
          <w:rFonts w:hint="eastAsia"/>
        </w:rPr>
        <w:t>数据库维护。（1）性能维护。确保数据库响应快速，能够在合理的时间内处理大量的查询和事务操作。包括不断优化数据库结构、索引和查询语句，以提高数据的存取效率。（2）安全维护。保障数据库中的数据不被非法访问、篡改或窃取。同时加强身份验证和访问控制，保护敏感数据。（3）稳定性维护。保障数据库稳定运行，尽量减少故障和停机时间。对数据库进行定期的健康检查，及时处理潜在问题。</w:t>
      </w:r>
    </w:p>
    <w:p>
      <w:pPr>
        <w:numPr>
          <w:ilvl w:val="0"/>
          <w:numId w:val="5"/>
        </w:numPr>
        <w:spacing w:line="520" w:lineRule="exact"/>
        <w:ind w:firstLine="680"/>
      </w:pPr>
      <w:r>
        <w:rPr>
          <w:rFonts w:hint="eastAsia"/>
        </w:rPr>
        <w:t>数据备份维护。（1）及时性维护。按照预定的时间间隔进行备份，以保证在数据出现问题时，能够恢复到相对较新的状态。（2）恢复性测试。定时进行备份数据的恢复测试，保证备份系统能够快速、准确地将数据库恢复到指定状态，确保其可行性和有效性。（3）存储空间维护。合理规划备份数据的存储介质和空间，既要保证有足够的存储空间来容纳备份数据，又要考虑存储成本和管理便利性。</w:t>
      </w:r>
    </w:p>
    <w:p>
      <w:pPr>
        <w:numPr>
          <w:ilvl w:val="0"/>
          <w:numId w:val="5"/>
        </w:numPr>
        <w:spacing w:line="520" w:lineRule="exact"/>
        <w:ind w:firstLine="680"/>
      </w:pPr>
      <w:r>
        <w:rPr>
          <w:rFonts w:hint="eastAsia"/>
        </w:rPr>
        <w:t>数据监控维护。（1）数据监控准确性维护。确保各种监控功能的准确运行。包括数据归集、加工、交换还是数据量波动监控等功能，保障精准地捕捉到异常情况，提供准确的监控信息。（2）数据监控稳定性维护。保障监控功能稳定运行，保证数据监控系统的可靠性，持续提供有效的支持。（3）数据监控可扩展性维护。保障监控系统的扩展性，能够轻松添加新的监控指标和功能，适应不断发展的业务环境。</w:t>
      </w:r>
    </w:p>
    <w:p>
      <w:pPr>
        <w:numPr>
          <w:ilvl w:val="0"/>
          <w:numId w:val="5"/>
        </w:numPr>
        <w:spacing w:line="520" w:lineRule="exact"/>
        <w:ind w:firstLine="680"/>
      </w:pPr>
      <w:r>
        <w:rPr>
          <w:rFonts w:hint="eastAsia"/>
        </w:rPr>
        <w:t>数据加工维护。（1）加工稳定性维护。确保数据加工工作台稳定运行，不出现频繁的故障或错误，保证数据加工过程的连续性。（2）数据加工安全性维护。保障数据在加工过程中的安全。对敏感数据进行加密处理，严格控制数据的访问权限，防止数据泄露和被篡改。</w:t>
      </w:r>
    </w:p>
    <w:p>
      <w:pPr>
        <w:numPr>
          <w:ilvl w:val="0"/>
          <w:numId w:val="5"/>
        </w:numPr>
        <w:spacing w:line="520" w:lineRule="exact"/>
        <w:ind w:firstLine="680"/>
      </w:pPr>
      <w:r>
        <w:rPr>
          <w:rFonts w:hint="eastAsia"/>
        </w:rPr>
        <w:t>数据共享交换维护。（1）数据共享功能稳定性维护。确保数据服务目录、服务申请管理、服务运行监控等功能持续稳定运行，不出现故障或错误，保障数据共享交换的顺畅进行。（2）数据准确性维护。保证数据服务目录中的信息准确无误，包括数据资源的描述、来源、更新频率等。同时，在服务申请管理中，确保申请信息和审批结果的准确性。（3）数据安全保障维护。保障数据共享交换过程中的安全防护，防止数据泄露、篡改和非法访问。</w:t>
      </w:r>
    </w:p>
    <w:p>
      <w:pPr>
        <w:numPr>
          <w:ilvl w:val="0"/>
          <w:numId w:val="5"/>
        </w:numPr>
        <w:spacing w:line="520" w:lineRule="exact"/>
        <w:ind w:firstLine="680"/>
      </w:pPr>
      <w:r>
        <w:rPr>
          <w:rFonts w:hint="eastAsia"/>
        </w:rPr>
        <w:t>数据治理维护。（1）数据治理准确性维护。确保数据检测规则的准确性，能够精准地识别出不符合规范的数据。同时，在数据检测处理过程中，要保证处理结果的准确性，使得数据符合既定的质量标准。（2）数据治理及时性维护。能够快速响应数据变化。数据检测要能够实时或定期进行，以便及时发现问题。对检测出的问题进行处理也要迅速，避免问题数据影响业务。（3）数据治理可追溯性维护。保证检测日志的正常更新，确保能够清晰地追溯数据治理的过程。包括检测的时间、检测的内容、处理的方法和结果等，以便在出现问题时进行复盘和审计。</w:t>
      </w:r>
    </w:p>
    <w:p>
      <w:pPr>
        <w:numPr>
          <w:ilvl w:val="0"/>
          <w:numId w:val="5"/>
        </w:numPr>
        <w:spacing w:line="520" w:lineRule="exact"/>
        <w:ind w:firstLine="680"/>
      </w:pPr>
      <w:r>
        <w:rPr>
          <w:rFonts w:hint="eastAsia"/>
        </w:rPr>
        <w:t>数据资产维护。（1）数据资产准确性维护。确保数据资产地图、目录和概览中的信息准确反映实际的数据资产情况。包括数据的来源、类型、存储位置等信息都要经过严格审核和定期更新，避免出现错误或过时的信息误导用户。（2）数据资产完整性维护。保证数据资产的各个功能模块涵盖所有的数据资产，没有遗漏。数据资产地图要全面展示数据的分布；数据资产目录要完整列出各类数据资产；数据资产概览要综合呈现整体的数据资产状况。（3）数据资产及时性维护。随着数据资产的变化，如数据的新增、修改、删除等，要及时更新数据资产地图、目录和概览，确保用户能够获取到最新的信息。定期对数据资产进行盘点和更新操作，以保持数据资产信息的时效性。</w:t>
      </w:r>
    </w:p>
    <w:p>
      <w:pPr>
        <w:numPr>
          <w:ilvl w:val="0"/>
          <w:numId w:val="5"/>
        </w:numPr>
        <w:spacing w:line="520" w:lineRule="exact"/>
        <w:ind w:firstLine="680"/>
      </w:pPr>
      <w:r>
        <w:rPr>
          <w:rFonts w:hint="eastAsia"/>
        </w:rPr>
        <w:t>数据标准维护。（1）数据标准准确性维护。确保主数据标准、数据元标准和数据标准规范的内容准确无误。保证其能够准确地反映数据的本质特征和业务要求。（2）数据标准一致性维护。维护数据标准在不同系统和业务环节中的一致性。确保各个部门、各个应用系统都遵循统一的数据标准，避免出现数据不一致、冲突的情况。（3）数据更新及时性维护。随着业务的发展和变化，数据标准也需要及时更新。要建立有效的机制，及时捕捉业务需求的变化，对数据标准进行修订和完善，确保数据标准始终与业务需求保持同步。</w:t>
      </w:r>
    </w:p>
    <w:p>
      <w:pPr>
        <w:numPr>
          <w:ilvl w:val="0"/>
          <w:numId w:val="5"/>
        </w:numPr>
        <w:spacing w:line="520" w:lineRule="exact"/>
        <w:ind w:firstLine="680"/>
      </w:pPr>
      <w:r>
        <w:rPr>
          <w:rFonts w:hint="eastAsia"/>
        </w:rPr>
        <w:t>数据标签维护。（1）数据标签准确性维护。确保数据标签的准确性，在数据标签管理中，对标签的创建、修改和删除要保障严格的审核，避免错误标签的产生。（2）数据标签及时性维护。保障数据标签的及时更新。当数据的属性发生改变时，相应的标签也应进行调整。确保数据标签始终能准确反映数据的最新状态。（3）数据标签管理模块维护。维护标签的添加、修改、删除和查询功能。保证良好的扩展性，能够适应不断增长的数据量和新的业务需求。</w:t>
      </w:r>
    </w:p>
    <w:p>
      <w:pPr>
        <w:numPr>
          <w:ilvl w:val="0"/>
          <w:numId w:val="5"/>
        </w:numPr>
        <w:spacing w:line="520" w:lineRule="exact"/>
        <w:ind w:firstLine="680"/>
      </w:pPr>
      <w:r>
        <w:rPr>
          <w:rFonts w:hint="eastAsia"/>
        </w:rPr>
        <w:t>数据上报维护。（1）数据上报稳定性维护。进行定期的系统维护和检测，及时解决潜在的问题，确保报送工作的顺利进行。（2）数据上报安全性维护。定期检查数据上报的加密算法，并严格控制数据的访问权限。保障数据在报送过程中的安全。（3）数据上报可追溯性维护。定期检查数据上报日志，包括数据报送的时间、人员、内容等信息，确保能够对日志进行实时查询和审计。</w:t>
      </w:r>
    </w:p>
    <w:p>
      <w:pPr>
        <w:pStyle w:val="2"/>
        <w:spacing w:line="520" w:lineRule="exact"/>
        <w:ind w:firstLine="680" w:firstLineChars="200"/>
        <w:rPr>
          <w:rFonts w:hint="eastAsia"/>
        </w:rPr>
      </w:pPr>
      <w:r>
        <w:rPr>
          <w:rFonts w:hint="eastAsia"/>
        </w:rPr>
        <w:t>应用系统运维</w:t>
      </w:r>
    </w:p>
    <w:p>
      <w:pPr>
        <w:numPr>
          <w:ilvl w:val="0"/>
          <w:numId w:val="6"/>
        </w:numPr>
        <w:spacing w:line="520" w:lineRule="exact"/>
        <w:ind w:firstLine="680"/>
      </w:pPr>
      <w:r>
        <w:rPr>
          <w:rFonts w:hint="eastAsia"/>
        </w:rPr>
        <w:t>软件系统版本维护。（1）故障排除与修复。对软件运行过程中出现的故障进行诊断、修复，确保软件系统能够持续稳定运行。同时，当软件系统出现紧急问题时，能够迅速采取措施，如切换备份系统、回滚版本等，减少故障对业务的影响。（2）性能维护。持续跟踪软件系统的性能指标，如响应时间、吞吐量、资源利用率等，建立性能基线来评估系统性能的变化。同时，当发现性能瓶颈后，从代码、数据库、系统架构等多个层面采取优化措施，提升软件系统的整体性能。（3）安全维护。定期扫描软件系统的安全漏洞，分析漏洞的严重程度并及时修复，如安装补丁、更新软件版本。同步制定安全策略，包括访问控制、数据加密、安全审计等，加强软件系统的安全防护，防止安全威胁。（4）版本升级与更新。规范版本管理流程，包括规划、开发、测试、发布和回滚。评估需求和技术趋势，制定合理升级计划。确保新版本功能完善、性能优化且安全。全面测试后按计划发布，及时通知用户。</w:t>
      </w:r>
    </w:p>
    <w:p>
      <w:pPr>
        <w:numPr>
          <w:ilvl w:val="0"/>
          <w:numId w:val="6"/>
        </w:numPr>
        <w:spacing w:line="520" w:lineRule="exact"/>
        <w:ind w:firstLine="680"/>
      </w:pPr>
      <w:r>
        <w:rPr>
          <w:rFonts w:hint="eastAsia"/>
        </w:rPr>
        <w:t>短信平台维护。（1）功能稳定性维护。确保短信接口能够持续稳定地发送和接收短信，避免出现发送失败、延迟或漏发等情况，保证业务流程的顺畅进行。（2）短信数据准确性维护。保证短信发送的准确性，包括接收方号码正确、短信内容完整无误等。对发送记录进行有效管理，便于查询和统计。</w:t>
      </w:r>
    </w:p>
    <w:p>
      <w:pPr>
        <w:numPr>
          <w:ilvl w:val="0"/>
          <w:numId w:val="6"/>
        </w:numPr>
        <w:spacing w:line="520" w:lineRule="exact"/>
        <w:ind w:firstLine="680"/>
      </w:pPr>
      <w:r>
        <w:rPr>
          <w:rFonts w:hint="eastAsia"/>
        </w:rPr>
        <w:t>综合监管平台桌面端，监管门户和一体化智慧监管应用运维。（1）功能稳定性维护。确保各个应用模块，如查询、统计报表、数据上传、风险预警、大屏可视化等功能持续稳定运行，避免出现功能失效、错误结果输出等情况，保障业务流程不受影响。（2）平台性能维护。对于查询功能，要保证响应快速，能够在合理时间内返回准确结果；统计报表的生成要高效，减少等待时间；数据上传要流畅，能处理大文件和高并发上传；风险预警要及时准确，以便迅速采取应对措施；大屏可视化要加载迅速，展示清晰，能适应不同分辨率和设备。（3）平台数据准确性维护。保证各模块所涉及的数据准确可靠，无论是查询结果、统计数据、上传的数据还是风险预警依据的数据，都要经过严格的校验和审核，确保数据的完整性和一致性。（4）平台安全性维护。加强对各个模块的安全管理，防止数据泄露和非法访问。对数据上传进行安全检测，确保上传内容安全；对查询和报表功能设置合理的权限控制；对风险预警和大屏可视化涉及的敏感数据进行加密和访问限制。</w:t>
      </w:r>
    </w:p>
    <w:p>
      <w:pPr>
        <w:numPr>
          <w:ilvl w:val="0"/>
          <w:numId w:val="6"/>
        </w:numPr>
        <w:spacing w:line="520" w:lineRule="exact"/>
        <w:ind w:firstLine="680"/>
      </w:pPr>
      <w:r>
        <w:rPr>
          <w:rFonts w:hint="eastAsia"/>
        </w:rPr>
        <w:t>综合监管平台移动端，扫码监管小程序运维。（1）功能稳定性维护。确保小程序的各个功能模块持续稳定运行，避免出现功能失效、卡顿或错误等情况，保障用户体验和业务的正常开展。（2）安全性维护。加强小程序的安全防护，防止数据泄露、恶意攻击和非法访问。对用户信息进行加密存储和传输，严格控制权限管理，确保小程序的安全性和可靠性。</w:t>
      </w:r>
    </w:p>
    <w:p>
      <w:pPr>
        <w:pStyle w:val="2"/>
        <w:spacing w:line="520" w:lineRule="exact"/>
        <w:ind w:firstLine="680" w:firstLineChars="200"/>
        <w:rPr>
          <w:rFonts w:hint="eastAsia"/>
        </w:rPr>
      </w:pPr>
      <w:r>
        <w:rPr>
          <w:rFonts w:hint="eastAsia"/>
        </w:rPr>
        <w:t>扩展性运维</w:t>
      </w:r>
    </w:p>
    <w:p>
      <w:pPr>
        <w:numPr>
          <w:ilvl w:val="0"/>
          <w:numId w:val="7"/>
        </w:numPr>
        <w:spacing w:line="520" w:lineRule="exact"/>
        <w:ind w:firstLine="680"/>
      </w:pPr>
      <w:bookmarkStart w:id="1" w:name="_Hlk216279884"/>
      <w:r>
        <w:rPr>
          <w:rFonts w:hint="eastAsia"/>
        </w:rPr>
        <w:t>数据扩展服务</w:t>
      </w:r>
      <w:bookmarkEnd w:id="1"/>
      <w:r>
        <w:rPr>
          <w:rFonts w:hint="eastAsia"/>
        </w:rPr>
        <w:t>。按照甲方要求，支持接入新业务系统、外部接口、文件等多类型数据源，不断强化数据归集能力，实现数据统一采集。（1）已对接系统的稳定性维护。确保与第三方系统之间的单点对接始终保持连通状态，及时发现并解决页面跳转中断的问题，保证第三方系统的正常访问。（2）对接文档整理。整理平台的对接文档，包括接口文档、安全配置文档等，形成平台的对接规范和标准。（3）安全与权限维护。严格管理系统用户对单点第三方系统的访问权限。根据用户的角色和职责，分配不同的系统权限。并进行定期审核。</w:t>
      </w:r>
    </w:p>
    <w:p>
      <w:pPr>
        <w:numPr>
          <w:ilvl w:val="0"/>
          <w:numId w:val="7"/>
        </w:numPr>
        <w:spacing w:line="520" w:lineRule="exact"/>
        <w:ind w:firstLine="680"/>
      </w:pPr>
      <w:r>
        <w:rPr>
          <w:rFonts w:hint="eastAsia"/>
        </w:rPr>
        <w:t>功能扩展服务。根据业务需求和用户反馈，不断优化和扩展功能，以便随着业务发展添加新功能或对现有功能进行升级改进。</w:t>
      </w:r>
    </w:p>
    <w:p>
      <w:pPr>
        <w:numPr>
          <w:ilvl w:val="0"/>
          <w:numId w:val="7"/>
        </w:numPr>
        <w:spacing w:line="520" w:lineRule="exact"/>
        <w:ind w:firstLine="680"/>
      </w:pPr>
      <w:r>
        <w:rPr>
          <w:rFonts w:hint="eastAsia"/>
        </w:rPr>
        <w:t>其他服务。配合甲方提供临时性的、突击性的涉及平台内容的维护服务。</w:t>
      </w:r>
    </w:p>
    <w:p>
      <w:pPr>
        <w:pStyle w:val="3"/>
        <w:spacing w:before="0" w:after="0" w:line="520" w:lineRule="exact"/>
        <w:ind w:firstLine="680" w:firstLineChars="200"/>
      </w:pPr>
      <w:r>
        <w:rPr>
          <w:rFonts w:hint="eastAsia"/>
        </w:rPr>
        <w:t>商务要求</w:t>
      </w:r>
      <w:bookmarkStart w:id="2" w:name="_GoBack"/>
      <w:bookmarkEnd w:id="2"/>
    </w:p>
    <w:p>
      <w:pPr>
        <w:pStyle w:val="2"/>
        <w:numPr>
          <w:ilvl w:val="1"/>
          <w:numId w:val="0"/>
        </w:numPr>
        <w:spacing w:line="520" w:lineRule="exact"/>
        <w:ind w:firstLine="680" w:firstLineChars="200"/>
        <w:rPr>
          <w:rFonts w:hint="eastAsia"/>
        </w:rPr>
      </w:pPr>
      <w:r>
        <w:rPr>
          <w:rFonts w:hint="eastAsia"/>
        </w:rPr>
        <w:t>（一）资格要求。</w:t>
      </w:r>
      <w:r>
        <w:rPr>
          <w:rFonts w:hint="eastAsia" w:ascii="仿宋" w:hAnsi="仿宋" w:eastAsia="仿宋" w:cs="仿宋"/>
        </w:rPr>
        <w:t>本项目要求供应商满足《政府采购法》第二十二条规定，在“信用中国”网站（www.creditchina.gov.cn）中未被列入失信被执行人、重大税收违法案件当事人名单和“中国政府采购”网站（www.ccgp.gov.cn）政府采购严重违法失信行为记录名单。</w:t>
      </w:r>
    </w:p>
    <w:p>
      <w:pPr>
        <w:pStyle w:val="2"/>
        <w:numPr>
          <w:ilvl w:val="1"/>
          <w:numId w:val="0"/>
        </w:numPr>
        <w:spacing w:line="520" w:lineRule="exact"/>
        <w:ind w:firstLine="680" w:firstLineChars="200"/>
        <w:rPr>
          <w:rFonts w:hint="eastAsia" w:ascii="仿宋" w:hAnsi="仿宋" w:eastAsia="仿宋" w:cs="仿宋"/>
        </w:rPr>
      </w:pPr>
      <w:r>
        <w:rPr>
          <w:rFonts w:hint="eastAsia"/>
        </w:rPr>
        <w:t>（二）能力要求。</w:t>
      </w:r>
      <w:r>
        <w:rPr>
          <w:rFonts w:hint="eastAsia" w:ascii="仿宋" w:hAnsi="仿宋" w:eastAsia="仿宋" w:cs="仿宋"/>
        </w:rPr>
        <w:t>供应商要熟悉武汉市市场综合监管平台业务功能、开发框架及运行环境，能基于此平台进行二次开发。</w:t>
      </w:r>
    </w:p>
    <w:p>
      <w:pPr>
        <w:pStyle w:val="2"/>
        <w:numPr>
          <w:ilvl w:val="1"/>
          <w:numId w:val="0"/>
        </w:numPr>
        <w:spacing w:line="520" w:lineRule="exact"/>
        <w:ind w:firstLine="680" w:firstLineChars="200"/>
        <w:rPr>
          <w:rFonts w:hint="eastAsia" w:ascii="仿宋" w:hAnsi="仿宋" w:eastAsia="仿宋" w:cs="仿宋"/>
        </w:rPr>
      </w:pPr>
      <w:r>
        <w:rPr>
          <w:rFonts w:hint="eastAsia"/>
        </w:rPr>
        <w:t>（三）团队要求。</w:t>
      </w:r>
      <w:r>
        <w:rPr>
          <w:rFonts w:hint="eastAsia" w:ascii="仿宋" w:hAnsi="仿宋" w:eastAsia="仿宋" w:cs="仿宋"/>
        </w:rPr>
        <w:t>供应商组建专业的技术团队，驻场技术人员不少于3人。一般问题2小时解决，重大问题12小时内解决。服务期限</w:t>
      </w:r>
      <w:r>
        <w:rPr>
          <w:rFonts w:hint="eastAsia" w:ascii="仿宋" w:hAnsi="仿宋" w:eastAsia="仿宋" w:cs="仿宋"/>
          <w:lang w:val="en-US" w:eastAsia="zh-CN"/>
        </w:rPr>
        <w:t>8</w:t>
      </w:r>
      <w:r>
        <w:rPr>
          <w:rFonts w:hint="eastAsia" w:ascii="仿宋" w:hAnsi="仿宋" w:eastAsia="仿宋" w:cs="仿宋"/>
        </w:rPr>
        <w:t>个月。</w:t>
      </w:r>
    </w:p>
    <w:p>
      <w:pPr>
        <w:pStyle w:val="2"/>
        <w:numPr>
          <w:ilvl w:val="1"/>
          <w:numId w:val="0"/>
        </w:numPr>
        <w:spacing w:line="520" w:lineRule="exact"/>
        <w:ind w:firstLine="680" w:firstLineChars="200"/>
        <w:rPr>
          <w:rFonts w:hint="eastAsia" w:ascii="仿宋" w:hAnsi="仿宋" w:eastAsia="仿宋" w:cs="仿宋"/>
        </w:rPr>
      </w:pPr>
      <w:r>
        <w:rPr>
          <w:rFonts w:hint="eastAsia"/>
        </w:rPr>
        <w:t>（四）采购预算。</w:t>
      </w:r>
      <w:r>
        <w:rPr>
          <w:rFonts w:hint="eastAsia" w:ascii="仿宋" w:hAnsi="仿宋" w:eastAsia="仿宋" w:cs="仿宋"/>
        </w:rPr>
        <w:t>人民币</w:t>
      </w:r>
      <w:r>
        <w:rPr>
          <w:rFonts w:hint="eastAsia" w:ascii="仿宋" w:hAnsi="仿宋" w:eastAsia="仿宋" w:cs="仿宋"/>
          <w:lang w:val="en-US" w:eastAsia="zh-CN"/>
        </w:rPr>
        <w:t>28.8</w:t>
      </w:r>
      <w:r>
        <w:rPr>
          <w:rFonts w:hint="eastAsia" w:ascii="仿宋" w:hAnsi="仿宋" w:eastAsia="仿宋" w:cs="仿宋"/>
        </w:rPr>
        <w:t>万元，超此报价为无效报价。</w:t>
      </w:r>
    </w:p>
    <w:p>
      <w:pPr>
        <w:pStyle w:val="2"/>
        <w:numPr>
          <w:ilvl w:val="1"/>
          <w:numId w:val="0"/>
        </w:numPr>
        <w:spacing w:line="520" w:lineRule="exact"/>
        <w:ind w:firstLine="680" w:firstLineChars="200"/>
        <w:rPr>
          <w:rFonts w:hint="eastAsia" w:ascii="仿宋" w:hAnsi="仿宋" w:eastAsia="仿宋" w:cs="仿宋"/>
        </w:rPr>
      </w:pPr>
      <w:r>
        <w:rPr>
          <w:rFonts w:hint="eastAsia"/>
        </w:rPr>
        <w:t>（五）款项支付。</w:t>
      </w:r>
      <w:r>
        <w:rPr>
          <w:rFonts w:hint="eastAsia" w:ascii="仿宋" w:hAnsi="仿宋" w:eastAsia="仿宋" w:cs="仿宋"/>
        </w:rPr>
        <w:t>按合同约定执行。</w:t>
      </w:r>
    </w:p>
    <w:sectPr>
      <w:headerReference r:id="rId4" w:type="first"/>
      <w:footerReference r:id="rId7" w:type="first"/>
      <w:footerReference r:id="rId5" w:type="default"/>
      <w:headerReference r:id="rId3" w:type="even"/>
      <w:footerReference r:id="rId6" w:type="even"/>
      <w:pgSz w:w="11906" w:h="16838"/>
      <w:pgMar w:top="2098" w:right="1474" w:bottom="1984" w:left="1588" w:header="851" w:footer="1400" w:gutter="0"/>
      <w:cols w:space="425" w:num="1"/>
      <w:docGrid w:type="linesAndChars" w:linePitch="579" w:charSpace="412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FangSong_GB2312">
    <w:altName w:val="仿宋_GB2312"/>
    <w:panose1 w:val="02010609060101010101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ind w:firstLine="560"/>
      <w:jc w:val="center"/>
      <w:rPr>
        <w:rFonts w:hint="eastAsia" w:ascii="宋体" w:hAnsi="宋体" w:eastAsia="宋体" w:cs="宋体"/>
        <w:sz w:val="28"/>
      </w:rPr>
    </w:pPr>
    <w:r>
      <w:rPr>
        <w:rFonts w:hint="eastAsia" w:ascii="宋体" w:hAnsi="宋体" w:eastAsia="宋体" w:cs="宋体"/>
        <w:sz w:val="28"/>
      </w:rPr>
      <w:t xml:space="preserve">— </w:t>
    </w:r>
    <w:r>
      <w:rPr>
        <w:rFonts w:hint="eastAsia" w:ascii="宋体" w:hAnsi="宋体" w:eastAsia="宋体" w:cs="宋体"/>
        <w:sz w:val="28"/>
      </w:rPr>
      <w:fldChar w:fldCharType="begin"/>
    </w:r>
    <w:r>
      <w:rPr>
        <w:rFonts w:hint="eastAsia" w:ascii="宋体" w:hAnsi="宋体" w:eastAsia="宋体" w:cs="宋体"/>
        <w:sz w:val="28"/>
      </w:rPr>
      <w:instrText xml:space="preserve"> PAGE \* Arabic \* MERGEFORMAT </w:instrText>
    </w:r>
    <w:r>
      <w:rPr>
        <w:rFonts w:hint="eastAsia" w:ascii="宋体" w:hAnsi="宋体" w:eastAsia="宋体" w:cs="宋体"/>
        <w:sz w:val="28"/>
      </w:rPr>
      <w:fldChar w:fldCharType="separate"/>
    </w:r>
    <w:r>
      <w:rPr>
        <w:rFonts w:hint="eastAsia" w:ascii="宋体" w:hAnsi="宋体" w:eastAsia="宋体" w:cs="宋体"/>
        <w:sz w:val="28"/>
      </w:rPr>
      <w:t>1</w:t>
    </w:r>
    <w:r>
      <w:rPr>
        <w:rFonts w:hint="eastAsia" w:ascii="宋体" w:hAnsi="宋体" w:eastAsia="宋体" w:cs="宋体"/>
        <w:sz w:val="28"/>
      </w:rPr>
      <w:fldChar w:fldCharType="end"/>
    </w:r>
    <w:r>
      <w:rPr>
        <w:rFonts w:hint="eastAsia" w:ascii="宋体" w:hAnsi="宋体" w:eastAsia="宋体" w:cs="宋体"/>
        <w:sz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ind w:firstLine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ind w:firstLine="360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2F84F00"/>
    <w:multiLevelType w:val="singleLevel"/>
    <w:tmpl w:val="A2F84F00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">
    <w:nsid w:val="D0985297"/>
    <w:multiLevelType w:val="singleLevel"/>
    <w:tmpl w:val="D0985297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2">
    <w:nsid w:val="0455966D"/>
    <w:multiLevelType w:val="singleLevel"/>
    <w:tmpl w:val="0455966D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3">
    <w:nsid w:val="07101742"/>
    <w:multiLevelType w:val="singleLevel"/>
    <w:tmpl w:val="07101742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4">
    <w:nsid w:val="3B92A6EB"/>
    <w:multiLevelType w:val="multilevel"/>
    <w:tmpl w:val="3B92A6EB"/>
    <w:lvl w:ilvl="0" w:tentative="0">
      <w:start w:val="1"/>
      <w:numFmt w:val="chineseCounting"/>
      <w:pStyle w:val="3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2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5">
    <w:nsid w:val="499661FD"/>
    <w:multiLevelType w:val="singleLevel"/>
    <w:tmpl w:val="499661FD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6">
    <w:nsid w:val="4FAA4E7A"/>
    <w:multiLevelType w:val="singleLevel"/>
    <w:tmpl w:val="4FAA4E7A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HorizontalSpacing w:val="170"/>
  <w:drawingGridVerticalSpacing w:val="290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RiNWE4ZTU5MDU3MzMzY2FhNGM4NmQ4NTNjNDU4NjAifQ=="/>
  </w:docVars>
  <w:rsids>
    <w:rsidRoot w:val="42A83D3D"/>
    <w:rsid w:val="000C5B27"/>
    <w:rsid w:val="001046ED"/>
    <w:rsid w:val="001505AF"/>
    <w:rsid w:val="00166B8E"/>
    <w:rsid w:val="002B0C3E"/>
    <w:rsid w:val="0039520D"/>
    <w:rsid w:val="00400D6B"/>
    <w:rsid w:val="00424989"/>
    <w:rsid w:val="0046378E"/>
    <w:rsid w:val="004B7BCF"/>
    <w:rsid w:val="00586126"/>
    <w:rsid w:val="0061074D"/>
    <w:rsid w:val="0062332F"/>
    <w:rsid w:val="00641D79"/>
    <w:rsid w:val="00677CCA"/>
    <w:rsid w:val="00693836"/>
    <w:rsid w:val="00854997"/>
    <w:rsid w:val="008C0357"/>
    <w:rsid w:val="00967047"/>
    <w:rsid w:val="00A2578F"/>
    <w:rsid w:val="00AA4B7F"/>
    <w:rsid w:val="00AB002B"/>
    <w:rsid w:val="00AD2164"/>
    <w:rsid w:val="00BF60C1"/>
    <w:rsid w:val="00C42DA8"/>
    <w:rsid w:val="00CB44B4"/>
    <w:rsid w:val="00D47FCA"/>
    <w:rsid w:val="00D529D8"/>
    <w:rsid w:val="00D86243"/>
    <w:rsid w:val="00DB7591"/>
    <w:rsid w:val="00E03128"/>
    <w:rsid w:val="00E33ECA"/>
    <w:rsid w:val="00E61813"/>
    <w:rsid w:val="00E8140F"/>
    <w:rsid w:val="00EA48D9"/>
    <w:rsid w:val="00EE41CA"/>
    <w:rsid w:val="00F01D5F"/>
    <w:rsid w:val="00F4515D"/>
    <w:rsid w:val="00FD613E"/>
    <w:rsid w:val="00FF5E3B"/>
    <w:rsid w:val="02140799"/>
    <w:rsid w:val="02B7624C"/>
    <w:rsid w:val="03AE75C9"/>
    <w:rsid w:val="04096362"/>
    <w:rsid w:val="064F7E9F"/>
    <w:rsid w:val="08002443"/>
    <w:rsid w:val="0B862B08"/>
    <w:rsid w:val="0B924059"/>
    <w:rsid w:val="0CD04CE8"/>
    <w:rsid w:val="0D606528"/>
    <w:rsid w:val="0E803ADA"/>
    <w:rsid w:val="0EFA571E"/>
    <w:rsid w:val="109761AC"/>
    <w:rsid w:val="115953C8"/>
    <w:rsid w:val="13851366"/>
    <w:rsid w:val="154C6CC8"/>
    <w:rsid w:val="15757784"/>
    <w:rsid w:val="158E13CF"/>
    <w:rsid w:val="167D1838"/>
    <w:rsid w:val="16E3365C"/>
    <w:rsid w:val="16F7238F"/>
    <w:rsid w:val="18515460"/>
    <w:rsid w:val="194471F7"/>
    <w:rsid w:val="1AD36ADA"/>
    <w:rsid w:val="1AE41750"/>
    <w:rsid w:val="1B317E57"/>
    <w:rsid w:val="1BB5556F"/>
    <w:rsid w:val="1C5E1141"/>
    <w:rsid w:val="1C9C036D"/>
    <w:rsid w:val="1E6F3A27"/>
    <w:rsid w:val="208A67A9"/>
    <w:rsid w:val="21115186"/>
    <w:rsid w:val="21CE11D1"/>
    <w:rsid w:val="22FA5E18"/>
    <w:rsid w:val="236A6D03"/>
    <w:rsid w:val="23CC2B5D"/>
    <w:rsid w:val="24E92C05"/>
    <w:rsid w:val="24EA2FCD"/>
    <w:rsid w:val="28E52CF7"/>
    <w:rsid w:val="296A3B7E"/>
    <w:rsid w:val="2A8E6314"/>
    <w:rsid w:val="2AF566C8"/>
    <w:rsid w:val="2B452F2B"/>
    <w:rsid w:val="2B870602"/>
    <w:rsid w:val="2D9C2782"/>
    <w:rsid w:val="2DE2098E"/>
    <w:rsid w:val="2E770881"/>
    <w:rsid w:val="32893F56"/>
    <w:rsid w:val="33C07C3D"/>
    <w:rsid w:val="36FB7BF3"/>
    <w:rsid w:val="376A6EF2"/>
    <w:rsid w:val="37E91396"/>
    <w:rsid w:val="398C69E6"/>
    <w:rsid w:val="3ACF3A75"/>
    <w:rsid w:val="3B83521D"/>
    <w:rsid w:val="3CA20FB8"/>
    <w:rsid w:val="3CB13731"/>
    <w:rsid w:val="3D7B4A57"/>
    <w:rsid w:val="3F107A76"/>
    <w:rsid w:val="40715483"/>
    <w:rsid w:val="42A83D3D"/>
    <w:rsid w:val="42A95371"/>
    <w:rsid w:val="44272937"/>
    <w:rsid w:val="444A644B"/>
    <w:rsid w:val="466F1003"/>
    <w:rsid w:val="46B65095"/>
    <w:rsid w:val="493103C9"/>
    <w:rsid w:val="4958667A"/>
    <w:rsid w:val="49B33A3D"/>
    <w:rsid w:val="4C103D52"/>
    <w:rsid w:val="4D0E72F4"/>
    <w:rsid w:val="4E155D14"/>
    <w:rsid w:val="4E3D48D2"/>
    <w:rsid w:val="4F066C52"/>
    <w:rsid w:val="4F53761F"/>
    <w:rsid w:val="50C10BF4"/>
    <w:rsid w:val="51E952C3"/>
    <w:rsid w:val="54D30715"/>
    <w:rsid w:val="555B6F6E"/>
    <w:rsid w:val="573978A3"/>
    <w:rsid w:val="57977A5D"/>
    <w:rsid w:val="5A4E7A60"/>
    <w:rsid w:val="5C5F27D3"/>
    <w:rsid w:val="5D116A69"/>
    <w:rsid w:val="5D281549"/>
    <w:rsid w:val="5D450E7C"/>
    <w:rsid w:val="5DC61141"/>
    <w:rsid w:val="5F497C83"/>
    <w:rsid w:val="616D381B"/>
    <w:rsid w:val="61A81034"/>
    <w:rsid w:val="62014381"/>
    <w:rsid w:val="625642AF"/>
    <w:rsid w:val="642534A3"/>
    <w:rsid w:val="645D6D7E"/>
    <w:rsid w:val="64AE5FFB"/>
    <w:rsid w:val="65773730"/>
    <w:rsid w:val="67226CCA"/>
    <w:rsid w:val="6724604C"/>
    <w:rsid w:val="6C612CB4"/>
    <w:rsid w:val="6C7B44B2"/>
    <w:rsid w:val="70232B67"/>
    <w:rsid w:val="71E44313"/>
    <w:rsid w:val="742217D2"/>
    <w:rsid w:val="76F04C29"/>
    <w:rsid w:val="776702AC"/>
    <w:rsid w:val="77A80929"/>
    <w:rsid w:val="78FE3F48"/>
    <w:rsid w:val="79955265"/>
    <w:rsid w:val="7A9E03A5"/>
    <w:rsid w:val="7B0F32EA"/>
    <w:rsid w:val="7D542459"/>
    <w:rsid w:val="7DE62533"/>
    <w:rsid w:val="7FE56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600" w:lineRule="exact"/>
      <w:ind w:firstLine="872" w:firstLineChars="200"/>
      <w:jc w:val="both"/>
    </w:pPr>
    <w:rPr>
      <w:rFonts w:eastAsia="仿宋" w:asciiTheme="minorHAnsi" w:hAnsiTheme="minorHAnsi" w:cstheme="minorBidi"/>
      <w:kern w:val="2"/>
      <w:sz w:val="32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00" w:after="300"/>
      <w:ind w:firstLineChars="0"/>
      <w:outlineLvl w:val="0"/>
    </w:pPr>
    <w:rPr>
      <w:rFonts w:eastAsia="黑体"/>
      <w:kern w:val="44"/>
    </w:rPr>
  </w:style>
  <w:style w:type="paragraph" w:styleId="2">
    <w:name w:val="heading 2"/>
    <w:basedOn w:val="1"/>
    <w:next w:val="1"/>
    <w:unhideWhenUsed/>
    <w:qFormat/>
    <w:uiPriority w:val="0"/>
    <w:pPr>
      <w:numPr>
        <w:ilvl w:val="1"/>
        <w:numId w:val="1"/>
      </w:numPr>
      <w:tabs>
        <w:tab w:val="left" w:pos="420"/>
      </w:tabs>
      <w:ind w:firstLineChars="0"/>
      <w:outlineLvl w:val="1"/>
    </w:pPr>
    <w:rPr>
      <w:rFonts w:ascii="黑体" w:hAnsi="黑体" w:eastAsia="楷体" w:cs="黑体"/>
    </w:rPr>
  </w:style>
  <w:style w:type="paragraph" w:styleId="4">
    <w:name w:val="heading 3"/>
    <w:basedOn w:val="1"/>
    <w:next w:val="1"/>
    <w:unhideWhenUsed/>
    <w:qFormat/>
    <w:uiPriority w:val="0"/>
    <w:pPr>
      <w:numPr>
        <w:ilvl w:val="2"/>
        <w:numId w:val="1"/>
      </w:numPr>
      <w:ind w:firstLine="0" w:firstLineChars="0"/>
      <w:outlineLvl w:val="2"/>
    </w:pPr>
    <w:rPr>
      <w:rFonts w:ascii="Times New Roman" w:hAnsi="Times New Roman" w:eastAsia="FangSong_GB2312" w:cs="Times New Roman"/>
      <w:b/>
      <w:bCs/>
      <w:szCs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after="290" w:line="372" w:lineRule="auto"/>
      <w:ind w:firstLine="0" w:firstLineChars="0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numPr>
        <w:ilvl w:val="4"/>
        <w:numId w:val="1"/>
      </w:numPr>
      <w:spacing w:before="280" w:after="290" w:line="372" w:lineRule="auto"/>
      <w:ind w:firstLine="0" w:firstLineChars="0"/>
      <w:outlineLvl w:val="4"/>
    </w:pPr>
    <w:rPr>
      <w:b/>
      <w:sz w:val="28"/>
    </w:rPr>
  </w:style>
  <w:style w:type="paragraph" w:styleId="7">
    <w:name w:val="heading 6"/>
    <w:basedOn w:val="1"/>
    <w:next w:val="1"/>
    <w:unhideWhenUsed/>
    <w:qFormat/>
    <w:uiPriority w:val="0"/>
    <w:pPr>
      <w:keepNext/>
      <w:keepLines/>
      <w:numPr>
        <w:ilvl w:val="5"/>
        <w:numId w:val="1"/>
      </w:numPr>
      <w:spacing w:before="240" w:after="64" w:line="317" w:lineRule="auto"/>
      <w:ind w:firstLine="0" w:firstLineChars="0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unhideWhenUsed/>
    <w:qFormat/>
    <w:uiPriority w:val="0"/>
    <w:pPr>
      <w:keepNext/>
      <w:keepLines/>
      <w:numPr>
        <w:ilvl w:val="6"/>
        <w:numId w:val="1"/>
      </w:numPr>
      <w:spacing w:before="240" w:after="64" w:line="317" w:lineRule="auto"/>
      <w:ind w:firstLine="0" w:firstLineChars="0"/>
      <w:outlineLvl w:val="6"/>
    </w:pPr>
    <w:rPr>
      <w:b/>
      <w:sz w:val="24"/>
    </w:rPr>
  </w:style>
  <w:style w:type="paragraph" w:styleId="9">
    <w:name w:val="heading 8"/>
    <w:basedOn w:val="1"/>
    <w:next w:val="1"/>
    <w:unhideWhenUsed/>
    <w:qFormat/>
    <w:uiPriority w:val="0"/>
    <w:pPr>
      <w:keepNext/>
      <w:keepLines/>
      <w:numPr>
        <w:ilvl w:val="7"/>
        <w:numId w:val="1"/>
      </w:numPr>
      <w:spacing w:before="240" w:after="64" w:line="317" w:lineRule="auto"/>
      <w:ind w:firstLine="0" w:firstLineChars="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unhideWhenUsed/>
    <w:qFormat/>
    <w:uiPriority w:val="0"/>
    <w:pPr>
      <w:keepNext/>
      <w:keepLines/>
      <w:numPr>
        <w:ilvl w:val="8"/>
        <w:numId w:val="1"/>
      </w:numPr>
      <w:spacing w:before="240" w:after="64" w:line="317" w:lineRule="auto"/>
      <w:ind w:firstLine="0" w:firstLineChars="0"/>
      <w:outlineLvl w:val="8"/>
    </w:pPr>
    <w:rPr>
      <w:rFonts w:ascii="Arial" w:hAnsi="Arial" w:eastAsia="黑体"/>
      <w:sz w:val="21"/>
    </w:rPr>
  </w:style>
  <w:style w:type="character" w:default="1" w:styleId="14">
    <w:name w:val="Default Paragraph Font"/>
    <w:unhideWhenUsed/>
    <w:uiPriority w:val="1"/>
  </w:style>
  <w:style w:type="table" w:default="1" w:styleId="1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qFormat/>
    <w:uiPriority w:val="0"/>
    <w:pPr>
      <w:jc w:val="left"/>
    </w:p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paragraph" w:customStyle="1" w:styleId="16">
    <w:name w:val="文章标题"/>
    <w:basedOn w:val="1"/>
    <w:qFormat/>
    <w:uiPriority w:val="0"/>
    <w:rPr>
      <w:rFonts w:ascii="Calibri" w:hAnsi="Calibri" w:eastAsia="方正小标宋简体" w:cs="宋体"/>
      <w:sz w:val="44"/>
    </w:rPr>
  </w:style>
  <w:style w:type="paragraph" w:customStyle="1" w:styleId="17">
    <w:name w:val="Revision"/>
    <w:hidden/>
    <w:unhideWhenUsed/>
    <w:qFormat/>
    <w:uiPriority w:val="99"/>
    <w:rPr>
      <w:rFonts w:eastAsia="仿宋" w:asciiTheme="minorHAnsi" w:hAnsiTheme="minorHAnsi" w:cstheme="minorBidi"/>
      <w:kern w:val="2"/>
      <w:sz w:val="32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6183</Words>
  <Characters>6291</Characters>
  <Lines>44</Lines>
  <Paragraphs>12</Paragraphs>
  <TotalTime>0</TotalTime>
  <ScaleCrop>false</ScaleCrop>
  <LinksUpToDate>false</LinksUpToDate>
  <CharactersWithSpaces>6293</CharactersWithSpaces>
  <Application>WPS Office_10.8.0.6206_F1E327BC-269C-435d-A152-05C5408002CA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2024-11-05T06:43:00Z</dcterms:created>
  <dc:creator>邹峰</dc:creator>
  <cp:lastModifiedBy>陈祥华</cp:lastModifiedBy>
  <dcterms:modified xsi:type="dcterms:W3CDTF">2026-03-11T01:42:10Z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  <property fmtid="{D5CDD505-2E9C-101B-9397-08002B2CF9AE}" pid="3" name="ICV">
    <vt:lpwstr>87EAFE111E0C47D18CCBB79DE95B52F6_13</vt:lpwstr>
  </property>
  <property fmtid="{D5CDD505-2E9C-101B-9397-08002B2CF9AE}" pid="4" name="KSOTemplateDocerSaveRecord">
    <vt:lpwstr>eyJoZGlkIjoiOWRiNWE4ZTU5MDU3MzMzY2FhNGM4NmQ4NTNjNDU4NjAiLCJ1c2VySWQiOiIyMTQ1OTcwNjYifQ==</vt:lpwstr>
  </property>
</Properties>
</file>