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方正小标宋简体" w:hAnsi="方正小标宋简体" w:eastAsia="方正小标宋简体" w:cs="方正小标宋简体"/>
          <w:color w:val="000000" w:themeColor="text1"/>
          <w:w w:val="105"/>
          <w:sz w:val="44"/>
          <w:szCs w:val="44"/>
          <w14:textFill>
            <w14:solidFill>
              <w14:schemeClr w14:val="tx1"/>
            </w14:solidFill>
          </w14:textFill>
        </w:rPr>
      </w:pPr>
    </w:p>
    <w:p>
      <w:pPr>
        <w:spacing w:line="560" w:lineRule="exact"/>
        <w:jc w:val="center"/>
        <w:rPr>
          <w:rFonts w:hint="eastAsia" w:ascii="方正小标宋简体" w:hAnsi="方正小标宋简体" w:eastAsia="方正小标宋简体" w:cs="方正小标宋简体"/>
          <w:color w:val="000000" w:themeColor="text1"/>
          <w:w w:val="105"/>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w w:val="105"/>
          <w:sz w:val="44"/>
          <w:szCs w:val="44"/>
          <w14:textFill>
            <w14:solidFill>
              <w14:schemeClr w14:val="tx1"/>
            </w14:solidFill>
          </w14:textFill>
        </w:rPr>
        <w:t>12315热线与12345热线平台整合项目</w:t>
      </w:r>
    </w:p>
    <w:p>
      <w:pPr>
        <w:spacing w:line="560" w:lineRule="exact"/>
        <w:jc w:val="center"/>
        <w:rPr>
          <w:rFonts w:hint="eastAsia" w:ascii="方正小标宋简体" w:hAnsi="方正小标宋简体" w:eastAsia="方正小标宋简体" w:cs="方正小标宋简体"/>
          <w:color w:val="424649"/>
          <w:w w:val="105"/>
          <w:sz w:val="44"/>
          <w:szCs w:val="44"/>
        </w:rPr>
      </w:pPr>
      <w:r>
        <w:rPr>
          <w:rFonts w:hint="eastAsia" w:ascii="方正小标宋简体" w:hAnsi="方正小标宋简体" w:eastAsia="方正小标宋简体" w:cs="方正小标宋简体"/>
          <w:color w:val="000000" w:themeColor="text1"/>
          <w:w w:val="105"/>
          <w:sz w:val="44"/>
          <w:szCs w:val="44"/>
          <w14:textFill>
            <w14:solidFill>
              <w14:schemeClr w14:val="tx1"/>
            </w14:solidFill>
          </w14:textFill>
        </w:rPr>
        <w:t>运维服务采购需求和采购实施计划</w:t>
      </w:r>
    </w:p>
    <w:p>
      <w:pPr>
        <w:spacing w:line="560" w:lineRule="exact"/>
        <w:jc w:val="center"/>
        <w:rPr>
          <w:rFonts w:hint="eastAsia" w:ascii="仿宋_GB2312" w:hAnsi="仿宋_GB2312" w:eastAsia="仿宋_GB2312" w:cs="仿宋_GB2312"/>
          <w:color w:val="424649"/>
          <w:w w:val="105"/>
          <w:sz w:val="32"/>
          <w:szCs w:val="32"/>
        </w:rPr>
      </w:pPr>
    </w:p>
    <w:p>
      <w:pPr>
        <w:pStyle w:val="3"/>
        <w:spacing w:before="62" w:beforeLines="20" w:after="62" w:afterLines="20" w:line="560" w:lineRule="exact"/>
        <w:ind w:firstLine="640" w:firstLineChars="200"/>
        <w:rPr>
          <w:rFonts w:hint="eastAsia" w:ascii="楷体_GB2312" w:hAnsi="楷体_GB2312" w:eastAsia="楷体_GB2312" w:cs="楷体_GB2312"/>
          <w:b w:val="0"/>
          <w:bCs/>
          <w:sz w:val="32"/>
          <w:szCs w:val="32"/>
        </w:rPr>
      </w:pPr>
      <w:r>
        <w:rPr>
          <w:rFonts w:hint="eastAsia" w:ascii="黑体" w:hAnsi="黑体" w:eastAsia="黑体" w:cs="黑体"/>
          <w:b w:val="0"/>
          <w:bCs/>
          <w:sz w:val="32"/>
          <w:szCs w:val="32"/>
        </w:rPr>
        <w:t>一、项目基本情况</w:t>
      </w:r>
    </w:p>
    <w:p>
      <w:pPr>
        <w:spacing w:line="560" w:lineRule="exact"/>
        <w:ind w:firstLine="643" w:firstLineChars="200"/>
        <w:rPr>
          <w:rFonts w:hint="eastAsia" w:ascii="楷体_GB2312" w:hAnsi="楷体_GB2312" w:eastAsia="楷体_GB2312" w:cs="楷体_GB2312"/>
          <w:sz w:val="32"/>
          <w:szCs w:val="32"/>
        </w:rPr>
      </w:pPr>
      <w:r>
        <w:rPr>
          <w:rFonts w:hint="eastAsia" w:ascii="楷体_GB2312" w:hAnsi="楷体_GB2312" w:eastAsia="楷体_GB2312" w:cs="楷体_GB2312"/>
          <w:b/>
          <w:bCs/>
          <w:sz w:val="32"/>
          <w:szCs w:val="32"/>
        </w:rPr>
        <w:t>（一）项目名称</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12315热线与12345热线平台整合项目运维服务</w:t>
      </w:r>
    </w:p>
    <w:p>
      <w:pPr>
        <w:spacing w:line="560" w:lineRule="exact"/>
        <w:ind w:firstLine="643" w:firstLineChars="200"/>
        <w:rPr>
          <w:rFonts w:hint="eastAsia" w:ascii="楷体_GB2312" w:hAnsi="楷体_GB2312" w:eastAsia="楷体_GB2312" w:cs="楷体_GB2312"/>
          <w:sz w:val="32"/>
          <w:szCs w:val="32"/>
        </w:rPr>
      </w:pPr>
      <w:r>
        <w:rPr>
          <w:rFonts w:hint="eastAsia" w:ascii="楷体_GB2312" w:hAnsi="楷体_GB2312" w:eastAsia="楷体_GB2312" w:cs="楷体_GB2312"/>
          <w:b/>
          <w:bCs/>
          <w:sz w:val="32"/>
          <w:szCs w:val="32"/>
        </w:rPr>
        <w:t>（二）预算金额（最高限价）</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预算金额39,165</w:t>
      </w:r>
      <w:r>
        <w:rPr>
          <w:rFonts w:hint="eastAsia" w:ascii="仿宋_GB2312" w:hAnsi="仿宋_GB2312" w:eastAsia="仿宋_GB2312" w:cs="仿宋_GB2312"/>
          <w:sz w:val="32"/>
          <w:szCs w:val="32"/>
          <w:lang w:val="en-US" w:eastAsia="zh-CN"/>
        </w:rPr>
        <w:t>.00</w:t>
      </w:r>
      <w:r>
        <w:rPr>
          <w:rFonts w:hint="eastAsia" w:ascii="仿宋_GB2312" w:hAnsi="仿宋_GB2312" w:eastAsia="仿宋_GB2312" w:cs="仿宋_GB2312"/>
          <w:sz w:val="32"/>
          <w:szCs w:val="32"/>
        </w:rPr>
        <w:t>元；最高限价39,165</w:t>
      </w:r>
      <w:r>
        <w:rPr>
          <w:rFonts w:hint="eastAsia" w:ascii="仿宋_GB2312" w:hAnsi="仿宋_GB2312" w:eastAsia="仿宋_GB2312" w:cs="仿宋_GB2312"/>
          <w:sz w:val="32"/>
          <w:szCs w:val="32"/>
          <w:lang w:val="en-US" w:eastAsia="zh-CN"/>
        </w:rPr>
        <w:t>.00</w:t>
      </w:r>
      <w:r>
        <w:rPr>
          <w:rFonts w:hint="eastAsia" w:ascii="仿宋_GB2312" w:hAnsi="仿宋_GB2312" w:eastAsia="仿宋_GB2312" w:cs="仿宋_GB2312"/>
          <w:sz w:val="32"/>
          <w:szCs w:val="32"/>
        </w:rPr>
        <w:t>元</w:t>
      </w:r>
    </w:p>
    <w:p>
      <w:pPr>
        <w:pStyle w:val="4"/>
        <w:spacing w:before="0" w:after="0" w:line="560" w:lineRule="exact"/>
        <w:ind w:firstLine="643" w:firstLineChars="200"/>
        <w:rPr>
          <w:rFonts w:hint="eastAsia" w:ascii="楷体_GB2312" w:hAnsi="楷体_GB2312" w:eastAsia="楷体_GB2312" w:cs="楷体_GB2312"/>
          <w:b w:val="0"/>
          <w:bCs/>
          <w:szCs w:val="32"/>
        </w:rPr>
      </w:pPr>
      <w:r>
        <w:rPr>
          <w:rFonts w:hint="eastAsia" w:ascii="楷体_GB2312" w:hAnsi="楷体_GB2312" w:eastAsia="楷体_GB2312" w:cs="楷体_GB2312"/>
          <w:szCs w:val="32"/>
        </w:rPr>
        <w:t>（三）采购目标</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本次采购为12315热线与12345热线平台整合项目运维服务，是为保障本系统持续稳定运行，供应商应根据采购文件所提出的技术和服务要求，提供符合要求的运维服务。</w:t>
      </w:r>
    </w:p>
    <w:p>
      <w:pPr>
        <w:pStyle w:val="4"/>
        <w:spacing w:before="0" w:after="0" w:line="560" w:lineRule="exact"/>
        <w:ind w:firstLine="643" w:firstLineChars="200"/>
        <w:rPr>
          <w:rFonts w:hint="eastAsia" w:ascii="楷体_GB2312" w:hAnsi="楷体_GB2312" w:eastAsia="楷体_GB2312" w:cs="楷体_GB2312"/>
          <w:b w:val="0"/>
          <w:bCs/>
          <w:szCs w:val="32"/>
        </w:rPr>
      </w:pPr>
      <w:r>
        <w:rPr>
          <w:rFonts w:hint="eastAsia" w:ascii="楷体_GB2312" w:hAnsi="楷体_GB2312" w:eastAsia="楷体_GB2312" w:cs="楷体_GB2312"/>
          <w:szCs w:val="32"/>
        </w:rPr>
        <w:t>（四）总体要求</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武汉市全国12315平台和市12345热线平台对接系统提供全面、标准、高效的运行保障服务，保障信息系统安全、稳定运行，快速解决各类运行故障或隐患，不断提升日常服务质量。提供全面、及时、周到的应用支撑服务，及时解决武汉市市场监督管理局在系统使用过程中的问题，保障武汉市市场监管局相关用户顺畅使用武汉市全国12315平台和市12345热线平台对接系统。</w:t>
      </w:r>
    </w:p>
    <w:p>
      <w:pPr>
        <w:spacing w:line="560" w:lineRule="exact"/>
        <w:ind w:firstLine="640" w:firstLineChars="200"/>
        <w:jc w:val="left"/>
        <w:rPr>
          <w:rFonts w:hint="eastAsia" w:ascii="黑体" w:hAnsi="黑体" w:eastAsia="黑体" w:cs="黑体"/>
          <w:bCs/>
          <w:sz w:val="32"/>
          <w:szCs w:val="32"/>
        </w:rPr>
      </w:pPr>
      <w:r>
        <w:rPr>
          <w:rFonts w:hint="eastAsia" w:ascii="黑体" w:hAnsi="黑体" w:eastAsia="黑体" w:cs="黑体"/>
          <w:bCs/>
          <w:sz w:val="32"/>
          <w:szCs w:val="32"/>
        </w:rPr>
        <w:t>二、采购需求</w:t>
      </w:r>
    </w:p>
    <w:p>
      <w:pPr>
        <w:pStyle w:val="4"/>
        <w:spacing w:before="0" w:after="0" w:line="520" w:lineRule="exact"/>
        <w:ind w:firstLine="643" w:firstLineChars="200"/>
        <w:rPr>
          <w:rFonts w:hint="eastAsia" w:ascii="楷体_GB2312" w:hAnsi="楷体_GB2312" w:eastAsia="楷体_GB2312" w:cs="楷体_GB2312"/>
          <w:bCs/>
          <w:szCs w:val="32"/>
        </w:rPr>
      </w:pPr>
      <w:r>
        <w:rPr>
          <w:rFonts w:hint="eastAsia" w:ascii="楷体_GB2312" w:hAnsi="楷体_GB2312" w:eastAsia="楷体_GB2312" w:cs="楷体_GB2312"/>
          <w:bCs/>
          <w:szCs w:val="32"/>
        </w:rPr>
        <w:t>（一）采购标的</w:t>
      </w:r>
    </w:p>
    <w:tbl>
      <w:tblPr>
        <w:tblStyle w:val="14"/>
        <w:tblW w:w="8741" w:type="dxa"/>
        <w:tblInd w:w="-1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25"/>
        <w:gridCol w:w="858"/>
        <w:gridCol w:w="1605"/>
        <w:gridCol w:w="1226"/>
        <w:gridCol w:w="680"/>
        <w:gridCol w:w="782"/>
        <w:gridCol w:w="585"/>
        <w:gridCol w:w="1035"/>
        <w:gridCol w:w="600"/>
        <w:gridCol w:w="64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704" w:hRule="atLeast"/>
        </w:trPr>
        <w:tc>
          <w:tcPr>
            <w:tcW w:w="725" w:type="dxa"/>
            <w:tcBorders>
              <w:tl2br w:val="nil"/>
              <w:tr2bl w:val="nil"/>
            </w:tcBorders>
            <w:vAlign w:val="center"/>
          </w:tcPr>
          <w:p>
            <w:pPr>
              <w:pStyle w:val="16"/>
              <w:spacing w:line="320" w:lineRule="exact"/>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包号</w:t>
            </w:r>
          </w:p>
        </w:tc>
        <w:tc>
          <w:tcPr>
            <w:tcW w:w="858" w:type="dxa"/>
            <w:tcBorders>
              <w:tl2br w:val="nil"/>
              <w:tr2bl w:val="nil"/>
            </w:tcBorders>
            <w:vAlign w:val="center"/>
          </w:tcPr>
          <w:p>
            <w:pPr>
              <w:pStyle w:val="16"/>
              <w:spacing w:line="320" w:lineRule="exact"/>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标的序号</w:t>
            </w:r>
          </w:p>
        </w:tc>
        <w:tc>
          <w:tcPr>
            <w:tcW w:w="1605" w:type="dxa"/>
            <w:tcBorders>
              <w:tl2br w:val="nil"/>
              <w:tr2bl w:val="nil"/>
            </w:tcBorders>
            <w:vAlign w:val="center"/>
          </w:tcPr>
          <w:p>
            <w:pPr>
              <w:pStyle w:val="16"/>
              <w:spacing w:line="320" w:lineRule="exact"/>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标的名称</w:t>
            </w:r>
          </w:p>
        </w:tc>
        <w:tc>
          <w:tcPr>
            <w:tcW w:w="1226" w:type="dxa"/>
            <w:tcBorders>
              <w:tl2br w:val="nil"/>
              <w:tr2bl w:val="nil"/>
            </w:tcBorders>
            <w:vAlign w:val="center"/>
          </w:tcPr>
          <w:p>
            <w:pPr>
              <w:pStyle w:val="16"/>
              <w:spacing w:line="320" w:lineRule="exact"/>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品目分类编码</w:t>
            </w:r>
          </w:p>
        </w:tc>
        <w:tc>
          <w:tcPr>
            <w:tcW w:w="680" w:type="dxa"/>
            <w:tcBorders>
              <w:tl2br w:val="nil"/>
              <w:tr2bl w:val="nil"/>
            </w:tcBorders>
            <w:vAlign w:val="center"/>
          </w:tcPr>
          <w:p>
            <w:pPr>
              <w:pStyle w:val="16"/>
              <w:spacing w:line="320" w:lineRule="exact"/>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计量单位</w:t>
            </w:r>
          </w:p>
        </w:tc>
        <w:tc>
          <w:tcPr>
            <w:tcW w:w="782" w:type="dxa"/>
            <w:tcBorders>
              <w:tl2br w:val="nil"/>
              <w:tr2bl w:val="nil"/>
            </w:tcBorders>
            <w:vAlign w:val="center"/>
          </w:tcPr>
          <w:p>
            <w:pPr>
              <w:pStyle w:val="16"/>
              <w:spacing w:line="320" w:lineRule="exact"/>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数量</w:t>
            </w:r>
          </w:p>
        </w:tc>
        <w:tc>
          <w:tcPr>
            <w:tcW w:w="585" w:type="dxa"/>
            <w:tcBorders>
              <w:tl2br w:val="nil"/>
              <w:tr2bl w:val="nil"/>
            </w:tcBorders>
            <w:vAlign w:val="center"/>
          </w:tcPr>
          <w:p>
            <w:pPr>
              <w:pStyle w:val="16"/>
              <w:spacing w:line="320" w:lineRule="exact"/>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是否进口</w:t>
            </w:r>
          </w:p>
        </w:tc>
        <w:tc>
          <w:tcPr>
            <w:tcW w:w="1035" w:type="dxa"/>
            <w:tcBorders>
              <w:tl2br w:val="nil"/>
              <w:tr2bl w:val="nil"/>
            </w:tcBorders>
            <w:vAlign w:val="center"/>
          </w:tcPr>
          <w:p>
            <w:pPr>
              <w:pStyle w:val="16"/>
              <w:spacing w:line="320" w:lineRule="exact"/>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是否创</w:t>
            </w:r>
          </w:p>
          <w:p>
            <w:pPr>
              <w:pStyle w:val="16"/>
              <w:spacing w:line="320" w:lineRule="exact"/>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新产品</w:t>
            </w:r>
          </w:p>
        </w:tc>
        <w:tc>
          <w:tcPr>
            <w:tcW w:w="600" w:type="dxa"/>
            <w:tcBorders>
              <w:tl2br w:val="nil"/>
              <w:tr2bl w:val="nil"/>
            </w:tcBorders>
            <w:vAlign w:val="center"/>
          </w:tcPr>
          <w:p>
            <w:pPr>
              <w:pStyle w:val="16"/>
              <w:spacing w:line="320" w:lineRule="exact"/>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绿色发展</w:t>
            </w:r>
          </w:p>
        </w:tc>
        <w:tc>
          <w:tcPr>
            <w:tcW w:w="645" w:type="dxa"/>
            <w:tcBorders>
              <w:tl2br w:val="nil"/>
              <w:tr2bl w:val="nil"/>
            </w:tcBorders>
            <w:vAlign w:val="center"/>
          </w:tcPr>
          <w:p>
            <w:pPr>
              <w:pStyle w:val="16"/>
              <w:spacing w:line="320" w:lineRule="exact"/>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预留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Ex>
        <w:trPr>
          <w:trHeight w:val="555" w:hRule="atLeast"/>
        </w:trPr>
        <w:tc>
          <w:tcPr>
            <w:tcW w:w="725" w:type="dxa"/>
            <w:tcBorders>
              <w:tl2br w:val="nil"/>
              <w:tr2bl w:val="nil"/>
            </w:tcBorders>
            <w:vAlign w:val="center"/>
          </w:tcPr>
          <w:p>
            <w:pPr>
              <w:pStyle w:val="16"/>
              <w:spacing w:line="320" w:lineRule="exact"/>
              <w:jc w:val="center"/>
              <w:rPr>
                <w:rFonts w:hint="eastAsia"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1</w:t>
            </w:r>
          </w:p>
        </w:tc>
        <w:tc>
          <w:tcPr>
            <w:tcW w:w="858" w:type="dxa"/>
            <w:tcBorders>
              <w:tl2br w:val="nil"/>
              <w:tr2bl w:val="nil"/>
            </w:tcBorders>
            <w:vAlign w:val="center"/>
          </w:tcPr>
          <w:p>
            <w:pPr>
              <w:pStyle w:val="16"/>
              <w:spacing w:line="320" w:lineRule="exact"/>
              <w:jc w:val="center"/>
              <w:rPr>
                <w:rFonts w:hint="eastAsia"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1</w:t>
            </w:r>
          </w:p>
        </w:tc>
        <w:tc>
          <w:tcPr>
            <w:tcW w:w="1605" w:type="dxa"/>
            <w:tcBorders>
              <w:tl2br w:val="nil"/>
              <w:tr2bl w:val="nil"/>
            </w:tcBorders>
            <w:vAlign w:val="center"/>
          </w:tcPr>
          <w:p>
            <w:pPr>
              <w:pStyle w:val="16"/>
              <w:spacing w:line="320" w:lineRule="exact"/>
              <w:jc w:val="center"/>
              <w:rPr>
                <w:rFonts w:hint="eastAsia"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12315热线与12345热线平台整合项目运维服务</w:t>
            </w:r>
          </w:p>
        </w:tc>
        <w:tc>
          <w:tcPr>
            <w:tcW w:w="1226" w:type="dxa"/>
            <w:tcBorders>
              <w:tl2br w:val="nil"/>
              <w:tr2bl w:val="nil"/>
            </w:tcBorders>
            <w:vAlign w:val="center"/>
          </w:tcPr>
          <w:p>
            <w:pPr>
              <w:pStyle w:val="16"/>
              <w:spacing w:line="320" w:lineRule="exact"/>
              <w:jc w:val="center"/>
              <w:rPr>
                <w:rFonts w:hint="eastAsia"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C16070000</w:t>
            </w:r>
          </w:p>
        </w:tc>
        <w:tc>
          <w:tcPr>
            <w:tcW w:w="680" w:type="dxa"/>
            <w:tcBorders>
              <w:tl2br w:val="nil"/>
              <w:tr2bl w:val="nil"/>
            </w:tcBorders>
            <w:vAlign w:val="center"/>
          </w:tcPr>
          <w:p>
            <w:pPr>
              <w:pStyle w:val="16"/>
              <w:spacing w:line="320" w:lineRule="exact"/>
              <w:jc w:val="center"/>
              <w:rPr>
                <w:rFonts w:hint="eastAsia" w:ascii="仿宋" w:hAnsi="仿宋" w:eastAsia="仿宋" w:cs="仿宋_GB2312"/>
                <w:color w:val="000000" w:themeColor="text1"/>
                <w:sz w:val="28"/>
                <w:szCs w:val="28"/>
                <w:lang w:val="en-US" w:eastAsia="zh-CN"/>
                <w14:textFill>
                  <w14:solidFill>
                    <w14:schemeClr w14:val="tx1"/>
                  </w14:solidFill>
                </w14:textFill>
              </w:rPr>
            </w:pPr>
            <w:r>
              <w:rPr>
                <w:rFonts w:hint="eastAsia" w:ascii="仿宋" w:hAnsi="仿宋" w:eastAsia="仿宋" w:cs="仿宋_GB2312"/>
                <w:color w:val="000000" w:themeColor="text1"/>
                <w:sz w:val="28"/>
                <w:szCs w:val="28"/>
                <w:lang w:val="en-US" w:eastAsia="zh-CN"/>
                <w14:textFill>
                  <w14:solidFill>
                    <w14:schemeClr w14:val="tx1"/>
                  </w14:solidFill>
                </w14:textFill>
              </w:rPr>
              <w:t>项</w:t>
            </w:r>
            <w:bookmarkStart w:id="0" w:name="_GoBack"/>
            <w:bookmarkEnd w:id="0"/>
          </w:p>
        </w:tc>
        <w:tc>
          <w:tcPr>
            <w:tcW w:w="782" w:type="dxa"/>
            <w:tcBorders>
              <w:tl2br w:val="nil"/>
              <w:tr2bl w:val="nil"/>
            </w:tcBorders>
            <w:vAlign w:val="center"/>
          </w:tcPr>
          <w:p>
            <w:pPr>
              <w:pStyle w:val="16"/>
              <w:spacing w:line="320" w:lineRule="exact"/>
              <w:jc w:val="center"/>
              <w:rPr>
                <w:rFonts w:hint="eastAsia" w:ascii="仿宋" w:hAnsi="仿宋" w:eastAsia="仿宋" w:cs="仿宋_GB2312"/>
                <w:color w:val="000000" w:themeColor="text1"/>
                <w:sz w:val="28"/>
                <w:szCs w:val="28"/>
                <w:lang w:val="en-US" w:eastAsia="zh-CN"/>
                <w14:textFill>
                  <w14:solidFill>
                    <w14:schemeClr w14:val="tx1"/>
                  </w14:solidFill>
                </w14:textFill>
              </w:rPr>
            </w:pPr>
            <w:r>
              <w:rPr>
                <w:rFonts w:hint="eastAsia" w:ascii="仿宋" w:hAnsi="仿宋" w:eastAsia="仿宋" w:cs="仿宋_GB2312"/>
                <w:color w:val="000000" w:themeColor="text1"/>
                <w:sz w:val="28"/>
                <w:szCs w:val="28"/>
                <w:lang w:val="en-US" w:eastAsia="zh-CN"/>
                <w14:textFill>
                  <w14:solidFill>
                    <w14:schemeClr w14:val="tx1"/>
                  </w14:solidFill>
                </w14:textFill>
              </w:rPr>
              <w:t>1</w:t>
            </w:r>
          </w:p>
        </w:tc>
        <w:tc>
          <w:tcPr>
            <w:tcW w:w="585" w:type="dxa"/>
            <w:tcBorders>
              <w:tl2br w:val="nil"/>
              <w:tr2bl w:val="nil"/>
            </w:tcBorders>
            <w:vAlign w:val="center"/>
          </w:tcPr>
          <w:p>
            <w:pPr>
              <w:pStyle w:val="16"/>
              <w:spacing w:line="320" w:lineRule="exact"/>
              <w:jc w:val="center"/>
              <w:rPr>
                <w:rFonts w:hint="eastAsia"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否</w:t>
            </w:r>
          </w:p>
        </w:tc>
        <w:tc>
          <w:tcPr>
            <w:tcW w:w="1035" w:type="dxa"/>
            <w:tcBorders>
              <w:tl2br w:val="nil"/>
              <w:tr2bl w:val="nil"/>
            </w:tcBorders>
            <w:vAlign w:val="center"/>
          </w:tcPr>
          <w:p>
            <w:pPr>
              <w:pStyle w:val="16"/>
              <w:spacing w:line="320" w:lineRule="exact"/>
              <w:jc w:val="center"/>
              <w:rPr>
                <w:rFonts w:hint="eastAsia"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否</w:t>
            </w:r>
          </w:p>
        </w:tc>
        <w:tc>
          <w:tcPr>
            <w:tcW w:w="600" w:type="dxa"/>
            <w:tcBorders>
              <w:tl2br w:val="nil"/>
              <w:tr2bl w:val="nil"/>
            </w:tcBorders>
            <w:vAlign w:val="center"/>
          </w:tcPr>
          <w:p>
            <w:pPr>
              <w:pStyle w:val="16"/>
              <w:spacing w:line="320" w:lineRule="exact"/>
              <w:jc w:val="center"/>
              <w:rPr>
                <w:rFonts w:hint="eastAsia" w:ascii="仿宋" w:hAnsi="仿宋" w:eastAsia="仿宋" w:cs="仿宋_GB2312"/>
                <w:color w:val="000000" w:themeColor="text1"/>
                <w:sz w:val="28"/>
                <w:szCs w:val="28"/>
                <w14:textFill>
                  <w14:solidFill>
                    <w14:schemeClr w14:val="tx1"/>
                  </w14:solidFill>
                </w14:textFill>
              </w:rPr>
            </w:pPr>
          </w:p>
        </w:tc>
        <w:tc>
          <w:tcPr>
            <w:tcW w:w="645" w:type="dxa"/>
            <w:tcBorders>
              <w:tl2br w:val="nil"/>
              <w:tr2bl w:val="nil"/>
            </w:tcBorders>
            <w:vAlign w:val="center"/>
          </w:tcPr>
          <w:p>
            <w:pPr>
              <w:pStyle w:val="16"/>
              <w:spacing w:line="320" w:lineRule="exact"/>
              <w:jc w:val="center"/>
              <w:rPr>
                <w:rFonts w:hint="eastAsia"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100%</w:t>
            </w:r>
          </w:p>
        </w:tc>
      </w:tr>
    </w:tbl>
    <w:p>
      <w:pPr>
        <w:pStyle w:val="4"/>
        <w:spacing w:before="0" w:after="0" w:line="520" w:lineRule="exact"/>
        <w:ind w:firstLine="643" w:firstLineChars="200"/>
        <w:rPr>
          <w:rFonts w:hint="eastAsia" w:ascii="楷体_GB2312" w:hAnsi="楷体_GB2312" w:eastAsia="楷体_GB2312" w:cs="楷体_GB2312"/>
          <w:bCs/>
          <w:szCs w:val="32"/>
        </w:rPr>
      </w:pPr>
      <w:r>
        <w:rPr>
          <w:rFonts w:hint="eastAsia" w:ascii="楷体_GB2312" w:hAnsi="楷体_GB2312" w:eastAsia="楷体_GB2312" w:cs="楷体_GB2312"/>
          <w:bCs/>
          <w:szCs w:val="32"/>
        </w:rPr>
        <w:t>（二）技术要求</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1.软件升级：全国统一功能的版本升级迭代，系统问题处理、系统安全运行保障；</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2.签收端维护：12315平台签收整理软件维护；</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3.应用系统维护：应用系统维护、数据下发系统维护；</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4.接口、网关维护：12315平台前置签收整理端接口、网关维护；</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5.数据维护：数据服务，业务数据整理分发、报告报表业务指标核查和数据校验等；按照地域完成12315业务处理数据分拣和协同下发服务部署和调用。</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12315登记信息分拣服务：根据登记信息的更新时间增量筛选，将所属武汉市的登记信息（登记编号、受理登记人id、工单状态、处理部门id、处理人员id等）分拣出来，落入总局为武汉市提供的专有业务数据存储区域。</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（2）12315信息提供方信息分拣服务：根据信息提供方信息中的更新时间，增量筛选所属武汉市的信息提供方信息，分拣落入总局专属存储。</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（3）12315涉及主体信息分拣服务：根据涉及主体信息的更新时间，增量筛选所属武汉市的涉及主体信息，分拣落入总局专属存储。</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（4）12315涉及客体信息分拣服务：根据涉及客体信息的更新时间，增量筛选所属武汉市的涉及客体信息数据，分拣落入总局专属存储。</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（5）12315初查反馈信息分拣服务：根据初查反馈信息的更新时间，增量筛选所属武汉市的初查反馈信息，分拣落入总局专属存储。</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（6）12315办结反馈信息分拣服务：根据办结反馈信息的更新时间，增量筛选所属武汉市的办结反馈数据，分拣落入总局专属存储。</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（7）12315调解信息分拣服务：根据调解信息的更新时间，增量筛选所属武汉市的调解数据，分拣落入总局专属存储。</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（8）12315案件信息分拣服务：根据案件信息的更新时间，增量筛选所属武汉市的案件数据，分拣落入总局专属存储。</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（9）12315督办信息分拣服务：根据12315督办信息的更新时间，增量筛选所属武汉市的督办数据，分拣落入总局专属存储。</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（10）机构信息分拣服务：根据机构信息的更新时间，增量筛选所属武汉市的机构数据，分拣落入总局专属存储。</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（11）人员信息分拣服务：根据人员信息的更新时间，增量筛选所属武汉市的人员数据，分拣落入总局专属存储。</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（12）数据字典分拣服务：根据数据字典信息的更新时间，增量筛选所属武汉市的数据字典数据，分拣落入总局专属存储。</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（13）数据分发：按照总局数据安全相关规范，将分发库中的数据通过消息中间件进行分发。</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（14）日志管理：记录数据分发、下载的日志信息，为故障排查提供依据。</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（15）数据核对：定期核对分发库待交换数据是否已全部成功下发，对异常数据进行二次同步。</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6.提供软件系统的使用问题解答，系统巡检，数据备份，安装部署等服务；</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7.解决软件系统本身的缺陷而引起的问题及妨碍系统正常使用的其它问题。</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eastAsia="zh-Hans"/>
        </w:rPr>
        <w:t>特殊时期值守服务：国家法定节假日，重要会议、重大活动以及突发安全事件期间等特殊时期的运维服务</w:t>
      </w:r>
      <w:r>
        <w:rPr>
          <w:rFonts w:hint="eastAsia" w:ascii="仿宋_GB2312" w:hAnsi="仿宋_GB2312" w:eastAsia="仿宋_GB2312" w:cs="仿宋_GB2312"/>
          <w:sz w:val="32"/>
          <w:szCs w:val="32"/>
        </w:rPr>
        <w:t>。</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9.服务方式和标准</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（1）提供5×8小时的日常运维服务，7×24小时技术支持、应急响应服务。</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（2）服务方式包括电话支持、电子邮件、远程在线支持、上门服务等。</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（3）接到技术支持服务请求的2小时内响应，1个工作日内解决问题，如解决问题需超过1个工作日，须及时联系，协商解决。</w:t>
      </w:r>
    </w:p>
    <w:p>
      <w:pPr>
        <w:spacing w:line="560" w:lineRule="exact"/>
        <w:ind w:firstLine="672" w:firstLineChars="200"/>
        <w:jc w:val="left"/>
        <w:rPr>
          <w:rFonts w:hint="eastAsia" w:ascii="黑体" w:hAnsi="黑体" w:eastAsia="黑体" w:cs="黑体"/>
          <w:color w:val="000000" w:themeColor="text1"/>
          <w:w w:val="105"/>
          <w:sz w:val="32"/>
          <w:szCs w:val="32"/>
          <w14:textFill>
            <w14:solidFill>
              <w14:schemeClr w14:val="tx1"/>
            </w14:solidFill>
          </w14:textFill>
        </w:rPr>
      </w:pPr>
      <w:r>
        <w:rPr>
          <w:rFonts w:hint="eastAsia" w:ascii="黑体" w:hAnsi="黑体" w:eastAsia="黑体" w:cs="黑体"/>
          <w:color w:val="000000" w:themeColor="text1"/>
          <w:w w:val="105"/>
          <w:sz w:val="32"/>
          <w:szCs w:val="32"/>
          <w14:textFill>
            <w14:solidFill>
              <w14:schemeClr w14:val="tx1"/>
            </w14:solidFill>
          </w14:textFill>
        </w:rPr>
        <w:t>三、商务要求</w:t>
      </w:r>
    </w:p>
    <w:p>
      <w:pPr>
        <w:pStyle w:val="4"/>
        <w:spacing w:before="0" w:after="0" w:line="520" w:lineRule="exact"/>
        <w:ind w:firstLine="643" w:firstLineChars="200"/>
        <w:rPr>
          <w:rFonts w:hint="eastAsia" w:ascii="楷体_GB2312" w:hAnsi="楷体_GB2312" w:eastAsia="楷体_GB2312" w:cs="楷体_GB2312"/>
          <w:bCs/>
          <w:szCs w:val="32"/>
        </w:rPr>
      </w:pPr>
      <w:r>
        <w:rPr>
          <w:rFonts w:hint="eastAsia" w:ascii="楷体_GB2312" w:hAnsi="楷体_GB2312" w:eastAsia="楷体_GB2312" w:cs="楷体_GB2312"/>
          <w:bCs/>
          <w:szCs w:val="32"/>
        </w:rPr>
        <w:t>（一）资格和能力要求</w:t>
      </w:r>
    </w:p>
    <w:p>
      <w:pPr>
        <w:spacing w:line="560" w:lineRule="exact"/>
        <w:ind w:firstLine="640" w:firstLineChars="200"/>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本次运维项目，供应商需近三年来承接过同类信息化系统运维或软件开发项目；供应商需为本运维服务组建运维团队，运维团队要熟悉本系统的整体架构，开发环境。</w:t>
      </w:r>
    </w:p>
    <w:p>
      <w:pPr>
        <w:spacing w:line="560" w:lineRule="exact"/>
        <w:ind w:firstLine="640" w:firstLineChars="200"/>
        <w:rPr>
          <w:rFonts w:hint="eastAsia" w:ascii="楷体_GB2312" w:hAnsi="楷体_GB2312" w:eastAsia="楷体_GB2312" w:cs="楷体_GB2312"/>
          <w:b/>
          <w:bCs/>
          <w:sz w:val="32"/>
          <w:szCs w:val="32"/>
        </w:rPr>
      </w:pPr>
      <w:r>
        <w:rPr>
          <w:rFonts w:hint="eastAsia" w:ascii="仿宋_GB2312" w:hAnsi="仿宋_GB2312" w:eastAsia="仿宋_GB2312" w:cs="仿宋_GB2312"/>
          <w:sz w:val="32"/>
          <w:szCs w:val="32"/>
          <w:lang w:eastAsia="zh-Hans"/>
        </w:rPr>
        <w:t>本次运维服务项目的项目负责人（项目经理）具有信息系统项目管理师证书;项目团队中技术人员具有信息安全保证人员认证证书、ITSS IT服务工程师证书、数据库认证专家证书。</w:t>
      </w:r>
    </w:p>
    <w:p>
      <w:pPr>
        <w:pStyle w:val="4"/>
        <w:spacing w:before="0" w:after="0" w:line="520" w:lineRule="exact"/>
        <w:ind w:firstLine="643" w:firstLineChars="200"/>
        <w:rPr>
          <w:rFonts w:hint="eastAsia" w:ascii="楷体_GB2312" w:hAnsi="楷体_GB2312" w:eastAsia="楷体_GB2312" w:cs="楷体_GB2312"/>
          <w:bCs/>
          <w:szCs w:val="32"/>
          <w:lang w:eastAsia="zh-Hans"/>
        </w:rPr>
      </w:pPr>
      <w:r>
        <w:rPr>
          <w:rFonts w:hint="eastAsia" w:ascii="楷体_GB2312" w:hAnsi="楷体_GB2312" w:eastAsia="楷体_GB2312" w:cs="楷体_GB2312"/>
          <w:bCs/>
          <w:szCs w:val="32"/>
        </w:rPr>
        <w:t>（二）</w:t>
      </w:r>
      <w:r>
        <w:rPr>
          <w:rFonts w:hint="eastAsia" w:ascii="楷体_GB2312" w:hAnsi="楷体_GB2312" w:eastAsia="楷体_GB2312" w:cs="楷体_GB2312"/>
          <w:bCs/>
          <w:szCs w:val="32"/>
          <w:lang w:eastAsia="zh-Hans"/>
        </w:rPr>
        <w:t>报价方式及要求</w:t>
      </w:r>
    </w:p>
    <w:p>
      <w:pPr>
        <w:spacing w:line="560" w:lineRule="exact"/>
        <w:ind w:firstLine="640" w:firstLineChars="200"/>
        <w:rPr>
          <w:rFonts w:hint="eastAsia" w:ascii="楷体_GB2312" w:hAnsi="楷体_GB2312" w:eastAsia="楷体_GB2312" w:cs="楷体_GB2312"/>
          <w:b/>
          <w:bCs/>
          <w:sz w:val="32"/>
          <w:szCs w:val="32"/>
        </w:rPr>
      </w:pPr>
      <w:r>
        <w:rPr>
          <w:rFonts w:hint="eastAsia" w:ascii="仿宋_GB2312" w:hAnsi="仿宋_GB2312" w:eastAsia="仿宋_GB2312" w:cs="仿宋_GB2312"/>
          <w:sz w:val="32"/>
          <w:szCs w:val="32"/>
          <w:lang w:eastAsia="zh-Hans"/>
        </w:rPr>
        <w:t>人民币报价。报价不得超过最高限价，否则</w:t>
      </w:r>
      <w:r>
        <w:rPr>
          <w:rFonts w:hint="eastAsia" w:ascii="仿宋_GB2312" w:hAnsi="仿宋_GB2312" w:eastAsia="仿宋_GB2312" w:cs="仿宋_GB2312"/>
          <w:sz w:val="32"/>
          <w:szCs w:val="32"/>
        </w:rPr>
        <w:t>为</w:t>
      </w:r>
      <w:r>
        <w:rPr>
          <w:rFonts w:hint="eastAsia" w:ascii="仿宋_GB2312" w:hAnsi="仿宋_GB2312" w:eastAsia="仿宋_GB2312" w:cs="仿宋_GB2312"/>
          <w:sz w:val="32"/>
          <w:szCs w:val="32"/>
          <w:lang w:eastAsia="zh-Hans"/>
        </w:rPr>
        <w:t>无效</w:t>
      </w:r>
      <w:r>
        <w:rPr>
          <w:rFonts w:hint="eastAsia" w:ascii="仿宋_GB2312" w:hAnsi="仿宋_GB2312" w:eastAsia="仿宋_GB2312" w:cs="仿宋_GB2312"/>
          <w:sz w:val="32"/>
          <w:szCs w:val="32"/>
        </w:rPr>
        <w:t>报价</w:t>
      </w:r>
      <w:r>
        <w:rPr>
          <w:rFonts w:hint="eastAsia" w:ascii="仿宋_GB2312" w:hAnsi="仿宋_GB2312" w:eastAsia="仿宋_GB2312" w:cs="仿宋_GB2312"/>
          <w:sz w:val="32"/>
          <w:szCs w:val="32"/>
          <w:lang w:eastAsia="zh-Hans"/>
        </w:rPr>
        <w:t>。</w:t>
      </w:r>
    </w:p>
    <w:p>
      <w:pPr>
        <w:pStyle w:val="4"/>
        <w:spacing w:before="0" w:after="0" w:line="520" w:lineRule="exact"/>
        <w:ind w:firstLine="643" w:firstLineChars="200"/>
        <w:rPr>
          <w:rFonts w:hint="eastAsia" w:ascii="楷体_GB2312" w:hAnsi="楷体_GB2312" w:eastAsia="楷体_GB2312" w:cs="楷体_GB2312"/>
          <w:bCs/>
          <w:szCs w:val="32"/>
        </w:rPr>
      </w:pPr>
      <w:r>
        <w:rPr>
          <w:rFonts w:hint="eastAsia" w:ascii="楷体_GB2312" w:hAnsi="楷体_GB2312" w:eastAsia="楷体_GB2312" w:cs="楷体_GB2312"/>
          <w:bCs/>
          <w:szCs w:val="32"/>
        </w:rPr>
        <w:t>（三）服务期限</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运维服务期：</w:t>
      </w:r>
      <w:r>
        <w:rPr>
          <w:rFonts w:hint="eastAsia" w:ascii="仿宋_GB2312" w:hAnsi="仿宋_GB2312" w:eastAsia="仿宋_GB2312" w:cs="仿宋_GB2312"/>
          <w:sz w:val="32"/>
          <w:szCs w:val="32"/>
          <w:lang w:val="en-US" w:eastAsia="zh-CN"/>
        </w:rPr>
        <w:t>4月-10月</w:t>
      </w:r>
      <w:r>
        <w:rPr>
          <w:rFonts w:hint="eastAsia" w:ascii="仿宋_GB2312" w:hAnsi="仿宋_GB2312" w:eastAsia="仿宋_GB2312" w:cs="仿宋_GB2312"/>
          <w:sz w:val="32"/>
          <w:szCs w:val="32"/>
        </w:rPr>
        <w:t>。</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在合同服务期内，乙方按照采购文件及合同约定提供优质服务，未发生违约情况，同时甲方仍需要乙方提供相关服务的，在合同期满前一个月，乙方可向甲方提交续签申请及履约情况报告。</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双方就续签事宜进行友好协商，包括但不限于服务内容、服务质量等条款。如双方达成一致意见，可续签下一年服务合同（续签次数不超过两次），如未能达成一致，则合同到期自动终止。</w:t>
      </w:r>
    </w:p>
    <w:p>
      <w:pPr>
        <w:pStyle w:val="4"/>
        <w:spacing w:before="0" w:after="0" w:line="520" w:lineRule="exact"/>
        <w:ind w:firstLine="643" w:firstLineChars="200"/>
        <w:rPr>
          <w:rFonts w:hint="eastAsia" w:ascii="楷体_GB2312" w:hAnsi="楷体_GB2312" w:eastAsia="楷体_GB2312" w:cs="楷体_GB2312"/>
          <w:bCs/>
          <w:szCs w:val="32"/>
        </w:rPr>
      </w:pPr>
      <w:r>
        <w:rPr>
          <w:rFonts w:hint="eastAsia" w:ascii="楷体_GB2312" w:hAnsi="楷体_GB2312" w:eastAsia="楷体_GB2312" w:cs="楷体_GB2312"/>
          <w:bCs/>
          <w:szCs w:val="32"/>
        </w:rPr>
        <w:t>（四）付款方式</w:t>
      </w:r>
    </w:p>
    <w:p>
      <w:pPr>
        <w:spacing w:line="560" w:lineRule="exact"/>
        <w:ind w:firstLine="640" w:firstLineChars="200"/>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合同签订后，甲方自收到乙方出具的首付款发票起10个工作日内向乙方支付合同总金额的40%；服务期满，经验收合格后，甲方自收到乙方出具的尾付款发票起10个工作日内向乙方支付合同总金额的60%。</w:t>
      </w:r>
    </w:p>
    <w:p>
      <w:pPr>
        <w:pStyle w:val="4"/>
        <w:spacing w:before="0" w:after="0" w:line="520" w:lineRule="exact"/>
        <w:ind w:firstLine="643" w:firstLineChars="200"/>
        <w:rPr>
          <w:rFonts w:hint="eastAsia" w:ascii="楷体_GB2312" w:hAnsi="楷体_GB2312" w:eastAsia="楷体_GB2312" w:cs="楷体_GB2312"/>
          <w:bCs/>
          <w:szCs w:val="32"/>
        </w:rPr>
      </w:pPr>
      <w:r>
        <w:rPr>
          <w:rFonts w:hint="eastAsia" w:ascii="楷体_GB2312" w:hAnsi="楷体_GB2312" w:eastAsia="楷体_GB2312" w:cs="楷体_GB2312"/>
          <w:bCs/>
          <w:szCs w:val="32"/>
        </w:rPr>
        <w:t>（五）项目验收</w:t>
      </w:r>
    </w:p>
    <w:p>
      <w:pPr>
        <w:spacing w:line="560" w:lineRule="exact"/>
        <w:ind w:firstLine="640" w:firstLineChars="200"/>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本项目服务期满后半个月内，</w:t>
      </w:r>
      <w:r>
        <w:rPr>
          <w:rFonts w:hint="eastAsia" w:ascii="仿宋_GB2312" w:hAnsi="仿宋_GB2312" w:eastAsia="仿宋_GB2312" w:cs="仿宋_GB2312"/>
          <w:sz w:val="32"/>
          <w:szCs w:val="32"/>
        </w:rPr>
        <w:t>甲方</w:t>
      </w:r>
      <w:r>
        <w:rPr>
          <w:rFonts w:hint="eastAsia" w:ascii="仿宋_GB2312" w:hAnsi="仿宋_GB2312" w:eastAsia="仿宋_GB2312" w:cs="仿宋_GB2312"/>
          <w:sz w:val="32"/>
          <w:szCs w:val="32"/>
          <w:lang w:eastAsia="zh-Hans"/>
        </w:rPr>
        <w:t>应及时组织对本项目进行验收。</w:t>
      </w:r>
      <w:r>
        <w:rPr>
          <w:rFonts w:hint="eastAsia" w:ascii="仿宋_GB2312" w:hAnsi="仿宋_GB2312" w:eastAsia="仿宋_GB2312" w:cs="仿宋_GB2312"/>
          <w:sz w:val="32"/>
          <w:szCs w:val="32"/>
        </w:rPr>
        <w:t>乙方</w:t>
      </w:r>
      <w:r>
        <w:rPr>
          <w:rFonts w:hint="eastAsia" w:ascii="仿宋_GB2312" w:hAnsi="仿宋_GB2312" w:eastAsia="仿宋_GB2312" w:cs="仿宋_GB2312"/>
          <w:sz w:val="32"/>
          <w:szCs w:val="32"/>
          <w:lang w:eastAsia="zh-Hans"/>
        </w:rPr>
        <w:t>将运维服务过程中各阶段的文档汇集成册交付</w:t>
      </w:r>
      <w:r>
        <w:rPr>
          <w:rFonts w:hint="eastAsia" w:ascii="仿宋_GB2312" w:hAnsi="仿宋_GB2312" w:eastAsia="仿宋_GB2312" w:cs="仿宋_GB2312"/>
          <w:sz w:val="32"/>
          <w:szCs w:val="32"/>
        </w:rPr>
        <w:t>甲方</w:t>
      </w:r>
      <w:r>
        <w:rPr>
          <w:rFonts w:hint="eastAsia" w:ascii="仿宋_GB2312" w:hAnsi="仿宋_GB2312" w:eastAsia="仿宋_GB2312" w:cs="仿宋_GB2312"/>
          <w:sz w:val="32"/>
          <w:szCs w:val="32"/>
          <w:lang w:eastAsia="zh-Hans"/>
        </w:rPr>
        <w:t>，以便</w:t>
      </w:r>
      <w:r>
        <w:rPr>
          <w:rFonts w:hint="eastAsia" w:ascii="仿宋_GB2312" w:hAnsi="仿宋_GB2312" w:eastAsia="仿宋_GB2312" w:cs="仿宋_GB2312"/>
          <w:sz w:val="32"/>
          <w:szCs w:val="32"/>
        </w:rPr>
        <w:t>甲方</w:t>
      </w:r>
      <w:r>
        <w:rPr>
          <w:rFonts w:hint="eastAsia" w:ascii="仿宋_GB2312" w:hAnsi="仿宋_GB2312" w:eastAsia="仿宋_GB2312" w:cs="仿宋_GB2312"/>
          <w:sz w:val="32"/>
          <w:szCs w:val="32"/>
          <w:lang w:eastAsia="zh-Hans"/>
        </w:rPr>
        <w:t>组织验收。</w:t>
      </w:r>
    </w:p>
    <w:p>
      <w:pPr>
        <w:pStyle w:val="4"/>
        <w:spacing w:before="0" w:after="0" w:line="520" w:lineRule="exact"/>
        <w:ind w:firstLine="643" w:firstLineChars="200"/>
        <w:rPr>
          <w:rFonts w:hint="eastAsia" w:ascii="楷体_GB2312" w:hAnsi="楷体_GB2312" w:eastAsia="楷体_GB2312" w:cs="楷体_GB2312"/>
          <w:bCs/>
          <w:szCs w:val="32"/>
        </w:rPr>
      </w:pPr>
      <w:r>
        <w:rPr>
          <w:rFonts w:hint="eastAsia" w:ascii="楷体_GB2312" w:hAnsi="楷体_GB2312" w:eastAsia="楷体_GB2312" w:cs="楷体_GB2312"/>
          <w:bCs/>
          <w:szCs w:val="32"/>
          <w:lang w:val="zh-CN"/>
        </w:rPr>
        <w:t>（</w:t>
      </w:r>
      <w:r>
        <w:rPr>
          <w:rFonts w:hint="eastAsia" w:ascii="楷体_GB2312" w:hAnsi="楷体_GB2312" w:eastAsia="楷体_GB2312" w:cs="楷体_GB2312"/>
          <w:bCs/>
          <w:szCs w:val="32"/>
        </w:rPr>
        <w:t>六</w:t>
      </w:r>
      <w:r>
        <w:rPr>
          <w:rFonts w:hint="eastAsia" w:ascii="楷体_GB2312" w:hAnsi="楷体_GB2312" w:eastAsia="楷体_GB2312" w:cs="楷体_GB2312"/>
          <w:bCs/>
          <w:szCs w:val="32"/>
          <w:lang w:val="zh-CN"/>
        </w:rPr>
        <w:t>）</w:t>
      </w:r>
      <w:r>
        <w:rPr>
          <w:rFonts w:hint="eastAsia" w:ascii="楷体_GB2312" w:hAnsi="楷体_GB2312" w:eastAsia="楷体_GB2312" w:cs="楷体_GB2312"/>
          <w:bCs/>
          <w:szCs w:val="32"/>
        </w:rPr>
        <w:t>其他要求</w:t>
      </w:r>
    </w:p>
    <w:p>
      <w:pPr>
        <w:spacing w:line="560" w:lineRule="exact"/>
        <w:ind w:firstLine="640" w:firstLineChars="200"/>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供应商需提供项目实施方案、项目</w:t>
      </w:r>
      <w:r>
        <w:rPr>
          <w:rFonts w:hint="eastAsia" w:ascii="仿宋_GB2312" w:hAnsi="仿宋_GB2312" w:eastAsia="仿宋_GB2312" w:cs="仿宋_GB2312"/>
          <w:sz w:val="32"/>
          <w:szCs w:val="32"/>
          <w:lang w:val="zh-CN" w:eastAsia="zh-Hans"/>
        </w:rPr>
        <w:t>质量保证措施</w:t>
      </w:r>
      <w:r>
        <w:rPr>
          <w:rFonts w:hint="eastAsia" w:ascii="仿宋_GB2312" w:hAnsi="仿宋_GB2312" w:eastAsia="仿宋_GB2312" w:cs="仿宋_GB2312"/>
          <w:sz w:val="32"/>
          <w:szCs w:val="32"/>
          <w:lang w:eastAsia="zh-Hans"/>
        </w:rPr>
        <w:t>方案、运维服务方案等。</w:t>
      </w:r>
    </w:p>
    <w:p>
      <w:pPr>
        <w:spacing w:line="560" w:lineRule="exact"/>
        <w:ind w:firstLine="640" w:firstLineChars="200"/>
        <w:rPr>
          <w:rFonts w:hint="eastAsia" w:ascii="仿宋_GB2312" w:hAnsi="仿宋_GB2312" w:eastAsia="仿宋_GB2312" w:cs="仿宋_GB2312"/>
          <w:sz w:val="32"/>
          <w:szCs w:val="32"/>
          <w:lang w:eastAsia="zh-Hans"/>
        </w:rPr>
      </w:pPr>
    </w:p>
    <w:sectPr>
      <w:footerReference r:id="rId3" w:type="default"/>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E963168-B7B5-4933-9D11-12279953A9F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embedRegular r:id="rId2" w:fontKey="{989E9EBC-0198-49FC-9085-19F659491368}"/>
  </w:font>
  <w:font w:name="仿宋">
    <w:panose1 w:val="02010609060101010101"/>
    <w:charset w:val="86"/>
    <w:family w:val="auto"/>
    <w:pitch w:val="default"/>
    <w:sig w:usb0="800002BF" w:usb1="38CF7CFA" w:usb2="00000016" w:usb3="00000000" w:csb0="00040001" w:csb1="00000000"/>
    <w:embedRegular r:id="rId3" w:fontKey="{C7627E77-670F-451F-9043-81EC4700F459}"/>
  </w:font>
  <w:font w:name="仿宋_GB2312">
    <w:panose1 w:val="02010609030101010101"/>
    <w:charset w:val="86"/>
    <w:family w:val="modern"/>
    <w:pitch w:val="default"/>
    <w:sig w:usb0="00000001" w:usb1="080E0000" w:usb2="00000000" w:usb3="00000000" w:csb0="00040000" w:csb1="00000000"/>
    <w:embedRegular r:id="rId4" w:fontKey="{0BE1DC3B-3404-4EBB-9C8F-0C6D05F3FA3E}"/>
  </w:font>
  <w:font w:name="Calibri Light">
    <w:panose1 w:val="020F0302020204030204"/>
    <w:charset w:val="00"/>
    <w:family w:val="auto"/>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embedRegular r:id="rId5" w:fontKey="{8600B590-5EC8-4DE4-9485-E2459BB220A3}"/>
  </w:font>
  <w:font w:name="方正小标宋简体">
    <w:panose1 w:val="02010601030101010101"/>
    <w:charset w:val="86"/>
    <w:family w:val="auto"/>
    <w:pitch w:val="default"/>
    <w:sig w:usb0="00000001" w:usb1="080E0000" w:usb2="00000000" w:usb3="00000000" w:csb0="00040000" w:csb1="00000000"/>
    <w:embedRegular r:id="rId6" w:fontKey="{EB2AB589-0942-46F3-B4F1-257668B70268}"/>
  </w:font>
  <w:font w:name="方正小标宋_GBK">
    <w:panose1 w:val="03000509000000000000"/>
    <w:charset w:val="86"/>
    <w:family w:val="auto"/>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v:fill on="f" focussize="0,0"/>
              <v:stroke on="f" weight="0.5pt"/>
              <v:imagedata o:title=""/>
              <o:lock v:ext="edit" aspectratio="f"/>
              <v:textbox inset="0mm,0mm,0mm,0mm" style="mso-fit-shape-to-text:t;">
                <w:txbxContent>
                  <w:p>
                    <w:pPr>
                      <w:pStyle w:val="11"/>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472"/>
    <w:rsid w:val="00180AF6"/>
    <w:rsid w:val="002741EC"/>
    <w:rsid w:val="00336F98"/>
    <w:rsid w:val="00395472"/>
    <w:rsid w:val="004330C4"/>
    <w:rsid w:val="00486368"/>
    <w:rsid w:val="004A5644"/>
    <w:rsid w:val="004C713F"/>
    <w:rsid w:val="00501279"/>
    <w:rsid w:val="005A4C5A"/>
    <w:rsid w:val="00677B3F"/>
    <w:rsid w:val="006F2180"/>
    <w:rsid w:val="007F26DC"/>
    <w:rsid w:val="008E499C"/>
    <w:rsid w:val="00925F85"/>
    <w:rsid w:val="00962066"/>
    <w:rsid w:val="00974076"/>
    <w:rsid w:val="009B37FB"/>
    <w:rsid w:val="00AB4FF0"/>
    <w:rsid w:val="00B1425A"/>
    <w:rsid w:val="00BF68AE"/>
    <w:rsid w:val="00CB4B30"/>
    <w:rsid w:val="00CB5F42"/>
    <w:rsid w:val="00D2375D"/>
    <w:rsid w:val="00D57FE2"/>
    <w:rsid w:val="00DB738D"/>
    <w:rsid w:val="00DC0F3F"/>
    <w:rsid w:val="00E31971"/>
    <w:rsid w:val="00ED195D"/>
    <w:rsid w:val="00F57768"/>
    <w:rsid w:val="00FF52BC"/>
    <w:rsid w:val="01816038"/>
    <w:rsid w:val="03187EBA"/>
    <w:rsid w:val="032E4BEF"/>
    <w:rsid w:val="06BE3C8C"/>
    <w:rsid w:val="06FD11D4"/>
    <w:rsid w:val="09960EA4"/>
    <w:rsid w:val="09B671FF"/>
    <w:rsid w:val="0A412DA9"/>
    <w:rsid w:val="0CDD38CD"/>
    <w:rsid w:val="0D620D24"/>
    <w:rsid w:val="0E194E56"/>
    <w:rsid w:val="0E527D8B"/>
    <w:rsid w:val="10550F24"/>
    <w:rsid w:val="11077380"/>
    <w:rsid w:val="150C68CB"/>
    <w:rsid w:val="1DCE47AF"/>
    <w:rsid w:val="1E5143F6"/>
    <w:rsid w:val="1F635770"/>
    <w:rsid w:val="227E117E"/>
    <w:rsid w:val="23D26961"/>
    <w:rsid w:val="24AE0A97"/>
    <w:rsid w:val="262E6B65"/>
    <w:rsid w:val="29366B72"/>
    <w:rsid w:val="2FFC65A7"/>
    <w:rsid w:val="32002EBC"/>
    <w:rsid w:val="328C0E30"/>
    <w:rsid w:val="3326369E"/>
    <w:rsid w:val="33CA19F2"/>
    <w:rsid w:val="35934D50"/>
    <w:rsid w:val="36987F72"/>
    <w:rsid w:val="3D892E4F"/>
    <w:rsid w:val="3F0875AE"/>
    <w:rsid w:val="41252179"/>
    <w:rsid w:val="4277481F"/>
    <w:rsid w:val="42934335"/>
    <w:rsid w:val="49CE0653"/>
    <w:rsid w:val="4A5558F0"/>
    <w:rsid w:val="4A90235E"/>
    <w:rsid w:val="4C3F4426"/>
    <w:rsid w:val="523F33F9"/>
    <w:rsid w:val="53717729"/>
    <w:rsid w:val="539700CD"/>
    <w:rsid w:val="586247CF"/>
    <w:rsid w:val="58E0442B"/>
    <w:rsid w:val="5BD83EEF"/>
    <w:rsid w:val="624D1E58"/>
    <w:rsid w:val="62D02941"/>
    <w:rsid w:val="657919DD"/>
    <w:rsid w:val="66AE46B5"/>
    <w:rsid w:val="68BD1EB8"/>
    <w:rsid w:val="68D43B5F"/>
    <w:rsid w:val="72142FD4"/>
    <w:rsid w:val="744827EF"/>
    <w:rsid w:val="7BB415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paragraph" w:styleId="6">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12">
    <w:name w:val="Default Paragraph Font"/>
    <w:unhideWhenUsed/>
    <w:uiPriority w:val="1"/>
  </w:style>
  <w:style w:type="table" w:default="1" w:styleId="14">
    <w:name w:val="Normal Table"/>
    <w:unhideWhenUsed/>
    <w:uiPriority w:val="99"/>
    <w:tblPr>
      <w:tblLayout w:type="fixed"/>
      <w:tblCellMar>
        <w:top w:w="0" w:type="dxa"/>
        <w:left w:w="108" w:type="dxa"/>
        <w:bottom w:w="0" w:type="dxa"/>
        <w:right w:w="108" w:type="dxa"/>
      </w:tblCellMar>
    </w:tblPr>
  </w:style>
  <w:style w:type="paragraph" w:styleId="2">
    <w:name w:val="header"/>
    <w:basedOn w:val="1"/>
    <w:next w:val="1"/>
    <w:link w:val="18"/>
    <w:qFormat/>
    <w:uiPriority w:val="0"/>
    <w:pPr>
      <w:tabs>
        <w:tab w:val="center" w:pos="4153"/>
        <w:tab w:val="right" w:pos="8306"/>
      </w:tabs>
      <w:snapToGrid w:val="0"/>
      <w:jc w:val="center"/>
    </w:pPr>
    <w:rPr>
      <w:sz w:val="18"/>
      <w:szCs w:val="18"/>
    </w:rPr>
  </w:style>
  <w:style w:type="paragraph" w:styleId="7">
    <w:name w:val="annotation subject"/>
    <w:basedOn w:val="8"/>
    <w:next w:val="8"/>
    <w:link w:val="24"/>
    <w:qFormat/>
    <w:uiPriority w:val="0"/>
    <w:rPr>
      <w:b/>
      <w:bCs/>
    </w:rPr>
  </w:style>
  <w:style w:type="paragraph" w:styleId="8">
    <w:name w:val="annotation text"/>
    <w:basedOn w:val="1"/>
    <w:link w:val="23"/>
    <w:qFormat/>
    <w:uiPriority w:val="0"/>
    <w:pPr>
      <w:jc w:val="left"/>
    </w:pPr>
  </w:style>
  <w:style w:type="paragraph" w:styleId="9">
    <w:name w:val="Normal Indent"/>
    <w:basedOn w:val="1"/>
    <w:qFormat/>
    <w:uiPriority w:val="0"/>
    <w:pPr>
      <w:spacing w:line="360" w:lineRule="auto"/>
      <w:ind w:firstLine="420"/>
    </w:pPr>
    <w:rPr>
      <w:rFonts w:eastAsia="仿宋"/>
      <w:kern w:val="0"/>
      <w:sz w:val="20"/>
      <w:szCs w:val="20"/>
    </w:rPr>
  </w:style>
  <w:style w:type="paragraph" w:styleId="10">
    <w:name w:val="Body Text"/>
    <w:basedOn w:val="1"/>
    <w:qFormat/>
    <w:uiPriority w:val="0"/>
    <w:rPr>
      <w:rFonts w:ascii="宋体" w:hAnsi="宋体" w:eastAsia="宋体" w:cs="宋体"/>
      <w:sz w:val="61"/>
      <w:szCs w:val="61"/>
    </w:rPr>
  </w:style>
  <w:style w:type="paragraph" w:styleId="11">
    <w:name w:val="footer"/>
    <w:basedOn w:val="1"/>
    <w:link w:val="19"/>
    <w:qFormat/>
    <w:uiPriority w:val="0"/>
    <w:pPr>
      <w:tabs>
        <w:tab w:val="center" w:pos="4153"/>
        <w:tab w:val="right" w:pos="8306"/>
      </w:tabs>
      <w:snapToGrid w:val="0"/>
      <w:jc w:val="left"/>
    </w:pPr>
    <w:rPr>
      <w:sz w:val="18"/>
      <w:szCs w:val="18"/>
    </w:rPr>
  </w:style>
  <w:style w:type="character" w:styleId="13">
    <w:name w:val="annotation reference"/>
    <w:basedOn w:val="12"/>
    <w:uiPriority w:val="0"/>
    <w:rPr>
      <w:sz w:val="21"/>
      <w:szCs w:val="21"/>
    </w:rPr>
  </w:style>
  <w:style w:type="paragraph" w:customStyle="1" w:styleId="15">
    <w:name w:val="列表段落1"/>
    <w:basedOn w:val="1"/>
    <w:qFormat/>
    <w:uiPriority w:val="1"/>
    <w:pPr>
      <w:spacing w:before="358"/>
      <w:ind w:left="2208" w:hanging="571"/>
    </w:pPr>
    <w:rPr>
      <w:rFonts w:ascii="宋体" w:hAnsi="宋体" w:eastAsia="宋体" w:cs="宋体"/>
    </w:rPr>
  </w:style>
  <w:style w:type="paragraph" w:customStyle="1" w:styleId="16">
    <w:name w:val="Table Paragraph"/>
    <w:basedOn w:val="1"/>
    <w:qFormat/>
    <w:uiPriority w:val="1"/>
    <w:rPr>
      <w:rFonts w:ascii="宋体" w:hAnsi="宋体" w:eastAsia="宋体" w:cs="宋体"/>
    </w:rPr>
  </w:style>
  <w:style w:type="paragraph" w:customStyle="1" w:styleId="17">
    <w:name w:val="样式1"/>
    <w:basedOn w:val="6"/>
    <w:qFormat/>
    <w:uiPriority w:val="0"/>
  </w:style>
  <w:style w:type="character" w:customStyle="1" w:styleId="18">
    <w:name w:val="页眉 字符"/>
    <w:basedOn w:val="12"/>
    <w:link w:val="2"/>
    <w:qFormat/>
    <w:uiPriority w:val="0"/>
    <w:rPr>
      <w:kern w:val="2"/>
      <w:sz w:val="18"/>
      <w:szCs w:val="18"/>
    </w:rPr>
  </w:style>
  <w:style w:type="character" w:customStyle="1" w:styleId="19">
    <w:name w:val="页脚 字符"/>
    <w:basedOn w:val="12"/>
    <w:link w:val="11"/>
    <w:qFormat/>
    <w:uiPriority w:val="0"/>
    <w:rPr>
      <w:kern w:val="2"/>
      <w:sz w:val="18"/>
      <w:szCs w:val="18"/>
    </w:rPr>
  </w:style>
  <w:style w:type="character" w:customStyle="1" w:styleId="20">
    <w:name w:val="列表段落 字符"/>
    <w:link w:val="21"/>
    <w:qFormat/>
    <w:uiPriority w:val="34"/>
    <w:rPr>
      <w:kern w:val="2"/>
      <w:sz w:val="21"/>
      <w:szCs w:val="24"/>
    </w:rPr>
  </w:style>
  <w:style w:type="paragraph" w:customStyle="1" w:styleId="21">
    <w:name w:val="列表段落2"/>
    <w:basedOn w:val="1"/>
    <w:link w:val="20"/>
    <w:qFormat/>
    <w:uiPriority w:val="34"/>
    <w:pPr>
      <w:widowControl/>
      <w:ind w:firstLine="420" w:firstLineChars="200"/>
      <w:jc w:val="left"/>
    </w:pPr>
  </w:style>
  <w:style w:type="paragraph" w:customStyle="1" w:styleId="22">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23">
    <w:name w:val="批注文字 字符"/>
    <w:basedOn w:val="12"/>
    <w:link w:val="8"/>
    <w:uiPriority w:val="0"/>
    <w:rPr>
      <w:kern w:val="2"/>
      <w:sz w:val="21"/>
      <w:szCs w:val="24"/>
    </w:rPr>
  </w:style>
  <w:style w:type="character" w:customStyle="1" w:styleId="24">
    <w:name w:val="批注主题 字符"/>
    <w:basedOn w:val="23"/>
    <w:link w:val="7"/>
    <w:uiPriority w:val="0"/>
    <w:rPr>
      <w:b/>
      <w:bCs/>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2245</Words>
  <Characters>2393</Characters>
  <Lines>79</Lines>
  <Paragraphs>77</Paragraphs>
  <ScaleCrop>false</ScaleCrop>
  <LinksUpToDate>false</LinksUpToDate>
  <CharactersWithSpaces>2394</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2026-03-04T15:19:00Z</dcterms:created>
  <dc:creator>admin</dc:creator>
  <cp:lastModifiedBy>陈祥华</cp:lastModifiedBy>
  <dcterms:modified xsi:type="dcterms:W3CDTF">2026-04-13T03:48:16Z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y fmtid="{D5CDD505-2E9C-101B-9397-08002B2CF9AE}" pid="3" name="ICV">
    <vt:lpwstr>97B18464F8564618ACD6EA94C04FEB30_13</vt:lpwstr>
  </property>
  <property fmtid="{D5CDD505-2E9C-101B-9397-08002B2CF9AE}" pid="4" name="KSOTemplateDocerSaveRecord">
    <vt:lpwstr>eyJoZGlkIjoiOWRiNWE4ZTU5MDU3MzMzY2FhNGM4NmQ4NTNjNDU4NjAiLCJ1c2VySWQiOiIyMTQ1OTcwNjYifQ==</vt:lpwstr>
  </property>
</Properties>
</file>