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2D87D">
      <w:pPr>
        <w:pStyle w:val="2"/>
        <w:bidi w:val="0"/>
        <w:jc w:val="center"/>
        <w:rPr>
          <w:rFonts w:hint="eastAsia"/>
          <w:sz w:val="48"/>
          <w:szCs w:val="48"/>
        </w:rPr>
      </w:pPr>
      <w:r>
        <w:rPr>
          <w:rFonts w:hint="eastAsia" w:ascii="黑体" w:hAnsi="黑体" w:eastAsia="黑体" w:cs="黑体"/>
          <w:sz w:val="48"/>
          <w:szCs w:val="48"/>
        </w:rPr>
        <w:t>校园综合管理应用系统服务采购需求</w:t>
      </w:r>
    </w:p>
    <w:p w14:paraId="28BBA3AE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一、项目背景</w:t>
      </w:r>
    </w:p>
    <w:p w14:paraId="75B3513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baseline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校园综合管理应用系统是学校信息化管理的核心平台，涵盖了移动校园服务、统一身份认证、出入管理等多个重要功能模块。该系统目前已过保修期，为确保其稳定运行，保障学校各项业务的正常开展，现需遴选一家具有综合服务能力的服务商，为我校校园综合管理应用平台提供为期一年的运行维护服务。</w:t>
      </w:r>
    </w:p>
    <w:p w14:paraId="79178D39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二、采购清单</w:t>
      </w:r>
    </w:p>
    <w:tbl>
      <w:tblPr>
        <w:tblStyle w:val="9"/>
        <w:tblW w:w="4998" w:type="pct"/>
        <w:tblInd w:w="0" w:type="dxa"/>
        <w:tblBorders>
          <w:top w:val="single" w:color="080F17" w:sz="6" w:space="0"/>
          <w:left w:val="single" w:color="080F17" w:sz="6" w:space="0"/>
          <w:bottom w:val="single" w:color="080F17" w:sz="6" w:space="0"/>
          <w:right w:val="single" w:color="080F17" w:sz="6" w:space="0"/>
          <w:insideH w:val="single" w:color="080F17" w:sz="6" w:space="0"/>
          <w:insideV w:val="single" w:color="080F17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5749"/>
        <w:gridCol w:w="1875"/>
      </w:tblGrid>
      <w:tr w14:paraId="2B107AB0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4255669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376" w:type="pct"/>
            <w:vAlign w:val="center"/>
          </w:tcPr>
          <w:p w14:paraId="3E031701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采购内容</w:t>
            </w:r>
          </w:p>
        </w:tc>
        <w:tc>
          <w:tcPr>
            <w:tcW w:w="1101" w:type="pct"/>
            <w:vAlign w:val="center"/>
          </w:tcPr>
          <w:p w14:paraId="65271677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</w:rPr>
              <w:t>采购数量</w:t>
            </w:r>
          </w:p>
        </w:tc>
      </w:tr>
      <w:tr w14:paraId="1BD473EF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522" w:type="pct"/>
            <w:vAlign w:val="center"/>
          </w:tcPr>
          <w:p w14:paraId="062F5B6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</w:p>
        </w:tc>
        <w:tc>
          <w:tcPr>
            <w:tcW w:w="3376" w:type="pct"/>
            <w:vAlign w:val="center"/>
          </w:tcPr>
          <w:p w14:paraId="2B0D5380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移动校园服务平台运维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0C9B168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7AB5AEFB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4E037840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</w:p>
        </w:tc>
        <w:tc>
          <w:tcPr>
            <w:tcW w:w="3376" w:type="pct"/>
            <w:vAlign w:val="center"/>
          </w:tcPr>
          <w:p w14:paraId="262F020F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校园统一身份认证平台软件运维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521A0DFE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7340B775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2301FAB8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3</w:t>
            </w:r>
          </w:p>
        </w:tc>
        <w:tc>
          <w:tcPr>
            <w:tcW w:w="3376" w:type="pct"/>
            <w:vAlign w:val="center"/>
          </w:tcPr>
          <w:p w14:paraId="703A13C6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出入管理系统运维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24A551BF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  <w:tr w14:paraId="10B88C58">
        <w:tblPrEx>
          <w:tblBorders>
            <w:top w:val="single" w:color="080F17" w:sz="6" w:space="0"/>
            <w:left w:val="single" w:color="080F17" w:sz="6" w:space="0"/>
            <w:bottom w:val="single" w:color="080F17" w:sz="6" w:space="0"/>
            <w:right w:val="single" w:color="080F17" w:sz="6" w:space="0"/>
            <w:insideH w:val="single" w:color="080F17" w:sz="6" w:space="0"/>
            <w:insideV w:val="single" w:color="080F17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22" w:type="pct"/>
            <w:vAlign w:val="center"/>
          </w:tcPr>
          <w:p w14:paraId="273E61C9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4</w:t>
            </w:r>
          </w:p>
        </w:tc>
        <w:tc>
          <w:tcPr>
            <w:tcW w:w="3376" w:type="pct"/>
            <w:vAlign w:val="center"/>
          </w:tcPr>
          <w:p w14:paraId="523E3A1E">
            <w:pPr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虚拟化平台运维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服务</w:t>
            </w:r>
          </w:p>
        </w:tc>
        <w:tc>
          <w:tcPr>
            <w:tcW w:w="1101" w:type="pct"/>
            <w:vAlign w:val="center"/>
          </w:tcPr>
          <w:p w14:paraId="2F7F8F1D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项</w:t>
            </w:r>
          </w:p>
        </w:tc>
      </w:tr>
    </w:tbl>
    <w:p w14:paraId="693AFC49">
      <w:pPr>
        <w:pStyle w:val="3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三、技术要求</w:t>
      </w:r>
    </w:p>
    <w:p w14:paraId="08922082">
      <w:pPr>
        <w:pStyle w:val="4"/>
        <w:numPr>
          <w:ilvl w:val="0"/>
          <w:numId w:val="0"/>
        </w:numPr>
        <w:ind w:leftChars="0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</w:t>
      </w:r>
      <w:r>
        <w:rPr>
          <w:rFonts w:hint="eastAsia" w:ascii="仿宋_GB2312" w:hAnsi="仿宋_GB2312" w:eastAsia="仿宋_GB2312" w:cs="仿宋_GB231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</w:rPr>
        <w:t>）移动校园服务平台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4C2AA7D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提供软件原厂续保服务，包含故障处理服务，确保系统出现故障时能及时响应并解决，保障系统正常运行。</w:t>
      </w:r>
    </w:p>
    <w:p w14:paraId="02D13089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每季度进行一次巡检服务，全面检查系统的运行状况，提前发现潜在问题并进行处理。</w:t>
      </w:r>
    </w:p>
    <w:p w14:paraId="49214A86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具备应急恢复服务能力，在系统出现紧急情况时，能够迅速恢复系统数据和功能。</w:t>
      </w:r>
    </w:p>
    <w:p w14:paraId="4746DB2C"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提供版本内补丁升级服务，及时为系统安装安全补丁和功能补丁，提升系统的安全性和稳定性。</w:t>
      </w:r>
    </w:p>
    <w:p w14:paraId="0E0A9426">
      <w:pPr>
        <w:pStyle w:val="4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（二）校园统一身份认证平台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7F2F0297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提供原厂续保服务，确保软件的持续更新与技术支持。</w:t>
      </w:r>
    </w:p>
    <w:p w14:paraId="111240AA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包括紧急故障处理服务，能够快速响应并解决认证平台的紧急问题。</w:t>
      </w:r>
    </w:p>
    <w:p w14:paraId="6F0A3339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提供季度巡检服务，定期检查平台运行状态，确保平台性能稳定。</w:t>
      </w:r>
    </w:p>
    <w:p w14:paraId="6EC5102B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提供小版本内补丁更新服务，确保平台功能的持续优化和性能提升。</w:t>
      </w:r>
    </w:p>
    <w:p w14:paraId="28492AC6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提供网络安全事件处置服务，及时应对各类网络安全威胁。</w:t>
      </w:r>
    </w:p>
    <w:p w14:paraId="0F382C13"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提供漏洞修复服务，确保平台的安全性。</w:t>
      </w:r>
    </w:p>
    <w:p w14:paraId="11985535">
      <w:pPr>
        <w:pStyle w:val="4"/>
        <w:jc w:val="left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（三）出入管理系统</w:t>
      </w:r>
      <w:r>
        <w:rPr>
          <w:rFonts w:hint="eastAsia" w:ascii="仿宋_GB2312" w:hAnsi="仿宋_GB2312" w:eastAsia="仿宋_GB2312" w:cs="仿宋_GB2312"/>
          <w:lang w:val="en-US" w:eastAsia="zh-CN"/>
        </w:rPr>
        <w:t>运维</w:t>
      </w:r>
    </w:p>
    <w:p w14:paraId="28872B8F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提供原厂续保服务，确保软件的持续更新与技术支持。</w:t>
      </w:r>
    </w:p>
    <w:p w14:paraId="5A7B5C10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提供紧急故障处理服务，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确保访客预约等模块的正常使用</w:t>
      </w:r>
      <w:r>
        <w:rPr>
          <w:rFonts w:hint="eastAsia" w:ascii="仿宋_GB2312" w:hAnsi="仿宋_GB2312" w:eastAsia="仿宋_GB2312" w:cs="仿宋_GB2312"/>
          <w:sz w:val="24"/>
          <w:szCs w:val="24"/>
        </w:rPr>
        <w:t>。</w:t>
      </w:r>
    </w:p>
    <w:p w14:paraId="134349BB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定期进行巡检服务，检查软件与校园统一身份认证平台的运行情况，确保系统的稳定性。</w:t>
      </w:r>
    </w:p>
    <w:p w14:paraId="3E39A3AC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进行小版本内补丁更新，完善系统的功能和性能，解决系统在使用过程中出现的问题。</w:t>
      </w:r>
    </w:p>
    <w:p w14:paraId="001F8C1E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具备网络安全事件处置能力，保障系统的数据安全和网络安全。</w:t>
      </w:r>
    </w:p>
    <w:p w14:paraId="67456080"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提供漏洞修复服务，确保系统的安全性。</w:t>
      </w:r>
    </w:p>
    <w:p w14:paraId="3AEE54BA">
      <w:pPr>
        <w:pStyle w:val="4"/>
        <w:jc w:val="left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（四）虚拟化平台</w:t>
      </w:r>
    </w:p>
    <w:p w14:paraId="7E325E19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定期对学校在用的虚拟化平台进行巡检，检查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业务虚拟机</w:t>
      </w:r>
      <w:r>
        <w:rPr>
          <w:rFonts w:hint="eastAsia" w:ascii="仿宋_GB2312" w:hAnsi="仿宋_GB2312" w:eastAsia="仿宋_GB2312" w:cs="仿宋_GB2312"/>
          <w:sz w:val="24"/>
          <w:szCs w:val="24"/>
        </w:rPr>
        <w:t>的运行状态，确保虚拟化平台的稳定运行。</w:t>
      </w:r>
    </w:p>
    <w:p w14:paraId="5F48326B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提供常规故障处理技术支持服务，及时解决虚拟化平台在运行过程中出现的故障，如虚拟机无法启动、网络连接异常等。</w:t>
      </w:r>
    </w:p>
    <w:p w14:paraId="3E7DA255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协助用户完成虚拟化平台规划，根据学校的业务需求和发展规划，合理规划虚拟化平台的架构和资源分配。</w:t>
      </w:r>
    </w:p>
    <w:p w14:paraId="5BB4A667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负责虚拟机迁移工作，在需要对服务器进行维护或升级时，将虚拟机安全、快速地迁移到其他服务器上，确保业务的连续性。</w:t>
      </w:r>
    </w:p>
    <w:p w14:paraId="340D9E8B"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firstLine="42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维护虚拟机网络，确保虚拟机之间的网络连接正常，网络性能良好。</w:t>
      </w:r>
    </w:p>
    <w:p w14:paraId="73E44F52">
      <w:pPr>
        <w:pStyle w:val="3"/>
        <w:jc w:val="left"/>
        <w:rPr>
          <w:rFonts w:hint="eastAsia" w:ascii="黑体" w:hAnsi="黑体" w:eastAsia="黑体" w:cs="黑体"/>
        </w:rPr>
      </w:pPr>
      <w:bookmarkStart w:id="0" w:name="_GoBack"/>
      <w:bookmarkEnd w:id="0"/>
      <w:r>
        <w:rPr>
          <w:rFonts w:hint="eastAsia" w:ascii="黑体" w:hAnsi="黑体" w:eastAsia="黑体" w:cs="黑体"/>
        </w:rPr>
        <w:t>四、运维服务期</w:t>
      </w:r>
    </w:p>
    <w:p w14:paraId="535ABB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left"/>
        <w:textAlignment w:val="baseline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本次运维服务期为一年，自合同签订之日起计算。在服务期内，服务商需按照合同约定提供全面、专业的运维服务，确保校园综合管理应用系统的稳定运行。</w:t>
      </w:r>
    </w:p>
    <w:p w14:paraId="7153766F">
      <w:pPr>
        <w:jc w:val="left"/>
      </w:pPr>
    </w:p>
    <w:sectPr>
      <w:pgSz w:w="11906" w:h="16838"/>
      <w:pgMar w:top="1440" w:right="1803" w:bottom="1440" w:left="1803" w:header="13" w:footer="13" w:gutter="0"/>
      <w:cols w:space="0" w:num="1"/>
      <w:docGrid w:type="lines" w:linePitch="24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00001"/>
    <w:multiLevelType w:val="singleLevel"/>
    <w:tmpl w:val="20000001"/>
    <w:lvl w:ilvl="0" w:tentative="0">
      <w:start w:val="1"/>
      <w:numFmt w:val="decimal"/>
      <w:pStyle w:val="17"/>
      <w:suff w:val="space"/>
      <w:lvlText w:val="%1 "/>
      <w:lvlJc w:val="right"/>
      <w:rPr>
        <w:rFonts w:ascii="微软雅黑" w:hAnsi="微软雅黑" w:eastAsia="微软雅黑" w:cs="微软雅黑"/>
        <w:color w:val="C0C6CF"/>
        <w:sz w:val="16"/>
      </w:rPr>
    </w:lvl>
  </w:abstractNum>
  <w:abstractNum w:abstractNumId="1">
    <w:nsid w:val="20000004"/>
    <w:multiLevelType w:val="multilevel"/>
    <w:tmpl w:val="2000000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2">
    <w:nsid w:val="20000005"/>
    <w:multiLevelType w:val="multilevel"/>
    <w:tmpl w:val="20000005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3">
    <w:nsid w:val="20000006"/>
    <w:multiLevelType w:val="multilevel"/>
    <w:tmpl w:val="20000006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abstractNum w:abstractNumId="4">
    <w:nsid w:val="20000007"/>
    <w:multiLevelType w:val="multilevel"/>
    <w:tmpl w:val="20000007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lef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."/>
      <w:lvlJc w:val="left"/>
      <w:pPr>
        <w:ind w:left="2100" w:hanging="420"/>
      </w:pPr>
    </w:lvl>
    <w:lvl w:ilvl="5" w:tentative="0">
      <w:start w:val="1"/>
      <w:numFmt w:val="lowerRoman"/>
      <w:lvlText w:val="%6."/>
      <w:lvlJc w:val="lef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."/>
      <w:lvlJc w:val="left"/>
      <w:pPr>
        <w:ind w:left="3360" w:hanging="4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696FBF"/>
    <w:rsid w:val="4D1B5F95"/>
    <w:rsid w:val="74483F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textAlignment w:val="baseline"/>
    </w:pPr>
    <w:rPr>
      <w:rFonts w:ascii="微软雅黑" w:hAnsi="微软雅黑" w:eastAsia="微软雅黑" w:cs="微软雅黑"/>
      <w:color w:val="080F17"/>
      <w:sz w:val="22"/>
    </w:rPr>
  </w:style>
  <w:style w:type="paragraph" w:styleId="2">
    <w:name w:val="heading 1"/>
    <w:basedOn w:val="1"/>
    <w:qFormat/>
    <w:uiPriority w:val="0"/>
    <w:pPr>
      <w:spacing w:before="390" w:after="120" w:line="634" w:lineRule="exact"/>
      <w:outlineLvl w:val="0"/>
    </w:pPr>
    <w:rPr>
      <w:b/>
      <w:sz w:val="38"/>
    </w:rPr>
  </w:style>
  <w:style w:type="paragraph" w:styleId="3">
    <w:name w:val="heading 2"/>
    <w:basedOn w:val="1"/>
    <w:qFormat/>
    <w:uiPriority w:val="0"/>
    <w:pPr>
      <w:spacing w:before="330" w:after="120" w:line="536" w:lineRule="exact"/>
      <w:outlineLvl w:val="1"/>
    </w:pPr>
    <w:rPr>
      <w:b/>
      <w:sz w:val="32"/>
    </w:rPr>
  </w:style>
  <w:style w:type="paragraph" w:styleId="4">
    <w:name w:val="heading 3"/>
    <w:basedOn w:val="1"/>
    <w:qFormat/>
    <w:uiPriority w:val="0"/>
    <w:pPr>
      <w:spacing w:before="300" w:after="120" w:line="488" w:lineRule="exact"/>
      <w:outlineLvl w:val="2"/>
    </w:pPr>
    <w:rPr>
      <w:b/>
      <w:sz w:val="30"/>
    </w:rPr>
  </w:style>
  <w:style w:type="paragraph" w:styleId="5">
    <w:name w:val="heading 4"/>
    <w:basedOn w:val="1"/>
    <w:qFormat/>
    <w:uiPriority w:val="0"/>
    <w:pPr>
      <w:spacing w:before="270" w:after="120" w:line="439" w:lineRule="exact"/>
      <w:outlineLvl w:val="3"/>
    </w:pPr>
    <w:rPr>
      <w:b/>
      <w:sz w:val="26"/>
    </w:rPr>
  </w:style>
  <w:style w:type="paragraph" w:styleId="6">
    <w:name w:val="heading 5"/>
    <w:basedOn w:val="1"/>
    <w:qFormat/>
    <w:uiPriority w:val="0"/>
    <w:pPr>
      <w:spacing w:before="240" w:after="120" w:line="390" w:lineRule="exact"/>
      <w:outlineLvl w:val="4"/>
    </w:pPr>
    <w:rPr>
      <w:b/>
      <w:sz w:val="22"/>
    </w:rPr>
  </w:style>
  <w:style w:type="paragraph" w:styleId="7">
    <w:name w:val="heading 6"/>
    <w:basedOn w:val="1"/>
    <w:qFormat/>
    <w:uiPriority w:val="0"/>
    <w:pPr>
      <w:spacing w:before="240" w:after="120" w:line="390" w:lineRule="exact"/>
      <w:outlineLvl w:val="5"/>
    </w:pPr>
    <w:rPr>
      <w:b/>
      <w:sz w:val="22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9">
    <w:name w:val="Table Grid"/>
    <w:qFormat/>
    <w:uiPriority w:val="0"/>
    <w:tblPr>
      <w:tblBorders>
        <w:top w:val="single" w:color="080F17" w:sz="6" w:space="0"/>
        <w:left w:val="single" w:color="080F17" w:sz="6" w:space="0"/>
        <w:bottom w:val="single" w:color="080F17" w:sz="6" w:space="0"/>
        <w:right w:val="single" w:color="080F17" w:sz="6" w:space="0"/>
        <w:insideH w:val="single" w:color="080F17" w:sz="6" w:space="0"/>
        <w:insideV w:val="single" w:color="080F17" w:sz="6" w:space="0"/>
      </w:tblBorders>
      <w:tblCellMar>
        <w:left w:w="108" w:type="dxa"/>
        <w:right w:w="108" w:type="dxa"/>
      </w:tblCellMar>
    </w:tblPr>
  </w:style>
  <w:style w:type="character" w:styleId="11">
    <w:name w:val="Hyperlink"/>
    <w:qFormat/>
    <w:uiPriority w:val="0"/>
    <w:rPr>
      <w:color w:val="0A6CFF"/>
      <w:u w:val="single" w:color="0A6CFF"/>
    </w:rPr>
  </w:style>
  <w:style w:type="paragraph" w:customStyle="1" w:styleId="12">
    <w:name w:val="MainTitle"/>
    <w:basedOn w:val="1"/>
    <w:qFormat/>
    <w:uiPriority w:val="0"/>
    <w:pPr>
      <w:pBdr>
        <w:bottom w:val="single" w:color="E2E6ED" w:sz="6" w:space="5"/>
      </w:pBdr>
      <w:spacing w:before="180" w:after="480" w:line="780" w:lineRule="exact"/>
    </w:pPr>
    <w:rPr>
      <w:b/>
      <w:sz w:val="44"/>
    </w:rPr>
  </w:style>
  <w:style w:type="character" w:customStyle="1" w:styleId="13">
    <w:name w:val="DateTime"/>
    <w:qFormat/>
    <w:uiPriority w:val="0"/>
    <w:rPr>
      <w:color w:val="0A6CFF"/>
    </w:rPr>
  </w:style>
  <w:style w:type="paragraph" w:customStyle="1" w:styleId="14">
    <w:name w:val="Blockquote"/>
    <w:basedOn w:val="1"/>
    <w:qFormat/>
    <w:uiPriority w:val="0"/>
    <w:pPr>
      <w:pBdr>
        <w:left w:val="single" w:color="E2E6ED" w:sz="36" w:space="12"/>
      </w:pBdr>
      <w:ind w:left="330" w:firstLine="0"/>
    </w:pPr>
    <w:rPr>
      <w:color w:val="767C85"/>
      <w:sz w:val="22"/>
    </w:rPr>
  </w:style>
  <w:style w:type="character" w:customStyle="1" w:styleId="15">
    <w:name w:val="Code"/>
    <w:qFormat/>
    <w:uiPriority w:val="0"/>
    <w:rPr>
      <w:bdr w:val="single" w:color="E2E6ED" w:sz="6" w:space="0"/>
    </w:rPr>
  </w:style>
  <w:style w:type="character" w:customStyle="1" w:styleId="16">
    <w:name w:val="Emoji"/>
    <w:qFormat/>
    <w:uiPriority w:val="0"/>
    <w:rPr>
      <w:rFonts w:ascii="Segoe UI Emoji" w:hAnsi="Segoe UI Emoji" w:eastAsia="Segoe UI Emoji" w:cs="Segoe UI Emoji"/>
    </w:rPr>
  </w:style>
  <w:style w:type="paragraph" w:customStyle="1" w:styleId="17">
    <w:name w:val="CodeBlock"/>
    <w:basedOn w:val="1"/>
    <w:qFormat/>
    <w:uiPriority w:val="0"/>
    <w:pPr>
      <w:numPr>
        <w:ilvl w:val="0"/>
        <w:numId w:val="1"/>
      </w:numPr>
      <w:pBdr>
        <w:top w:val="single" w:color="E2E6ED" w:sz="6" w:space="8"/>
        <w:left w:val="single" w:color="E2E6ED" w:sz="6" w:space="26"/>
        <w:bottom w:val="single" w:color="E2E6ED" w:sz="6" w:space="8"/>
        <w:right w:val="single" w:color="E2E6ED" w:sz="6" w:space="0"/>
      </w:pBdr>
      <w:shd w:val="clear" w:color="FFFFFF" w:fill="F5F7F9"/>
      <w:spacing w:before="0" w:after="0" w:line="300" w:lineRule="exact"/>
      <w:ind w:left="540" w:firstLine="0"/>
    </w:pPr>
    <w:rPr>
      <w:sz w:val="18"/>
    </w:rPr>
  </w:style>
  <w:style w:type="table" w:customStyle="1" w:styleId="18">
    <w:name w:val="HighlightBlock"/>
    <w:qFormat/>
    <w:uiPriority w:val="0"/>
    <w:tblPr>
      <w:tblBorders>
        <w:top w:val="single" w:color="FEC794" w:sz="6" w:space="0"/>
        <w:left w:val="single" w:color="FEC794" w:sz="6" w:space="0"/>
        <w:bottom w:val="single" w:color="FEC794" w:sz="6" w:space="0"/>
        <w:right w:val="single" w:color="FEC794" w:sz="6" w:space="0"/>
        <w:insideH w:val="single" w:color="FEC794" w:sz="6" w:space="0"/>
        <w:insideV w:val="single" w:color="FEC794" w:sz="6" w:space="0"/>
      </w:tblBorders>
      <w:tblCellMar>
        <w:left w:w="108" w:type="dxa"/>
        <w:right w:w="108" w:type="dxa"/>
      </w:tblCellMar>
    </w:tblPr>
  </w:style>
  <w:style w:type="paragraph" w:customStyle="1" w:styleId="19">
    <w:name w:val="Seperate"/>
    <w:basedOn w:val="1"/>
    <w:qFormat/>
    <w:uiPriority w:val="0"/>
    <w:pPr>
      <w:spacing w:before="0" w:after="0" w:line="120" w:lineRule="exac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1216</Words>
  <Characters>1216</Characters>
  <TotalTime>3</TotalTime>
  <ScaleCrop>false</ScaleCrop>
  <LinksUpToDate>false</LinksUpToDate>
  <CharactersWithSpaces>1216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2025-06-04T14:53:00Z</dcterms:created>
  <dc:creator>webotl</dc:creator>
  <cp:lastModifiedBy>administrator</cp:lastModifiedBy>
  <dcterms:modified xsi:type="dcterms:W3CDTF">2025-06-05T05:56:08Z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  <property fmtid="{D5CDD505-2E9C-101B-9397-08002B2CF9AE}" pid="3" name="KSOTemplateDocerSaveRecord">
    <vt:lpwstr>eyJoZGlkIjoiOGUwOWQwZTlkMTk5M2E1ZjM1NjZhNDM4OWQ4ZDZmMTIiLCJ1c2VySWQiOiI0ODM2NDU2NzAifQ==</vt:lpwstr>
  </property>
  <property fmtid="{D5CDD505-2E9C-101B-9397-08002B2CF9AE}" pid="4" name="KSOProductBuildVer">
    <vt:lpwstr>2052-12.1.0.21171</vt:lpwstr>
  </property>
  <property fmtid="{D5CDD505-2E9C-101B-9397-08002B2CF9AE}" pid="5" name="ICV">
    <vt:lpwstr>92FFA4E880E349058A11CEC5A9978DF5_12</vt:lpwstr>
  </property>
</Properties>
</file>