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ascii="宋体" w:hAnsi="宋体" w:eastAsia="宋体" w:cs="Times New Roman"/>
          <w:color w:val="auto"/>
          <w:sz w:val="84"/>
          <w:szCs w:val="84"/>
        </w:rPr>
      </w:pPr>
      <w:r>
        <w:rPr>
          <w:rFonts w:hint="eastAsia" w:ascii="宋体" w:hAnsi="宋体" w:eastAsia="宋体" w:cs="Times New Roman"/>
          <w:color w:val="auto"/>
          <w:sz w:val="84"/>
          <w:szCs w:val="84"/>
        </w:rPr>
        <w:t>武汉市疾控中心</w:t>
      </w:r>
    </w:p>
    <w:p>
      <w:pPr>
        <w:spacing w:line="276" w:lineRule="auto"/>
        <w:jc w:val="center"/>
        <w:rPr>
          <w:rFonts w:ascii="宋体" w:hAnsi="宋体" w:eastAsia="宋体" w:cs="Times New Roman"/>
          <w:color w:val="auto"/>
          <w:sz w:val="84"/>
          <w:szCs w:val="84"/>
        </w:rPr>
      </w:pPr>
      <w:r>
        <w:rPr>
          <w:rFonts w:hint="eastAsia" w:ascii="宋体" w:hAnsi="宋体" w:eastAsia="宋体" w:cs="Times New Roman"/>
          <w:color w:val="auto"/>
          <w:sz w:val="84"/>
          <w:szCs w:val="84"/>
        </w:rPr>
        <w:t>信息化运维项目</w:t>
      </w:r>
    </w:p>
    <w:p>
      <w:pPr>
        <w:spacing w:line="240" w:lineRule="auto"/>
        <w:ind w:left="900" w:leftChars="200" w:hanging="420" w:hangingChars="200"/>
        <w:contextualSpacing/>
        <w:rPr>
          <w:rFonts w:ascii="Times New Roman" w:hAnsi="Times New Roman" w:eastAsia="宋体" w:cs="Times New Roman"/>
          <w:color w:val="auto"/>
          <w:sz w:val="21"/>
          <w:szCs w:val="24"/>
        </w:rPr>
      </w:pPr>
    </w:p>
    <w:p>
      <w:pPr>
        <w:spacing w:line="288" w:lineRule="auto"/>
        <w:jc w:val="center"/>
        <w:rPr>
          <w:rFonts w:ascii="黑体" w:hAnsi="Times New Roman" w:eastAsia="黑体" w:cs="Times New Roman"/>
          <w:b/>
          <w:bCs/>
          <w:color w:val="auto"/>
          <w:spacing w:val="20"/>
          <w:sz w:val="96"/>
          <w:szCs w:val="96"/>
        </w:rPr>
      </w:pPr>
    </w:p>
    <w:p>
      <w:pPr>
        <w:spacing w:line="288" w:lineRule="auto"/>
        <w:jc w:val="center"/>
        <w:rPr>
          <w:rFonts w:ascii="黑体" w:hAnsi="Times New Roman" w:eastAsia="黑体" w:cs="Times New Roman"/>
          <w:b/>
          <w:bCs/>
          <w:color w:val="auto"/>
          <w:spacing w:val="20"/>
          <w:sz w:val="96"/>
          <w:szCs w:val="96"/>
        </w:rPr>
      </w:pPr>
      <w:r>
        <w:rPr>
          <w:rFonts w:hint="eastAsia" w:ascii="黑体" w:hAnsi="Times New Roman" w:eastAsia="黑体" w:cs="Times New Roman"/>
          <w:b/>
          <w:bCs/>
          <w:color w:val="auto"/>
          <w:spacing w:val="20"/>
          <w:sz w:val="96"/>
          <w:szCs w:val="96"/>
        </w:rPr>
        <w:t>需</w:t>
      </w:r>
    </w:p>
    <w:p>
      <w:pPr>
        <w:spacing w:line="288" w:lineRule="auto"/>
        <w:jc w:val="center"/>
        <w:rPr>
          <w:rFonts w:ascii="黑体" w:hAnsi="Times New Roman" w:eastAsia="黑体" w:cs="Times New Roman"/>
          <w:b/>
          <w:bCs/>
          <w:color w:val="auto"/>
          <w:spacing w:val="20"/>
          <w:sz w:val="96"/>
          <w:szCs w:val="96"/>
        </w:rPr>
      </w:pPr>
      <w:r>
        <w:rPr>
          <w:rFonts w:hint="eastAsia" w:ascii="黑体" w:hAnsi="Times New Roman" w:eastAsia="黑体" w:cs="Times New Roman"/>
          <w:b/>
          <w:bCs/>
          <w:color w:val="auto"/>
          <w:spacing w:val="20"/>
          <w:sz w:val="96"/>
          <w:szCs w:val="96"/>
        </w:rPr>
        <w:t>求</w:t>
      </w:r>
    </w:p>
    <w:p>
      <w:pPr>
        <w:spacing w:line="288" w:lineRule="auto"/>
        <w:jc w:val="center"/>
        <w:rPr>
          <w:rFonts w:ascii="黑体" w:hAnsi="Times New Roman" w:eastAsia="黑体" w:cs="Times New Roman"/>
          <w:b/>
          <w:bCs/>
          <w:color w:val="auto"/>
          <w:spacing w:val="20"/>
          <w:sz w:val="96"/>
          <w:szCs w:val="96"/>
        </w:rPr>
      </w:pPr>
      <w:r>
        <w:rPr>
          <w:rFonts w:hint="eastAsia" w:ascii="黑体" w:hAnsi="Times New Roman" w:eastAsia="黑体" w:cs="Times New Roman"/>
          <w:b/>
          <w:bCs/>
          <w:color w:val="auto"/>
          <w:spacing w:val="20"/>
          <w:sz w:val="96"/>
          <w:szCs w:val="96"/>
        </w:rPr>
        <w:t>文</w:t>
      </w:r>
    </w:p>
    <w:p>
      <w:pPr>
        <w:spacing w:line="288" w:lineRule="auto"/>
        <w:jc w:val="center"/>
        <w:rPr>
          <w:rFonts w:ascii="黑体" w:hAnsi="Times New Roman" w:eastAsia="黑体" w:cs="Times New Roman"/>
          <w:color w:val="auto"/>
          <w:sz w:val="96"/>
          <w:szCs w:val="96"/>
        </w:rPr>
      </w:pPr>
      <w:r>
        <w:rPr>
          <w:rFonts w:hint="eastAsia" w:ascii="黑体" w:hAnsi="Times New Roman" w:eastAsia="黑体" w:cs="Times New Roman"/>
          <w:b/>
          <w:bCs/>
          <w:color w:val="auto"/>
          <w:spacing w:val="20"/>
          <w:sz w:val="96"/>
          <w:szCs w:val="96"/>
        </w:rPr>
        <w:t>件</w:t>
      </w:r>
    </w:p>
    <w:p>
      <w:pPr>
        <w:rPr>
          <w:rFonts w:ascii="黑体" w:hAnsi="Times New Roman" w:eastAsia="黑体" w:cs="Times New Roman"/>
          <w:color w:val="auto"/>
          <w:sz w:val="18"/>
          <w:szCs w:val="18"/>
        </w:rPr>
      </w:pPr>
    </w:p>
    <w:p>
      <w:pPr>
        <w:rPr>
          <w:rFonts w:ascii="黑体" w:hAnsi="Times New Roman" w:eastAsia="黑体" w:cs="Times New Roman"/>
          <w:color w:val="auto"/>
          <w:sz w:val="18"/>
          <w:szCs w:val="18"/>
        </w:rPr>
      </w:pPr>
    </w:p>
    <w:p>
      <w:pPr>
        <w:spacing w:line="480" w:lineRule="auto"/>
        <w:rPr>
          <w:rFonts w:ascii="黑体" w:hAnsi="Times New Roman" w:eastAsia="黑体" w:cs="Times New Roman"/>
          <w:b/>
          <w:bCs/>
          <w:color w:val="auto"/>
          <w:sz w:val="36"/>
          <w:szCs w:val="24"/>
        </w:rPr>
      </w:pPr>
    </w:p>
    <w:p>
      <w:pPr>
        <w:spacing w:line="240" w:lineRule="auto"/>
        <w:ind w:left="900" w:leftChars="200" w:hanging="420" w:hangingChars="200"/>
        <w:contextualSpacing/>
        <w:rPr>
          <w:rFonts w:ascii="Times New Roman" w:hAnsi="Times New Roman" w:eastAsia="宋体" w:cs="Times New Roman"/>
          <w:color w:val="auto"/>
          <w:sz w:val="21"/>
          <w:szCs w:val="24"/>
        </w:rPr>
      </w:pPr>
    </w:p>
    <w:p>
      <w:pPr>
        <w:spacing w:line="240" w:lineRule="auto"/>
        <w:ind w:left="900" w:leftChars="200" w:hanging="420" w:hangingChars="200"/>
        <w:contextualSpacing/>
        <w:rPr>
          <w:rFonts w:ascii="Times New Roman" w:hAnsi="Times New Roman" w:eastAsia="宋体" w:cs="Times New Roman"/>
          <w:color w:val="auto"/>
          <w:sz w:val="21"/>
          <w:szCs w:val="24"/>
        </w:rPr>
      </w:pPr>
    </w:p>
    <w:p>
      <w:pPr>
        <w:spacing w:line="240" w:lineRule="auto"/>
        <w:ind w:left="900" w:leftChars="200" w:hanging="420" w:hangingChars="200"/>
        <w:contextualSpacing/>
        <w:rPr>
          <w:rFonts w:ascii="Times New Roman" w:hAnsi="Times New Roman" w:eastAsia="宋体" w:cs="Times New Roman"/>
          <w:color w:val="auto"/>
          <w:sz w:val="21"/>
          <w:szCs w:val="24"/>
        </w:rPr>
      </w:pPr>
    </w:p>
    <w:p>
      <w:pPr>
        <w:spacing w:line="240" w:lineRule="auto"/>
        <w:ind w:left="900" w:leftChars="200" w:hanging="420" w:hangingChars="200"/>
        <w:contextualSpacing/>
        <w:rPr>
          <w:rFonts w:ascii="Times New Roman" w:hAnsi="Times New Roman" w:eastAsia="宋体" w:cs="Times New Roman"/>
          <w:color w:val="auto"/>
          <w:sz w:val="21"/>
          <w:szCs w:val="24"/>
        </w:rPr>
      </w:pPr>
    </w:p>
    <w:p>
      <w:pPr>
        <w:spacing w:line="480" w:lineRule="auto"/>
        <w:ind w:left="2281" w:leftChars="118" w:hanging="1998" w:hangingChars="555"/>
        <w:jc w:val="center"/>
        <w:rPr>
          <w:rFonts w:ascii="宋体" w:hAnsi="宋体" w:eastAsia="宋体" w:cs="Times New Roman"/>
          <w:color w:val="auto"/>
          <w:sz w:val="36"/>
          <w:szCs w:val="36"/>
        </w:rPr>
      </w:pPr>
      <w:r>
        <w:rPr>
          <w:rFonts w:hint="eastAsia" w:ascii="宋体" w:hAnsi="宋体" w:eastAsia="宋体" w:cs="Times New Roman"/>
          <w:color w:val="auto"/>
          <w:sz w:val="36"/>
          <w:szCs w:val="36"/>
        </w:rPr>
        <w:t>日    期：2025年6月</w:t>
      </w:r>
    </w:p>
    <w:p>
      <w:pPr>
        <w:ind w:right="38"/>
        <w:jc w:val="left"/>
        <w:rPr>
          <w:rFonts w:ascii="仿宋" w:hAnsi="仿宋" w:eastAsia="仿宋"/>
          <w:b/>
          <w:bCs/>
          <w:color w:val="auto"/>
          <w:sz w:val="36"/>
          <w:szCs w:val="32"/>
        </w:rPr>
      </w:pPr>
      <w:r>
        <w:rPr>
          <w:rFonts w:hint="eastAsia" w:ascii="仿宋" w:hAnsi="仿宋" w:eastAsia="仿宋"/>
          <w:b/>
          <w:bCs/>
          <w:color w:val="auto"/>
          <w:sz w:val="36"/>
          <w:szCs w:val="32"/>
        </w:rPr>
        <w:t>1技术部分：</w:t>
      </w:r>
    </w:p>
    <w:p>
      <w:pPr>
        <w:pStyle w:val="2"/>
        <w:ind w:left="0" w:right="38"/>
        <w:jc w:val="left"/>
        <w:rPr>
          <w:rFonts w:ascii="仿宋" w:hAnsi="仿宋" w:eastAsia="仿宋"/>
          <w:color w:val="auto"/>
        </w:rPr>
      </w:pPr>
      <w:r>
        <w:rPr>
          <w:rFonts w:hint="eastAsia" w:ascii="仿宋" w:hAnsi="仿宋" w:eastAsia="仿宋"/>
          <w:color w:val="auto"/>
        </w:rPr>
        <w:t>项目基本情况</w:t>
      </w:r>
    </w:p>
    <w:p>
      <w:pPr>
        <w:ind w:firstLine="480" w:firstLineChars="200"/>
        <w:rPr>
          <w:rFonts w:ascii="仿宋_GB2312" w:eastAsia="仿宋_GB2312"/>
          <w:color w:val="auto"/>
        </w:rPr>
      </w:pPr>
      <w:r>
        <w:rPr>
          <w:rFonts w:hint="eastAsia" w:ascii="仿宋_GB2312" w:eastAsia="仿宋_GB2312"/>
          <w:color w:val="auto"/>
        </w:rPr>
        <w:t>武汉市疾控中心成立于2002年，是全市疾控业务技术管理与指导的中心，信息化建设范围覆盖了传染病、艾滋病、慢性病、环境健康与食品安全、消毒与病媒生物防治及内部办公等业务工作，疾控信息化平台是全市疾控业务工作正常开展的支撑。本次项目是为更好的管理该平台所涉及的核心设备，确保桌面PC终端、数据中心硬件设备、核心软件平台以及业务网络的安全稳定运行，对硬件设备、软件平台提供日常维护和技术支持服务。</w:t>
      </w:r>
    </w:p>
    <w:p>
      <w:pPr>
        <w:pStyle w:val="2"/>
        <w:ind w:left="0" w:right="38"/>
        <w:jc w:val="left"/>
        <w:rPr>
          <w:rFonts w:ascii="仿宋" w:hAnsi="仿宋" w:eastAsia="仿宋"/>
          <w:color w:val="auto"/>
        </w:rPr>
      </w:pPr>
      <w:r>
        <w:rPr>
          <w:rFonts w:hint="eastAsia" w:ascii="仿宋" w:hAnsi="仿宋" w:eastAsia="仿宋"/>
          <w:color w:val="auto"/>
        </w:rPr>
        <w:t>采购清单</w:t>
      </w:r>
    </w:p>
    <w:tbl>
      <w:tblPr>
        <w:tblStyle w:val="40"/>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5953"/>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b/>
                <w:bCs/>
                <w:color w:val="auto"/>
              </w:rPr>
            </w:pPr>
            <w:bookmarkStart w:id="0" w:name="_Hlk168399808"/>
            <w:r>
              <w:rPr>
                <w:rFonts w:hint="eastAsia" w:ascii="仿宋" w:hAnsi="仿宋" w:eastAsia="仿宋"/>
                <w:b/>
                <w:bCs/>
                <w:color w:val="auto"/>
              </w:rPr>
              <w:t>序号</w:t>
            </w:r>
          </w:p>
        </w:tc>
        <w:tc>
          <w:tcPr>
            <w:tcW w:w="5953" w:type="dxa"/>
            <w:vAlign w:val="center"/>
          </w:tcPr>
          <w:p>
            <w:pPr>
              <w:jc w:val="center"/>
              <w:rPr>
                <w:rFonts w:ascii="仿宋" w:hAnsi="仿宋" w:eastAsia="仿宋"/>
                <w:b/>
                <w:bCs/>
                <w:color w:val="auto"/>
              </w:rPr>
            </w:pPr>
            <w:r>
              <w:rPr>
                <w:rFonts w:hint="eastAsia" w:ascii="仿宋" w:hAnsi="仿宋" w:eastAsia="仿宋"/>
                <w:b/>
                <w:bCs/>
                <w:color w:val="auto"/>
              </w:rPr>
              <w:t>服务名称</w:t>
            </w:r>
          </w:p>
        </w:tc>
        <w:tc>
          <w:tcPr>
            <w:tcW w:w="1525" w:type="dxa"/>
            <w:noWrap/>
            <w:vAlign w:val="center"/>
          </w:tcPr>
          <w:p>
            <w:pPr>
              <w:jc w:val="center"/>
              <w:rPr>
                <w:rFonts w:ascii="仿宋" w:hAnsi="仿宋" w:eastAsia="仿宋"/>
                <w:b/>
                <w:bCs/>
                <w:color w:val="auto"/>
              </w:rPr>
            </w:pPr>
            <w:r>
              <w:rPr>
                <w:rFonts w:hint="eastAsia" w:ascii="仿宋" w:hAnsi="仿宋" w:eastAsia="仿宋"/>
                <w:b/>
                <w:bCs/>
                <w:color w:val="auto"/>
              </w:rPr>
              <w:t>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r>
              <w:rPr>
                <w:rFonts w:hint="eastAsia" w:ascii="仿宋" w:hAnsi="仿宋" w:eastAsia="仿宋"/>
                <w:color w:val="auto"/>
              </w:rPr>
              <w:t>1</w:t>
            </w:r>
          </w:p>
        </w:tc>
        <w:tc>
          <w:tcPr>
            <w:tcW w:w="5953" w:type="dxa"/>
            <w:vAlign w:val="center"/>
          </w:tcPr>
          <w:p>
            <w:pPr>
              <w:jc w:val="center"/>
              <w:rPr>
                <w:rFonts w:ascii="仿宋" w:hAnsi="仿宋" w:eastAsia="仿宋"/>
                <w:color w:val="auto"/>
              </w:rPr>
            </w:pPr>
            <w:r>
              <w:rPr>
                <w:rFonts w:hint="eastAsia" w:ascii="仿宋" w:hAnsi="仿宋" w:eastAsia="仿宋"/>
                <w:color w:val="auto"/>
              </w:rPr>
              <w:t>数据中心与桌面运行维护服务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r>
              <w:rPr>
                <w:rFonts w:ascii="仿宋" w:hAnsi="仿宋" w:eastAsia="仿宋"/>
                <w:color w:val="auto"/>
              </w:rPr>
              <w:t>2</w:t>
            </w:r>
          </w:p>
        </w:tc>
        <w:tc>
          <w:tcPr>
            <w:tcW w:w="5953" w:type="dxa"/>
            <w:vAlign w:val="center"/>
          </w:tcPr>
          <w:p>
            <w:pPr>
              <w:jc w:val="center"/>
              <w:rPr>
                <w:rFonts w:ascii="仿宋" w:hAnsi="仿宋" w:eastAsia="仿宋"/>
                <w:color w:val="auto"/>
              </w:rPr>
            </w:pPr>
            <w:r>
              <w:rPr>
                <w:rFonts w:hint="eastAsia" w:ascii="仿宋" w:hAnsi="仿宋" w:eastAsia="仿宋"/>
                <w:color w:val="auto"/>
              </w:rPr>
              <w:t>基础环境设施运行维护服务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r>
              <w:rPr>
                <w:rFonts w:ascii="仿宋" w:hAnsi="仿宋" w:eastAsia="仿宋"/>
                <w:color w:val="auto"/>
              </w:rPr>
              <w:t>3</w:t>
            </w:r>
          </w:p>
        </w:tc>
        <w:tc>
          <w:tcPr>
            <w:tcW w:w="5953" w:type="dxa"/>
            <w:vAlign w:val="center"/>
          </w:tcPr>
          <w:p>
            <w:pPr>
              <w:jc w:val="center"/>
              <w:rPr>
                <w:rFonts w:ascii="仿宋" w:hAnsi="仿宋" w:eastAsia="仿宋"/>
                <w:color w:val="auto"/>
              </w:rPr>
            </w:pPr>
            <w:r>
              <w:rPr>
                <w:rFonts w:hint="eastAsia" w:ascii="仿宋" w:hAnsi="仿宋" w:eastAsia="仿宋"/>
                <w:color w:val="auto"/>
              </w:rPr>
              <w:t>安全运维服务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r>
              <w:rPr>
                <w:rFonts w:ascii="仿宋" w:hAnsi="仿宋" w:eastAsia="仿宋"/>
                <w:color w:val="auto"/>
              </w:rPr>
              <w:t>4</w:t>
            </w:r>
          </w:p>
        </w:tc>
        <w:tc>
          <w:tcPr>
            <w:tcW w:w="5953" w:type="dxa"/>
            <w:vAlign w:val="center"/>
          </w:tcPr>
          <w:p>
            <w:pPr>
              <w:jc w:val="center"/>
              <w:rPr>
                <w:rFonts w:ascii="仿宋" w:hAnsi="仿宋" w:eastAsia="仿宋"/>
                <w:color w:val="auto"/>
              </w:rPr>
            </w:pPr>
            <w:r>
              <w:rPr>
                <w:rFonts w:hint="eastAsia" w:ascii="仿宋" w:hAnsi="仿宋" w:eastAsia="仿宋"/>
                <w:color w:val="auto"/>
              </w:rPr>
              <w:t>中心大屏</w:t>
            </w:r>
            <w:r>
              <w:rPr>
                <w:rFonts w:hint="eastAsia" w:ascii="仿宋" w:hAnsi="仿宋" w:eastAsia="仿宋" w:cs="仿宋_GB2312"/>
                <w:color w:val="auto"/>
                <w:szCs w:val="24"/>
              </w:rPr>
              <w:t>及</w:t>
            </w:r>
            <w:r>
              <w:rPr>
                <w:rFonts w:hint="eastAsia" w:ascii="仿宋" w:hAnsi="仿宋" w:eastAsia="仿宋"/>
                <w:color w:val="auto"/>
              </w:rPr>
              <w:t>会议系统维护服务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r>
              <w:rPr>
                <w:rFonts w:ascii="仿宋" w:hAnsi="仿宋" w:eastAsia="仿宋"/>
                <w:color w:val="auto"/>
              </w:rPr>
              <w:t>5</w:t>
            </w:r>
          </w:p>
        </w:tc>
        <w:tc>
          <w:tcPr>
            <w:tcW w:w="5953" w:type="dxa"/>
            <w:vAlign w:val="center"/>
          </w:tcPr>
          <w:p>
            <w:pPr>
              <w:jc w:val="center"/>
              <w:rPr>
                <w:rFonts w:ascii="仿宋" w:hAnsi="仿宋" w:eastAsia="仿宋"/>
                <w:color w:val="auto"/>
              </w:rPr>
            </w:pPr>
            <w:r>
              <w:rPr>
                <w:rFonts w:hint="eastAsia" w:ascii="仿宋" w:hAnsi="仿宋" w:eastAsia="仿宋"/>
                <w:color w:val="auto"/>
              </w:rPr>
              <w:t>运维监控与值守服务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bookmarkStart w:id="1" w:name="_Hlk132374675"/>
            <w:r>
              <w:rPr>
                <w:rFonts w:ascii="仿宋" w:hAnsi="仿宋" w:eastAsia="仿宋"/>
                <w:color w:val="auto"/>
              </w:rPr>
              <w:t>6</w:t>
            </w:r>
          </w:p>
        </w:tc>
        <w:tc>
          <w:tcPr>
            <w:tcW w:w="5953" w:type="dxa"/>
            <w:vAlign w:val="center"/>
          </w:tcPr>
          <w:p>
            <w:pPr>
              <w:jc w:val="center"/>
              <w:rPr>
                <w:rFonts w:ascii="仿宋" w:hAnsi="仿宋" w:eastAsia="仿宋"/>
                <w:color w:val="auto"/>
              </w:rPr>
            </w:pPr>
            <w:r>
              <w:rPr>
                <w:rFonts w:hint="eastAsia" w:ascii="仿宋" w:hAnsi="仿宋" w:eastAsia="仿宋" w:cs="仿宋_GB2312"/>
                <w:color w:val="auto"/>
                <w:szCs w:val="24"/>
              </w:rPr>
              <w:t>安全软硬件续保服务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r>
              <w:rPr>
                <w:rFonts w:ascii="仿宋" w:hAnsi="仿宋" w:eastAsia="仿宋"/>
                <w:color w:val="auto"/>
              </w:rPr>
              <w:t>7</w:t>
            </w:r>
          </w:p>
        </w:tc>
        <w:tc>
          <w:tcPr>
            <w:tcW w:w="5953" w:type="dxa"/>
            <w:vAlign w:val="center"/>
          </w:tcPr>
          <w:p>
            <w:pPr>
              <w:jc w:val="center"/>
              <w:rPr>
                <w:rFonts w:ascii="仿宋" w:hAnsi="仿宋" w:eastAsia="仿宋"/>
                <w:color w:val="auto"/>
              </w:rPr>
            </w:pPr>
            <w:r>
              <w:rPr>
                <w:rFonts w:hint="eastAsia" w:ascii="仿宋" w:hAnsi="仿宋" w:eastAsia="仿宋"/>
                <w:color w:val="auto"/>
              </w:rPr>
              <w:t>等保测评服务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jc w:val="center"/>
              <w:rPr>
                <w:rFonts w:ascii="仿宋" w:hAnsi="仿宋" w:eastAsia="仿宋"/>
                <w:color w:val="auto"/>
              </w:rPr>
            </w:pPr>
            <w:r>
              <w:rPr>
                <w:rFonts w:ascii="仿宋" w:hAnsi="仿宋" w:eastAsia="仿宋"/>
                <w:color w:val="auto"/>
              </w:rPr>
              <w:t>8</w:t>
            </w:r>
          </w:p>
        </w:tc>
        <w:tc>
          <w:tcPr>
            <w:tcW w:w="5953" w:type="dxa"/>
            <w:vAlign w:val="center"/>
          </w:tcPr>
          <w:p>
            <w:pPr>
              <w:jc w:val="center"/>
              <w:rPr>
                <w:rFonts w:ascii="仿宋" w:hAnsi="仿宋" w:eastAsia="仿宋"/>
                <w:color w:val="auto"/>
              </w:rPr>
            </w:pPr>
            <w:r>
              <w:rPr>
                <w:rFonts w:hint="eastAsia" w:ascii="仿宋" w:hAnsi="仿宋" w:eastAsia="仿宋"/>
                <w:color w:val="auto"/>
              </w:rPr>
              <w:t>其它服务</w:t>
            </w:r>
          </w:p>
        </w:tc>
        <w:tc>
          <w:tcPr>
            <w:tcW w:w="1525" w:type="dxa"/>
            <w:vAlign w:val="center"/>
          </w:tcPr>
          <w:p>
            <w:pPr>
              <w:jc w:val="center"/>
              <w:rPr>
                <w:rFonts w:ascii="仿宋" w:hAnsi="仿宋" w:eastAsia="仿宋"/>
                <w:color w:val="auto"/>
              </w:rPr>
            </w:pPr>
            <w:r>
              <w:rPr>
                <w:rFonts w:hint="eastAsia" w:ascii="仿宋" w:hAnsi="仿宋" w:eastAsia="仿宋"/>
                <w:color w:val="auto"/>
              </w:rPr>
              <w:t>1年</w:t>
            </w:r>
          </w:p>
        </w:tc>
      </w:tr>
      <w:bookmarkEnd w:id="0"/>
      <w:bookmarkEnd w:id="1"/>
    </w:tbl>
    <w:p>
      <w:pPr>
        <w:pStyle w:val="2"/>
        <w:ind w:left="0" w:right="38"/>
        <w:jc w:val="left"/>
        <w:rPr>
          <w:rFonts w:ascii="仿宋" w:hAnsi="仿宋" w:eastAsia="仿宋"/>
          <w:color w:val="auto"/>
        </w:rPr>
      </w:pPr>
      <w:r>
        <w:rPr>
          <w:rFonts w:hint="eastAsia" w:ascii="仿宋" w:hAnsi="仿宋" w:eastAsia="仿宋"/>
          <w:color w:val="auto"/>
        </w:rPr>
        <w:t>技术规格及要求</w:t>
      </w:r>
    </w:p>
    <w:p>
      <w:pPr>
        <w:pStyle w:val="3"/>
        <w:rPr>
          <w:rFonts w:ascii="仿宋" w:hAnsi="仿宋" w:eastAsia="仿宋"/>
          <w:color w:val="auto"/>
        </w:rPr>
      </w:pPr>
      <w:r>
        <w:rPr>
          <w:rFonts w:hint="eastAsia" w:ascii="仿宋" w:hAnsi="仿宋" w:eastAsia="仿宋"/>
          <w:color w:val="auto"/>
        </w:rPr>
        <w:t>数据中心与桌面运行维护服务要求</w:t>
      </w:r>
    </w:p>
    <w:p>
      <w:pPr>
        <w:pStyle w:val="4"/>
        <w:rPr>
          <w:rFonts w:ascii="仿宋" w:hAnsi="仿宋" w:eastAsia="仿宋"/>
          <w:color w:val="auto"/>
        </w:rPr>
      </w:pPr>
      <w:r>
        <w:rPr>
          <w:rFonts w:hint="eastAsia" w:ascii="仿宋" w:hAnsi="仿宋" w:eastAsia="仿宋"/>
          <w:color w:val="auto"/>
        </w:rPr>
        <w:t>维护设备清单</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供应商针对清单设备提供技术支持服务，若硬件设备故障，供应商需及时告知甲方，并提出故障修复意见，由甲方采购备品备件，乙方负责更换。具体设备清单见附件，其中针对OceanStor 2600 V3存储提供硬件维保服务，硬件故障由乙方进行采购与更换。</w:t>
      </w:r>
    </w:p>
    <w:p>
      <w:pPr>
        <w:pStyle w:val="5"/>
        <w:rPr>
          <w:color w:val="auto"/>
        </w:rPr>
      </w:pPr>
      <w:bookmarkStart w:id="2" w:name="_Hlk168399835"/>
      <w:r>
        <w:rPr>
          <w:rFonts w:hint="eastAsia"/>
          <w:color w:val="auto"/>
        </w:rPr>
        <w:t>服务器设备清单</w:t>
      </w:r>
    </w:p>
    <w:tbl>
      <w:tblPr>
        <w:tblStyle w:val="40"/>
        <w:tblW w:w="8466" w:type="dxa"/>
        <w:tblInd w:w="0" w:type="dxa"/>
        <w:tblLayout w:type="fixed"/>
        <w:tblCellMar>
          <w:top w:w="0" w:type="dxa"/>
          <w:left w:w="108" w:type="dxa"/>
          <w:bottom w:w="0" w:type="dxa"/>
          <w:right w:w="108" w:type="dxa"/>
        </w:tblCellMar>
      </w:tblPr>
      <w:tblGrid>
        <w:gridCol w:w="1429"/>
        <w:gridCol w:w="5608"/>
        <w:gridCol w:w="1429"/>
      </w:tblGrid>
      <w:tr>
        <w:tblPrEx>
          <w:tblCellMar>
            <w:top w:w="0" w:type="dxa"/>
            <w:left w:w="108" w:type="dxa"/>
            <w:bottom w:w="0" w:type="dxa"/>
            <w:right w:w="108" w:type="dxa"/>
          </w:tblCellMar>
        </w:tblPrEx>
        <w:trPr>
          <w:trHeight w:val="315" w:hRule="atLeast"/>
        </w:trPr>
        <w:tc>
          <w:tcPr>
            <w:tcW w:w="142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b/>
                <w:bCs/>
                <w:color w:val="auto"/>
                <w:kern w:val="0"/>
                <w:szCs w:val="24"/>
              </w:rPr>
            </w:pPr>
            <w:r>
              <w:rPr>
                <w:rFonts w:hint="eastAsia" w:ascii="仿宋" w:hAnsi="仿宋" w:eastAsia="仿宋" w:cs="宋体"/>
                <w:b/>
                <w:bCs/>
                <w:color w:val="auto"/>
                <w:kern w:val="0"/>
                <w:szCs w:val="24"/>
              </w:rPr>
              <w:t>序号</w:t>
            </w:r>
          </w:p>
        </w:tc>
        <w:tc>
          <w:tcPr>
            <w:tcW w:w="5608" w:type="dxa"/>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b/>
                <w:bCs/>
                <w:color w:val="auto"/>
                <w:kern w:val="0"/>
                <w:szCs w:val="24"/>
              </w:rPr>
            </w:pPr>
            <w:r>
              <w:rPr>
                <w:rFonts w:hint="eastAsia" w:ascii="仿宋" w:hAnsi="仿宋" w:eastAsia="仿宋" w:cs="宋体"/>
                <w:b/>
                <w:bCs/>
                <w:color w:val="auto"/>
                <w:kern w:val="0"/>
                <w:szCs w:val="24"/>
              </w:rPr>
              <w:t>型号</w:t>
            </w:r>
          </w:p>
        </w:tc>
        <w:tc>
          <w:tcPr>
            <w:tcW w:w="1429" w:type="dxa"/>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b/>
                <w:bCs/>
                <w:color w:val="auto"/>
                <w:kern w:val="0"/>
                <w:szCs w:val="24"/>
              </w:rPr>
            </w:pPr>
            <w:r>
              <w:rPr>
                <w:rFonts w:hint="eastAsia" w:ascii="仿宋" w:hAnsi="仿宋" w:eastAsia="仿宋" w:cs="宋体"/>
                <w:b/>
                <w:bCs/>
                <w:color w:val="auto"/>
                <w:kern w:val="0"/>
                <w:szCs w:val="24"/>
              </w:rPr>
              <w:t>数量</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HP DL380G7</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DELL R710</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DELL R710</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HP DL580G7</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NF8460M4</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NF8460M4</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7、</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NF8460M3</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8、</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DELL R920</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9、</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DELL R910</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10、</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DELL R910</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11、</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HP DL580G7</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12、</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联想服务器</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13、</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联想服务器</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14、</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联想服务器</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15、</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华为服务器RH5885 V5</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16、</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华为服务器RH5885 V5</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17、</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华为服务器RH5885 V5</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18、</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华为服务器RH5885 V5</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19、</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20、</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21、</w:t>
            </w:r>
          </w:p>
        </w:tc>
        <w:tc>
          <w:tcPr>
            <w:tcW w:w="5608"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22、</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23、</w:t>
            </w:r>
          </w:p>
        </w:tc>
        <w:tc>
          <w:tcPr>
            <w:tcW w:w="5608"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24、</w:t>
            </w:r>
          </w:p>
        </w:tc>
        <w:tc>
          <w:tcPr>
            <w:tcW w:w="5608"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华为服务器2288H V5</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25、</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NF5270M3</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26、</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IBM x3550M3</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27、</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NF5270M3</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28、</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NF5270M3</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29、</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DELL R710</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30、</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NF5270M4</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31、</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联想ThinkSystem SR860</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32、</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CA认证服务器</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33、</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CA认证服务器</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34、</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H3C服务器</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35、</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安恒蜜罐服务器</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36、</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 xml:space="preserve">华为服务器2288H  </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37、</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 xml:space="preserve">华为服务器2288H  </w:t>
            </w:r>
          </w:p>
        </w:tc>
        <w:tc>
          <w:tcPr>
            <w:tcW w:w="1429"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429" w:type="dxa"/>
            <w:tcBorders>
              <w:top w:val="nil"/>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38、</w:t>
            </w:r>
          </w:p>
        </w:tc>
        <w:tc>
          <w:tcPr>
            <w:tcW w:w="5608"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 xml:space="preserve">华为服务器2288H  </w:t>
            </w:r>
          </w:p>
        </w:tc>
        <w:tc>
          <w:tcPr>
            <w:tcW w:w="1429"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bl>
    <w:p>
      <w:pPr>
        <w:rPr>
          <w:color w:val="auto"/>
        </w:rPr>
      </w:pPr>
    </w:p>
    <w:p>
      <w:pPr>
        <w:pStyle w:val="5"/>
        <w:rPr>
          <w:color w:val="auto"/>
        </w:rPr>
      </w:pPr>
      <w:r>
        <w:rPr>
          <w:rFonts w:hint="eastAsia"/>
          <w:color w:val="auto"/>
        </w:rPr>
        <w:t>其它设备清单</w:t>
      </w:r>
    </w:p>
    <w:tbl>
      <w:tblPr>
        <w:tblStyle w:val="40"/>
        <w:tblW w:w="8466" w:type="dxa"/>
        <w:tblInd w:w="0" w:type="dxa"/>
        <w:tblLayout w:type="fixed"/>
        <w:tblCellMar>
          <w:top w:w="0" w:type="dxa"/>
          <w:left w:w="108" w:type="dxa"/>
          <w:bottom w:w="0" w:type="dxa"/>
          <w:right w:w="108" w:type="dxa"/>
        </w:tblCellMar>
      </w:tblPr>
      <w:tblGrid>
        <w:gridCol w:w="1319"/>
        <w:gridCol w:w="5735"/>
        <w:gridCol w:w="1412"/>
      </w:tblGrid>
      <w:tr>
        <w:tblPrEx>
          <w:tblCellMar>
            <w:top w:w="0" w:type="dxa"/>
            <w:left w:w="108" w:type="dxa"/>
            <w:bottom w:w="0" w:type="dxa"/>
            <w:right w:w="108" w:type="dxa"/>
          </w:tblCellMar>
        </w:tblPrEx>
        <w:trPr>
          <w:trHeight w:val="315" w:hRule="atLeast"/>
        </w:trPr>
        <w:tc>
          <w:tcPr>
            <w:tcW w:w="131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序号</w:t>
            </w:r>
          </w:p>
        </w:tc>
        <w:tc>
          <w:tcPr>
            <w:tcW w:w="5735" w:type="dxa"/>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型号</w:t>
            </w:r>
          </w:p>
        </w:tc>
        <w:tc>
          <w:tcPr>
            <w:tcW w:w="1412" w:type="dxa"/>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数量</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天融信VPN</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深信服AC</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天融信FW</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天融信备用</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天融信FW</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天融信IDP</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7、</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天融信审计（关机）</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8、</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安恒数据库审计</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9、</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安恒WAF</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10、</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天融信存储（关机）</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11、</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天融信服务器区防火墙</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12、</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天融信IDP</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13、</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ZW深信服AD</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14、</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ZW安恒WAF</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15、</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天融信专网FW</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16、</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深信服VPN</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17、</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深信服VPN</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18、</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安恒WAF</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19、</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安恒入侵检测</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20、</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安恒日志审计</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21、</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华为AC</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22、</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华为内外网视频会议互联防火墙</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23、</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天融信堡垒机</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24、</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天融信网闸</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25、</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态势感知</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26、</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安恒数据分析平台</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27、</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北信源准入控制网关BMG-1000</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28、</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安恒EDR</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29、</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绿盟</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30、</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奇安信服务器安全加固系统</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31、</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奇安信服务器安全管理系统</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32、</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信锐</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33、</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安恒蜜罐</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34、</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安恒IDS　</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35、</w:t>
            </w:r>
          </w:p>
        </w:tc>
        <w:tc>
          <w:tcPr>
            <w:tcW w:w="5735" w:type="dxa"/>
            <w:tcBorders>
              <w:top w:val="nil"/>
              <w:left w:val="nil"/>
              <w:bottom w:val="single" w:color="auto" w:sz="4" w:space="0"/>
              <w:right w:val="single" w:color="auto" w:sz="4" w:space="0"/>
            </w:tcBorders>
            <w:shd w:val="clear" w:color="000000" w:fill="FFFFFF"/>
            <w:noWrap/>
            <w:vAlign w:val="bottom"/>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深信服零信任代理网关</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36、</w:t>
            </w:r>
          </w:p>
        </w:tc>
        <w:tc>
          <w:tcPr>
            <w:tcW w:w="5735" w:type="dxa"/>
            <w:tcBorders>
              <w:top w:val="nil"/>
              <w:left w:val="nil"/>
              <w:bottom w:val="single" w:color="auto" w:sz="4" w:space="0"/>
              <w:right w:val="single" w:color="auto" w:sz="4" w:space="0"/>
            </w:tcBorders>
            <w:shd w:val="clear" w:color="000000" w:fill="FFFFFF"/>
            <w:noWrap/>
            <w:vAlign w:val="bottom"/>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深信服零信任控制中心</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37、</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NG-51432</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38、</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TG-A2510</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39、</w:t>
            </w:r>
          </w:p>
        </w:tc>
        <w:tc>
          <w:tcPr>
            <w:tcW w:w="5735"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群晖NAS</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40、</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核酸基地NAS</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41、</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天融信漏扫</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42、</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摩卡运维平台</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43、</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smartping网络质量监控</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44、</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NAS</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45、</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360新天擎</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46、</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MCU主机</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47、</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联想网盘</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48、</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联想网盘后台管理</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49、</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网站防篡改</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50、</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机房环动系统主机</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51、</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科达视讯</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52、</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健康云堡垒机</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53、</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华为服务器RH5885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54、</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华为服务器RH5885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55、</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华为服务器RH5885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56、</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57、</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58、</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59、</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60、</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华为服务器2488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61、</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华为服务器2288H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62、</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华为存储5210 V5</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63、</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浪潮 AS510H</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64、</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DELL MD3600F</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tr>
        <w:tblPrEx>
          <w:tblCellMar>
            <w:top w:w="0" w:type="dxa"/>
            <w:left w:w="108" w:type="dxa"/>
            <w:bottom w:w="0" w:type="dxa"/>
            <w:right w:w="108" w:type="dxa"/>
          </w:tblCellMar>
        </w:tblPrEx>
        <w:trPr>
          <w:trHeight w:val="315" w:hRule="atLeast"/>
        </w:trPr>
        <w:tc>
          <w:tcPr>
            <w:tcW w:w="1319" w:type="dxa"/>
            <w:tcBorders>
              <w:top w:val="nil"/>
              <w:left w:val="single" w:color="auto" w:sz="4" w:space="0"/>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65、</w:t>
            </w:r>
          </w:p>
        </w:tc>
        <w:tc>
          <w:tcPr>
            <w:tcW w:w="5735" w:type="dxa"/>
            <w:tcBorders>
              <w:top w:val="nil"/>
              <w:left w:val="nil"/>
              <w:bottom w:val="single" w:color="auto" w:sz="4" w:space="0"/>
              <w:right w:val="single" w:color="auto" w:sz="4" w:space="0"/>
            </w:tcBorders>
            <w:shd w:val="clear" w:color="000000" w:fill="FFFFFF"/>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华为存储2600 V3</w:t>
            </w:r>
          </w:p>
        </w:tc>
        <w:tc>
          <w:tcPr>
            <w:tcW w:w="1412" w:type="dxa"/>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1台</w:t>
            </w:r>
          </w:p>
        </w:tc>
      </w:tr>
      <w:bookmarkEnd w:id="2"/>
    </w:tbl>
    <w:p>
      <w:pPr>
        <w:pStyle w:val="4"/>
        <w:rPr>
          <w:rFonts w:ascii="仿宋" w:hAnsi="仿宋" w:eastAsia="仿宋"/>
          <w:color w:val="auto"/>
          <w:spacing w:val="5"/>
          <w:szCs w:val="24"/>
        </w:rPr>
      </w:pPr>
      <w:r>
        <w:rPr>
          <w:rFonts w:hint="eastAsia" w:ascii="仿宋" w:hAnsi="仿宋" w:eastAsia="仿宋"/>
          <w:color w:val="auto"/>
          <w:spacing w:val="5"/>
          <w:szCs w:val="24"/>
        </w:rPr>
        <w:t>人员驻场要求</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供应商需提供至少2名人员5*8小时驻场服务，其中1名为数据中心运维服务工程师，另外1名为桌面运维服务工程师，针对市疾控中心本部（马场路）与西区（蔡甸）两个办公地点提供日常运维服务（驻场人员需自备笔记本电脑、打印机、寻线仪等日常维护工具），其维护范围包含桌面、服务器、存储、网络、虚拟化、数据库、视频会议等。同时，提供1名项目经理，</w:t>
      </w:r>
      <w:r>
        <w:rPr>
          <w:rFonts w:ascii="仿宋" w:hAnsi="仿宋" w:eastAsia="仿宋"/>
          <w:color w:val="auto"/>
          <w:spacing w:val="5"/>
          <w:szCs w:val="24"/>
        </w:rPr>
        <w:t>负责对整个服务团队的管理，并定期与</w:t>
      </w:r>
      <w:r>
        <w:rPr>
          <w:rFonts w:hint="eastAsia" w:ascii="仿宋" w:hAnsi="仿宋" w:eastAsia="仿宋"/>
          <w:color w:val="auto"/>
          <w:spacing w:val="5"/>
          <w:szCs w:val="24"/>
        </w:rPr>
        <w:t>甲方</w:t>
      </w:r>
      <w:r>
        <w:rPr>
          <w:rFonts w:ascii="仿宋" w:hAnsi="仿宋" w:eastAsia="仿宋"/>
          <w:color w:val="auto"/>
          <w:spacing w:val="5"/>
          <w:szCs w:val="24"/>
        </w:rPr>
        <w:t>协调沟通，保证服务质量。</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供应商在人员配置需采用部分重叠的方式，以此保证项目实施过程人员和信息的连续性。驻场人员需每天进行日常巡检及配置变更服务，并提供月度和年度巡检报告及优化改善建议。</w:t>
      </w:r>
    </w:p>
    <w:p>
      <w:pPr>
        <w:pStyle w:val="62"/>
        <w:numPr>
          <w:ilvl w:val="0"/>
          <w:numId w:val="5"/>
        </w:numPr>
        <w:ind w:firstLineChars="0"/>
        <w:rPr>
          <w:rFonts w:ascii="仿宋" w:hAnsi="仿宋" w:eastAsia="仿宋"/>
          <w:b/>
          <w:bCs/>
          <w:color w:val="auto"/>
          <w:spacing w:val="5"/>
          <w:szCs w:val="24"/>
        </w:rPr>
      </w:pPr>
      <w:r>
        <w:rPr>
          <w:rFonts w:hint="eastAsia" w:ascii="仿宋" w:hAnsi="仿宋" w:eastAsia="仿宋"/>
          <w:b/>
          <w:bCs/>
          <w:color w:val="auto"/>
          <w:spacing w:val="5"/>
          <w:szCs w:val="24"/>
        </w:rPr>
        <w:t>驻场项目经理职责</w:t>
      </w:r>
    </w:p>
    <w:p>
      <w:pPr>
        <w:tabs>
          <w:tab w:val="left" w:pos="523"/>
        </w:tabs>
        <w:autoSpaceDE w:val="0"/>
        <w:autoSpaceDN w:val="0"/>
        <w:spacing w:before="31" w:line="350" w:lineRule="auto"/>
        <w:ind w:right="220"/>
        <w:jc w:val="left"/>
        <w:rPr>
          <w:rFonts w:ascii="仿宋" w:hAnsi="仿宋" w:eastAsia="仿宋"/>
          <w:color w:val="auto"/>
          <w:spacing w:val="5"/>
          <w:szCs w:val="24"/>
        </w:rPr>
      </w:pPr>
      <w:r>
        <w:rPr>
          <w:rFonts w:ascii="仿宋" w:hAnsi="仿宋" w:eastAsia="仿宋"/>
          <w:color w:val="auto"/>
          <w:spacing w:val="5"/>
          <w:szCs w:val="24"/>
        </w:rPr>
        <w:tab/>
      </w:r>
      <w:r>
        <w:rPr>
          <w:rFonts w:hint="eastAsia" w:ascii="仿宋" w:hAnsi="仿宋" w:eastAsia="仿宋"/>
          <w:color w:val="auto"/>
          <w:spacing w:val="5"/>
          <w:szCs w:val="24"/>
        </w:rPr>
        <w:t>对</w:t>
      </w:r>
      <w:r>
        <w:rPr>
          <w:rFonts w:ascii="仿宋" w:hAnsi="仿宋" w:eastAsia="仿宋"/>
          <w:color w:val="auto"/>
          <w:spacing w:val="5"/>
          <w:szCs w:val="24"/>
        </w:rPr>
        <w:t>现场处理故障</w:t>
      </w:r>
      <w:r>
        <w:rPr>
          <w:rFonts w:hint="eastAsia" w:ascii="仿宋" w:hAnsi="仿宋" w:eastAsia="仿宋"/>
          <w:color w:val="auto"/>
          <w:spacing w:val="5"/>
          <w:szCs w:val="24"/>
        </w:rPr>
        <w:t>人员</w:t>
      </w:r>
      <w:r>
        <w:rPr>
          <w:rFonts w:ascii="仿宋" w:hAnsi="仿宋" w:eastAsia="仿宋"/>
          <w:color w:val="auto"/>
          <w:spacing w:val="5"/>
          <w:szCs w:val="24"/>
        </w:rPr>
        <w:t>进行协商，</w:t>
      </w:r>
      <w:r>
        <w:rPr>
          <w:rFonts w:hint="eastAsia" w:ascii="仿宋" w:hAnsi="仿宋" w:eastAsia="仿宋"/>
          <w:color w:val="auto"/>
          <w:spacing w:val="5"/>
          <w:szCs w:val="24"/>
        </w:rPr>
        <w:t>并</w:t>
      </w:r>
      <w:r>
        <w:rPr>
          <w:rFonts w:ascii="仿宋" w:hAnsi="仿宋" w:eastAsia="仿宋"/>
          <w:color w:val="auto"/>
          <w:spacing w:val="5"/>
          <w:szCs w:val="24"/>
        </w:rPr>
        <w:t>遵守</w:t>
      </w:r>
      <w:r>
        <w:rPr>
          <w:rFonts w:hint="eastAsia" w:ascii="仿宋" w:hAnsi="仿宋" w:eastAsia="仿宋"/>
          <w:color w:val="auto"/>
          <w:spacing w:val="5"/>
          <w:szCs w:val="24"/>
        </w:rPr>
        <w:t>甲方</w:t>
      </w:r>
      <w:r>
        <w:rPr>
          <w:rFonts w:ascii="仿宋" w:hAnsi="仿宋" w:eastAsia="仿宋"/>
          <w:color w:val="auto"/>
          <w:spacing w:val="5"/>
          <w:szCs w:val="24"/>
        </w:rPr>
        <w:t>的各项规章制度。保证服务团队人员充足，队伍稳定</w:t>
      </w:r>
      <w:r>
        <w:rPr>
          <w:rFonts w:hint="eastAsia" w:ascii="仿宋" w:hAnsi="仿宋" w:eastAsia="仿宋"/>
          <w:color w:val="auto"/>
          <w:spacing w:val="5"/>
          <w:szCs w:val="24"/>
        </w:rPr>
        <w:t>。</w:t>
      </w:r>
    </w:p>
    <w:p>
      <w:pPr>
        <w:tabs>
          <w:tab w:val="left" w:pos="523"/>
        </w:tabs>
        <w:autoSpaceDE w:val="0"/>
        <w:autoSpaceDN w:val="0"/>
        <w:spacing w:before="31" w:line="350" w:lineRule="auto"/>
        <w:ind w:right="220"/>
        <w:jc w:val="left"/>
        <w:rPr>
          <w:rFonts w:ascii="仿宋" w:hAnsi="仿宋" w:eastAsia="仿宋"/>
          <w:color w:val="auto"/>
          <w:spacing w:val="5"/>
          <w:szCs w:val="24"/>
        </w:rPr>
      </w:pPr>
      <w:r>
        <w:rPr>
          <w:rFonts w:ascii="仿宋" w:hAnsi="仿宋" w:eastAsia="仿宋"/>
          <w:color w:val="auto"/>
          <w:spacing w:val="5"/>
          <w:szCs w:val="24"/>
        </w:rPr>
        <w:tab/>
      </w:r>
      <w:r>
        <w:rPr>
          <w:rFonts w:hint="eastAsia" w:ascii="仿宋" w:hAnsi="仿宋" w:eastAsia="仿宋"/>
          <w:color w:val="auto"/>
          <w:spacing w:val="5"/>
          <w:szCs w:val="24"/>
        </w:rPr>
        <w:t>每季度召开一次运维团队内部工作会议，分析目前巡检检查情况，巡检中如果发现异常问题，分析异常原因并及时解决问题，记录上报。</w:t>
      </w:r>
    </w:p>
    <w:p>
      <w:pPr>
        <w:tabs>
          <w:tab w:val="left" w:pos="523"/>
        </w:tabs>
        <w:autoSpaceDE w:val="0"/>
        <w:autoSpaceDN w:val="0"/>
        <w:spacing w:before="31" w:line="350" w:lineRule="auto"/>
        <w:ind w:right="220"/>
        <w:jc w:val="left"/>
        <w:rPr>
          <w:rFonts w:ascii="仿宋" w:hAnsi="仿宋" w:eastAsia="仿宋"/>
          <w:color w:val="auto"/>
          <w:spacing w:val="5"/>
          <w:szCs w:val="24"/>
        </w:rPr>
      </w:pPr>
      <w:r>
        <w:rPr>
          <w:rFonts w:ascii="仿宋" w:hAnsi="仿宋" w:eastAsia="仿宋"/>
          <w:color w:val="auto"/>
          <w:spacing w:val="5"/>
          <w:szCs w:val="24"/>
        </w:rPr>
        <w:tab/>
      </w:r>
      <w:r>
        <w:rPr>
          <w:rFonts w:hint="eastAsia" w:ascii="仿宋" w:hAnsi="仿宋" w:eastAsia="仿宋"/>
          <w:color w:val="auto"/>
          <w:spacing w:val="5"/>
          <w:szCs w:val="24"/>
        </w:rPr>
        <w:t>每年总结分析全年设备运行情况、服务统计等内容，并向甲方进行正式的总结性汇报。</w:t>
      </w:r>
    </w:p>
    <w:p>
      <w:pPr>
        <w:pStyle w:val="62"/>
        <w:numPr>
          <w:ilvl w:val="0"/>
          <w:numId w:val="5"/>
        </w:numPr>
        <w:ind w:firstLineChars="0"/>
        <w:rPr>
          <w:rFonts w:ascii="仿宋" w:hAnsi="仿宋" w:eastAsia="仿宋"/>
          <w:b/>
          <w:bCs/>
          <w:color w:val="auto"/>
          <w:spacing w:val="5"/>
          <w:szCs w:val="24"/>
        </w:rPr>
      </w:pPr>
      <w:r>
        <w:rPr>
          <w:rFonts w:hint="eastAsia" w:ascii="仿宋" w:hAnsi="仿宋" w:eastAsia="仿宋"/>
          <w:b/>
          <w:bCs/>
          <w:color w:val="auto"/>
          <w:spacing w:val="5"/>
          <w:szCs w:val="24"/>
        </w:rPr>
        <w:t>驻场运维服务工程师职责</w:t>
      </w:r>
    </w:p>
    <w:p>
      <w:pPr>
        <w:ind w:firstLine="420"/>
        <w:rPr>
          <w:rFonts w:ascii="仿宋" w:hAnsi="仿宋" w:eastAsia="仿宋"/>
          <w:color w:val="auto"/>
          <w:spacing w:val="5"/>
          <w:szCs w:val="24"/>
        </w:rPr>
      </w:pPr>
      <w:r>
        <w:rPr>
          <w:rFonts w:hint="eastAsia" w:ascii="仿宋" w:hAnsi="仿宋" w:eastAsia="仿宋"/>
          <w:color w:val="auto"/>
          <w:spacing w:val="5"/>
          <w:szCs w:val="24"/>
        </w:rPr>
        <w:t>供应商驻场运维服务工程师</w:t>
      </w:r>
      <w:r>
        <w:rPr>
          <w:rFonts w:ascii="仿宋" w:hAnsi="仿宋" w:eastAsia="仿宋"/>
          <w:color w:val="auto"/>
          <w:spacing w:val="5"/>
          <w:szCs w:val="24"/>
        </w:rPr>
        <w:t>负责</w:t>
      </w:r>
      <w:r>
        <w:rPr>
          <w:rFonts w:hint="eastAsia" w:ascii="仿宋" w:hAnsi="仿宋" w:eastAsia="仿宋"/>
          <w:color w:val="auto"/>
          <w:spacing w:val="5"/>
          <w:szCs w:val="24"/>
        </w:rPr>
        <w:t>每天一次数据中心设备运行情况巡检，核查并记录所有设备的运行状况。</w:t>
      </w:r>
    </w:p>
    <w:p>
      <w:pPr>
        <w:ind w:firstLine="420"/>
        <w:rPr>
          <w:rFonts w:ascii="仿宋" w:hAnsi="仿宋" w:eastAsia="仿宋"/>
          <w:color w:val="auto"/>
          <w:spacing w:val="5"/>
          <w:szCs w:val="24"/>
        </w:rPr>
      </w:pPr>
      <w:r>
        <w:rPr>
          <w:rFonts w:hint="eastAsia" w:ascii="仿宋" w:hAnsi="仿宋" w:eastAsia="仿宋"/>
          <w:color w:val="auto"/>
          <w:spacing w:val="5"/>
          <w:szCs w:val="24"/>
        </w:rPr>
        <w:t>每周一次数据中心整体业务系统架构设备巡检，及时消除故障隐患，确保系统健康运行。</w:t>
      </w:r>
    </w:p>
    <w:p>
      <w:pPr>
        <w:ind w:firstLine="420"/>
        <w:rPr>
          <w:rFonts w:ascii="仿宋" w:hAnsi="仿宋" w:eastAsia="仿宋"/>
          <w:color w:val="auto"/>
          <w:spacing w:val="5"/>
          <w:szCs w:val="24"/>
        </w:rPr>
      </w:pPr>
      <w:r>
        <w:rPr>
          <w:rFonts w:hint="eastAsia" w:ascii="仿宋" w:hAnsi="仿宋" w:eastAsia="仿宋"/>
          <w:color w:val="auto"/>
          <w:spacing w:val="5"/>
          <w:szCs w:val="24"/>
        </w:rPr>
        <w:t>每月一次数据中心基础</w:t>
      </w:r>
      <w:r>
        <w:rPr>
          <w:rFonts w:ascii="仿宋" w:hAnsi="仿宋" w:eastAsia="仿宋"/>
          <w:color w:val="auto"/>
          <w:spacing w:val="5"/>
          <w:szCs w:val="24"/>
        </w:rPr>
        <w:t>环境</w:t>
      </w:r>
      <w:r>
        <w:rPr>
          <w:rFonts w:hint="eastAsia" w:ascii="仿宋" w:hAnsi="仿宋" w:eastAsia="仿宋"/>
          <w:color w:val="auto"/>
          <w:spacing w:val="5"/>
          <w:szCs w:val="24"/>
        </w:rPr>
        <w:t>设备巡检，包含</w:t>
      </w:r>
      <w:r>
        <w:rPr>
          <w:rFonts w:ascii="仿宋" w:hAnsi="仿宋" w:eastAsia="仿宋"/>
          <w:color w:val="auto"/>
          <w:spacing w:val="5"/>
          <w:szCs w:val="24"/>
        </w:rPr>
        <w:t>UPS</w:t>
      </w:r>
      <w:r>
        <w:rPr>
          <w:rFonts w:hint="eastAsia" w:ascii="仿宋" w:hAnsi="仿宋" w:eastAsia="仿宋"/>
          <w:color w:val="auto"/>
          <w:spacing w:val="5"/>
          <w:szCs w:val="24"/>
        </w:rPr>
        <w:t>及电池</w:t>
      </w:r>
      <w:r>
        <w:rPr>
          <w:rFonts w:ascii="仿宋" w:hAnsi="仿宋" w:eastAsia="仿宋"/>
          <w:color w:val="auto"/>
          <w:spacing w:val="5"/>
          <w:szCs w:val="24"/>
        </w:rPr>
        <w:t>、精密空调、动</w:t>
      </w:r>
      <w:r>
        <w:rPr>
          <w:rFonts w:hint="eastAsia" w:ascii="仿宋" w:hAnsi="仿宋" w:eastAsia="仿宋"/>
          <w:color w:val="auto"/>
          <w:spacing w:val="5"/>
          <w:szCs w:val="24"/>
        </w:rPr>
        <w:t>环设备</w:t>
      </w:r>
      <w:r>
        <w:rPr>
          <w:rFonts w:ascii="仿宋" w:hAnsi="仿宋" w:eastAsia="仿宋"/>
          <w:color w:val="auto"/>
          <w:spacing w:val="5"/>
          <w:szCs w:val="24"/>
        </w:rPr>
        <w:t>等，</w:t>
      </w:r>
      <w:r>
        <w:rPr>
          <w:rFonts w:hint="eastAsia" w:ascii="仿宋" w:hAnsi="仿宋" w:eastAsia="仿宋"/>
          <w:color w:val="auto"/>
          <w:spacing w:val="5"/>
          <w:szCs w:val="24"/>
        </w:rPr>
        <w:t>及时消除故障隐患，确保系统健康运行。</w:t>
      </w:r>
    </w:p>
    <w:p>
      <w:pPr>
        <w:ind w:firstLine="420"/>
        <w:rPr>
          <w:rFonts w:ascii="仿宋" w:hAnsi="仿宋" w:eastAsia="仿宋"/>
          <w:color w:val="auto"/>
          <w:spacing w:val="5"/>
          <w:szCs w:val="24"/>
        </w:rPr>
      </w:pPr>
      <w:r>
        <w:rPr>
          <w:rFonts w:hint="eastAsia" w:ascii="仿宋" w:hAnsi="仿宋" w:eastAsia="仿宋"/>
          <w:color w:val="auto"/>
          <w:spacing w:val="5"/>
          <w:szCs w:val="24"/>
        </w:rPr>
        <w:t>每季度现场</w:t>
      </w:r>
      <w:r>
        <w:rPr>
          <w:rFonts w:ascii="仿宋" w:hAnsi="仿宋" w:eastAsia="仿宋"/>
          <w:color w:val="auto"/>
          <w:spacing w:val="5"/>
          <w:szCs w:val="24"/>
        </w:rPr>
        <w:t>一次资产盘点，</w:t>
      </w:r>
      <w:r>
        <w:rPr>
          <w:rFonts w:hint="eastAsia" w:ascii="仿宋" w:hAnsi="仿宋" w:eastAsia="仿宋"/>
          <w:color w:val="auto"/>
          <w:spacing w:val="5"/>
          <w:szCs w:val="24"/>
        </w:rPr>
        <w:t>检查所有信息化设备硬件、软件和配置的基本况。</w:t>
      </w:r>
    </w:p>
    <w:p>
      <w:pPr>
        <w:ind w:firstLine="420"/>
        <w:rPr>
          <w:rFonts w:ascii="仿宋" w:hAnsi="仿宋" w:eastAsia="仿宋"/>
          <w:color w:val="auto"/>
          <w:spacing w:val="5"/>
          <w:szCs w:val="24"/>
        </w:rPr>
      </w:pPr>
      <w:r>
        <w:rPr>
          <w:rFonts w:hint="eastAsia" w:ascii="仿宋" w:hAnsi="仿宋" w:eastAsia="仿宋"/>
          <w:color w:val="auto"/>
          <w:spacing w:val="5"/>
          <w:szCs w:val="24"/>
        </w:rPr>
        <w:t>每半年现场一次对信息系统中所有的网络设备、安全设备进行链路检查，及时发现网络链路中的调整，标签标识变更以及物理线路故障隐患。</w:t>
      </w:r>
    </w:p>
    <w:p>
      <w:pPr>
        <w:pStyle w:val="4"/>
        <w:rPr>
          <w:rFonts w:ascii="仿宋" w:hAnsi="仿宋" w:eastAsia="仿宋"/>
          <w:color w:val="auto"/>
        </w:rPr>
      </w:pPr>
      <w:bookmarkStart w:id="3" w:name="_Hlk61366075"/>
      <w:r>
        <w:rPr>
          <w:rFonts w:hint="eastAsia" w:ascii="仿宋" w:hAnsi="仿宋" w:eastAsia="仿宋"/>
          <w:color w:val="auto"/>
        </w:rPr>
        <w:t>响应时间要求</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 xml:space="preserve">供应商需提供 7*24 小时运维服务；若设备出现故障后，需实时响应故障。 </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一级故障服务要求：因软硬件故障，导致业务应用系统停止服务，故障级别定义为一级故障；一级故障发生后，供应商应在接到报修通知后10分钟内与甲方联系，前往现场解决故障，并在</w:t>
      </w:r>
      <w:r>
        <w:rPr>
          <w:rFonts w:ascii="仿宋" w:hAnsi="仿宋" w:eastAsia="仿宋"/>
          <w:color w:val="auto"/>
          <w:spacing w:val="5"/>
          <w:szCs w:val="24"/>
        </w:rPr>
        <w:t>4</w:t>
      </w:r>
      <w:r>
        <w:rPr>
          <w:rFonts w:hint="eastAsia" w:ascii="仿宋" w:hAnsi="仿宋" w:eastAsia="仿宋"/>
          <w:color w:val="auto"/>
          <w:spacing w:val="5"/>
          <w:szCs w:val="24"/>
        </w:rPr>
        <w:t xml:space="preserve">小时内解决。 </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二级故障服务要求：因软硬件故障，存在造成业务停顿，数据面临丢失的风险，故障级别定义为二级故障；二级故障发生后，供应商应在接到报修通知后10分钟内与甲方联系，根据甲方要求和实际情况提供现场或电话支持，并应在</w:t>
      </w:r>
      <w:r>
        <w:rPr>
          <w:rFonts w:ascii="仿宋" w:hAnsi="仿宋" w:eastAsia="仿宋"/>
          <w:color w:val="auto"/>
          <w:spacing w:val="5"/>
          <w:szCs w:val="24"/>
        </w:rPr>
        <w:t>8</w:t>
      </w:r>
      <w:r>
        <w:rPr>
          <w:rFonts w:hint="eastAsia" w:ascii="仿宋" w:hAnsi="仿宋" w:eastAsia="仿宋"/>
          <w:color w:val="auto"/>
          <w:spacing w:val="5"/>
          <w:szCs w:val="24"/>
        </w:rPr>
        <w:t xml:space="preserve">小时内解决故障（不涉及停机）。 </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三级故障服务要求：因软硬件故障，导致业务应用系统不能正常使用，但无业务停顿或性能下将，故障级别定义为三级故障；三级故障发生后，供应商应在接到报修通知后30分钟内与甲方联系，根据甲方要求和实际情况提供现场或电话支持，并应在</w:t>
      </w:r>
      <w:r>
        <w:rPr>
          <w:rFonts w:ascii="仿宋" w:hAnsi="仿宋" w:eastAsia="仿宋"/>
          <w:color w:val="auto"/>
          <w:spacing w:val="5"/>
          <w:szCs w:val="24"/>
        </w:rPr>
        <w:t>12</w:t>
      </w:r>
      <w:r>
        <w:rPr>
          <w:rFonts w:hint="eastAsia" w:ascii="仿宋" w:hAnsi="仿宋" w:eastAsia="仿宋"/>
          <w:color w:val="auto"/>
          <w:spacing w:val="5"/>
          <w:szCs w:val="24"/>
        </w:rPr>
        <w:t>小时内解决故障（不涉及停机）。</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四级故障服务要求：除一级，二级，三级外的故障，均为四级故障；四级故障发生后，供应商应在接到报修通知后 30 分钟内与甲方联系，根据实际情况提供现场或电话支持，并在</w:t>
      </w:r>
      <w:r>
        <w:rPr>
          <w:rFonts w:ascii="仿宋" w:hAnsi="仿宋" w:eastAsia="仿宋"/>
          <w:color w:val="auto"/>
          <w:spacing w:val="5"/>
          <w:szCs w:val="24"/>
        </w:rPr>
        <w:t>24</w:t>
      </w:r>
      <w:r>
        <w:rPr>
          <w:rFonts w:hint="eastAsia" w:ascii="仿宋" w:hAnsi="仿宋" w:eastAsia="仿宋"/>
          <w:color w:val="auto"/>
          <w:spacing w:val="5"/>
          <w:szCs w:val="24"/>
        </w:rPr>
        <w:t>小时内解决故障（不涉及停机）。</w:t>
      </w:r>
    </w:p>
    <w:p>
      <w:pPr>
        <w:pStyle w:val="4"/>
        <w:rPr>
          <w:rFonts w:ascii="仿宋" w:hAnsi="仿宋" w:eastAsia="仿宋"/>
          <w:color w:val="auto"/>
          <w:spacing w:val="5"/>
          <w:szCs w:val="24"/>
        </w:rPr>
      </w:pPr>
      <w:r>
        <w:rPr>
          <w:rFonts w:hint="eastAsia" w:ascii="仿宋" w:hAnsi="仿宋" w:eastAsia="仿宋"/>
          <w:color w:val="auto"/>
          <w:spacing w:val="5"/>
          <w:szCs w:val="24"/>
        </w:rPr>
        <w:t>桌面维护要求</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在服务期内,</w:t>
      </w:r>
      <w:r>
        <w:rPr>
          <w:rFonts w:ascii="仿宋" w:hAnsi="仿宋" w:eastAsia="仿宋"/>
          <w:color w:val="auto"/>
          <w:spacing w:val="5"/>
          <w:szCs w:val="24"/>
        </w:rPr>
        <w:t>其负责维护桌面办公设备主要包括台式计算机、笔记本电脑和打印机等其他外设</w:t>
      </w:r>
      <w:r>
        <w:rPr>
          <w:rFonts w:hint="eastAsia" w:ascii="仿宋" w:hAnsi="仿宋" w:eastAsia="仿宋"/>
          <w:color w:val="auto"/>
          <w:spacing w:val="5"/>
          <w:szCs w:val="24"/>
        </w:rPr>
        <w:t>，以及视频会议设备维护。</w:t>
      </w:r>
    </w:p>
    <w:p>
      <w:pPr>
        <w:ind w:firstLine="500" w:firstLineChars="200"/>
        <w:rPr>
          <w:rFonts w:ascii="仿宋" w:hAnsi="仿宋" w:eastAsia="仿宋"/>
          <w:color w:val="auto"/>
          <w:spacing w:val="5"/>
          <w:szCs w:val="24"/>
        </w:rPr>
      </w:pPr>
      <w:r>
        <w:rPr>
          <w:rFonts w:ascii="仿宋" w:hAnsi="仿宋" w:eastAsia="仿宋"/>
          <w:color w:val="auto"/>
          <w:spacing w:val="5"/>
          <w:szCs w:val="24"/>
        </w:rPr>
        <w:t>桌面系统的设备主要包括</w:t>
      </w:r>
      <w:r>
        <w:rPr>
          <w:rFonts w:hint="eastAsia" w:ascii="仿宋" w:hAnsi="仿宋" w:eastAsia="仿宋"/>
          <w:color w:val="auto"/>
          <w:spacing w:val="5"/>
          <w:szCs w:val="24"/>
        </w:rPr>
        <w:t>市疾控中心本部与西区两个办公地点</w:t>
      </w:r>
      <w:r>
        <w:rPr>
          <w:rFonts w:ascii="仿宋" w:hAnsi="仿宋" w:eastAsia="仿宋"/>
          <w:color w:val="auto"/>
          <w:spacing w:val="5"/>
          <w:szCs w:val="24"/>
        </w:rPr>
        <w:t>的所有 PC 机、笔记本电脑和打印机。负责保证所有桌面设备软件系统的稳定运行，服务内容包括电脑各类故障检测维护、各类外设打印机的故障判断维护、系统软件安装、工具软件安装及维护、电脑升级、各类硬件驱动程序安装、查杀电脑病毒、数据备份，光盘或硬盘备份、办公系统技术支持、桌面级网络故障的判断、小型网络设备安装、设置、检测。</w:t>
      </w:r>
    </w:p>
    <w:p>
      <w:pPr>
        <w:ind w:firstLine="500" w:firstLineChars="200"/>
        <w:rPr>
          <w:rFonts w:ascii="仿宋" w:hAnsi="仿宋" w:eastAsia="仿宋"/>
          <w:color w:val="auto"/>
          <w:spacing w:val="5"/>
          <w:szCs w:val="24"/>
        </w:rPr>
      </w:pPr>
      <w:r>
        <w:rPr>
          <w:rFonts w:ascii="仿宋" w:hAnsi="仿宋" w:eastAsia="仿宋"/>
          <w:color w:val="auto"/>
          <w:spacing w:val="5"/>
          <w:szCs w:val="24"/>
        </w:rPr>
        <w:t>协助甲方进行桌面设备性能检验鉴定，对拟报废设备进行鉴定。</w:t>
      </w:r>
    </w:p>
    <w:p>
      <w:pPr>
        <w:ind w:firstLine="500" w:firstLineChars="200"/>
        <w:rPr>
          <w:rFonts w:ascii="仿宋" w:hAnsi="仿宋" w:eastAsia="仿宋"/>
          <w:color w:val="auto"/>
          <w:spacing w:val="5"/>
          <w:szCs w:val="24"/>
        </w:rPr>
      </w:pPr>
      <w:r>
        <w:rPr>
          <w:rFonts w:ascii="仿宋" w:hAnsi="仿宋" w:eastAsia="仿宋"/>
          <w:color w:val="auto"/>
          <w:spacing w:val="5"/>
          <w:szCs w:val="24"/>
        </w:rPr>
        <w:t>负责</w:t>
      </w:r>
      <w:r>
        <w:rPr>
          <w:rFonts w:hint="eastAsia" w:ascii="仿宋" w:hAnsi="仿宋" w:eastAsia="仿宋"/>
          <w:color w:val="auto"/>
          <w:spacing w:val="5"/>
          <w:szCs w:val="24"/>
        </w:rPr>
        <w:t>甲方大</w:t>
      </w:r>
      <w:r>
        <w:rPr>
          <w:rFonts w:ascii="仿宋" w:hAnsi="仿宋" w:eastAsia="仿宋"/>
          <w:color w:val="auto"/>
          <w:spacing w:val="5"/>
          <w:szCs w:val="24"/>
        </w:rPr>
        <w:t>屏系统、视频会议系统的日常运维，负责重大会议期间的音、视频</w:t>
      </w:r>
      <w:r>
        <w:rPr>
          <w:rFonts w:hint="eastAsia" w:ascii="仿宋" w:hAnsi="仿宋" w:eastAsia="仿宋"/>
          <w:color w:val="auto"/>
          <w:spacing w:val="5"/>
          <w:szCs w:val="24"/>
        </w:rPr>
        <w:t>设备运行保障。</w:t>
      </w:r>
    </w:p>
    <w:p>
      <w:pPr>
        <w:pStyle w:val="4"/>
        <w:rPr>
          <w:rFonts w:ascii="仿宋" w:hAnsi="仿宋" w:eastAsia="仿宋"/>
          <w:color w:val="auto"/>
          <w:spacing w:val="5"/>
          <w:szCs w:val="24"/>
        </w:rPr>
      </w:pPr>
      <w:r>
        <w:rPr>
          <w:rFonts w:hint="eastAsia" w:ascii="仿宋" w:hAnsi="仿宋" w:eastAsia="仿宋"/>
          <w:color w:val="auto"/>
          <w:spacing w:val="5"/>
          <w:szCs w:val="24"/>
        </w:rPr>
        <w:t>服务器维护要求</w:t>
      </w:r>
    </w:p>
    <w:p>
      <w:pPr>
        <w:ind w:firstLine="480" w:firstLineChars="200"/>
        <w:jc w:val="left"/>
        <w:rPr>
          <w:rFonts w:ascii="仿宋" w:hAnsi="仿宋" w:eastAsia="仿宋"/>
          <w:color w:val="auto"/>
        </w:rPr>
      </w:pPr>
      <w:r>
        <w:rPr>
          <w:rFonts w:hint="eastAsia" w:ascii="仿宋" w:hAnsi="仿宋" w:eastAsia="仿宋"/>
          <w:color w:val="auto"/>
        </w:rPr>
        <w:t>在服务期内,要求驻场服务工程师每天通过巡检方式对现有服务器的状态进行定期检查。设备的状态检查分为硬件状态检查和软件状态检查。其中硬件状态检查主要检查设备的指示灯、供电系统、连接线缆、散热系统、工作环境温湿度等；软件状态检查主要检查设备的CPU使用率、内存使用率、网络带宽使用率、网络延迟、网络连通性、流畅性等。若发现异常现场，将及时进行记录并向甲方提出解决方案。</w:t>
      </w:r>
    </w:p>
    <w:p>
      <w:pPr>
        <w:ind w:firstLine="480" w:firstLineChars="200"/>
        <w:jc w:val="left"/>
        <w:rPr>
          <w:rFonts w:ascii="仿宋" w:hAnsi="仿宋" w:eastAsia="仿宋"/>
          <w:color w:val="auto"/>
        </w:rPr>
      </w:pPr>
      <w:r>
        <w:rPr>
          <w:rFonts w:hint="eastAsia" w:ascii="仿宋" w:hAnsi="仿宋" w:eastAsia="仿宋"/>
          <w:color w:val="auto"/>
        </w:rPr>
        <w:t>通过日常巡检工作如果发现服务器系统出现了软件故障，负责排查和处理，并将故障排查、处理结果进行记录，提交给甲方相关人员。若为</w:t>
      </w:r>
      <w:bookmarkStart w:id="4" w:name="_Toc5094"/>
      <w:bookmarkStart w:id="5" w:name="_Toc500509398"/>
      <w:r>
        <w:rPr>
          <w:rFonts w:hint="eastAsia" w:ascii="仿宋" w:hAnsi="仿宋" w:eastAsia="仿宋"/>
          <w:color w:val="auto"/>
        </w:rPr>
        <w:t>主机设备的硬件故障，巡检人员需告知甲方，并提出故障修复意见。具体服务内容如下：</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每天通过巡检方式对现有服务器的运行状态、补丁升级、病毒库升级、性能监测检查及日志分析，以及服务器进程、服务、磁盘性能等监控及检查。</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根据需要完成服务器的上架、系统安装、安全加固、网络连通基本服务。</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制定应用服务上线流程规范，规定应用部署的位置及命名。</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定期对维护中产生的安全事故进行阶段性总结，提出安全优化方案及实施计划并进行实施。</w:t>
      </w:r>
    </w:p>
    <w:p>
      <w:pPr>
        <w:pStyle w:val="4"/>
        <w:rPr>
          <w:rFonts w:ascii="仿宋" w:hAnsi="仿宋" w:eastAsia="仿宋"/>
          <w:color w:val="auto"/>
          <w:spacing w:val="5"/>
          <w:szCs w:val="24"/>
        </w:rPr>
      </w:pPr>
      <w:bookmarkStart w:id="6" w:name="_Toc5226"/>
      <w:bookmarkStart w:id="7" w:name="_Toc56757612"/>
      <w:bookmarkStart w:id="8" w:name="_Toc12494"/>
      <w:bookmarkStart w:id="9" w:name="_Toc23492"/>
      <w:bookmarkStart w:id="10" w:name="_Toc500509399"/>
      <w:bookmarkStart w:id="11" w:name="_Toc500880576"/>
      <w:r>
        <w:rPr>
          <w:rFonts w:hint="eastAsia" w:ascii="仿宋" w:hAnsi="仿宋" w:eastAsia="仿宋"/>
          <w:color w:val="auto"/>
          <w:spacing w:val="5"/>
          <w:szCs w:val="24"/>
        </w:rPr>
        <w:t>存储</w:t>
      </w:r>
      <w:bookmarkEnd w:id="6"/>
      <w:bookmarkEnd w:id="7"/>
      <w:bookmarkEnd w:id="8"/>
      <w:bookmarkEnd w:id="9"/>
      <w:bookmarkEnd w:id="10"/>
      <w:bookmarkEnd w:id="11"/>
      <w:r>
        <w:rPr>
          <w:rFonts w:hint="eastAsia" w:ascii="仿宋" w:hAnsi="仿宋" w:eastAsia="仿宋"/>
          <w:color w:val="auto"/>
          <w:spacing w:val="5"/>
          <w:szCs w:val="24"/>
        </w:rPr>
        <w:t>维护要求</w:t>
      </w:r>
    </w:p>
    <w:p>
      <w:pPr>
        <w:ind w:firstLine="480" w:firstLineChars="200"/>
        <w:jc w:val="left"/>
        <w:rPr>
          <w:rFonts w:ascii="仿宋" w:hAnsi="仿宋" w:eastAsia="仿宋"/>
          <w:color w:val="auto"/>
        </w:rPr>
      </w:pPr>
      <w:r>
        <w:rPr>
          <w:rFonts w:hint="eastAsia" w:ascii="仿宋" w:hAnsi="仿宋" w:eastAsia="仿宋"/>
          <w:color w:val="auto"/>
        </w:rPr>
        <w:t>在服务期内,要求驻场服务工程师定期检查存储系统各设备的硬件运行状态，软件运行状态，数据备份情况等，提出符合业务需求的备份方案与计划，并定期对操作系统、目录文件、数据库、应用系统等数据进行增量和全量备份，定期利用备份数据完成数据恢复测试工作，确保系统及数据的信息安全。具体服务内容如下：</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每日对存储硬件状态进行检查，确保存储硬件工作正常。</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通过分析存储空间的使用情况，结合业务的实际情况，分析数据存储趋势。</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结合业务的实际情况，制订存储备份及恢复策略。</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通过对存储设备的任务状态检查，检查备份任务是否成功完成、在备份的过程中是否存在相关告警信息等。</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实时监控备份存储介质的空间状态，根据实际情况对备份任务进行调整，使存储备份空间合理利用。</w:t>
      </w:r>
    </w:p>
    <w:p>
      <w:pPr>
        <w:numPr>
          <w:ilvl w:val="0"/>
          <w:numId w:val="6"/>
        </w:numPr>
        <w:ind w:left="0" w:firstLine="480" w:firstLineChars="200"/>
        <w:jc w:val="left"/>
        <w:rPr>
          <w:rFonts w:ascii="仿宋" w:hAnsi="仿宋" w:eastAsia="仿宋"/>
          <w:color w:val="auto"/>
        </w:rPr>
      </w:pPr>
      <w:r>
        <w:rPr>
          <w:rFonts w:hint="eastAsia" w:ascii="仿宋" w:hAnsi="仿宋" w:eastAsia="仿宋"/>
          <w:color w:val="auto"/>
        </w:rPr>
        <w:t>结合备份状态对备份软件及备份介质进行维护管理，使设备硬件状态工作正常。</w:t>
      </w:r>
    </w:p>
    <w:p>
      <w:pPr>
        <w:ind w:firstLine="480" w:firstLineChars="200"/>
        <w:rPr>
          <w:rFonts w:ascii="仿宋" w:hAnsi="仿宋" w:eastAsia="仿宋"/>
          <w:color w:val="auto"/>
          <w:spacing w:val="5"/>
          <w:szCs w:val="24"/>
        </w:rPr>
      </w:pPr>
      <w:r>
        <w:rPr>
          <w:rFonts w:hint="eastAsia" w:ascii="仿宋" w:hAnsi="仿宋" w:eastAsia="仿宋"/>
          <w:color w:val="auto"/>
        </w:rPr>
        <w:t>当业务数据出现丢失、损坏时，配合业务厂商进行数据的恢复操作。</w:t>
      </w:r>
    </w:p>
    <w:p>
      <w:pPr>
        <w:pStyle w:val="4"/>
        <w:rPr>
          <w:rFonts w:ascii="仿宋" w:hAnsi="仿宋" w:eastAsia="仿宋"/>
          <w:color w:val="auto"/>
        </w:rPr>
      </w:pPr>
      <w:r>
        <w:rPr>
          <w:rFonts w:hint="eastAsia" w:ascii="仿宋" w:hAnsi="仿宋" w:eastAsia="仿宋"/>
          <w:color w:val="auto"/>
        </w:rPr>
        <w:t>网络维护要求</w:t>
      </w:r>
    </w:p>
    <w:p>
      <w:pPr>
        <w:ind w:firstLine="480" w:firstLineChars="200"/>
        <w:jc w:val="left"/>
        <w:rPr>
          <w:rFonts w:ascii="仿宋" w:hAnsi="仿宋" w:eastAsia="仿宋"/>
          <w:color w:val="auto"/>
        </w:rPr>
      </w:pPr>
      <w:r>
        <w:rPr>
          <w:rFonts w:hint="eastAsia" w:ascii="仿宋" w:hAnsi="仿宋" w:eastAsia="仿宋"/>
          <w:color w:val="auto"/>
        </w:rPr>
        <w:t>在服务期内,要求驻场服务工程师通过对网络现状的梳理，对现有网络设备严格按照相应的规范（比如，设备上架安装规范、系统命名规则、接口描述、安全策略配置、密码复杂要求等）。同时，在每一个在用的物理接口，当接口连接发生变更时及时更改描述信息，确保描述信息的真实、准确，方便后期线路的维护及故障的排除。</w:t>
      </w:r>
    </w:p>
    <w:p>
      <w:pPr>
        <w:ind w:firstLine="480" w:firstLineChars="200"/>
        <w:jc w:val="left"/>
        <w:rPr>
          <w:rFonts w:ascii="仿宋" w:hAnsi="仿宋" w:eastAsia="仿宋"/>
          <w:color w:val="auto"/>
        </w:rPr>
      </w:pPr>
      <w:r>
        <w:rPr>
          <w:rFonts w:hint="eastAsia" w:ascii="仿宋" w:hAnsi="仿宋" w:eastAsia="仿宋"/>
          <w:color w:val="auto"/>
        </w:rPr>
        <w:t>在网络设备投入使用之后，对主要配置进行备份。通过之前备案的配置与网络设备当前的配置进行对比，查看设备配置所发生的变化。每周定期或发生变更时对网络设备配置文件备份一次。</w:t>
      </w:r>
    </w:p>
    <w:p>
      <w:pPr>
        <w:ind w:firstLine="480" w:firstLineChars="200"/>
        <w:jc w:val="left"/>
        <w:rPr>
          <w:rFonts w:ascii="仿宋" w:hAnsi="仿宋" w:eastAsia="仿宋"/>
          <w:color w:val="auto"/>
        </w:rPr>
      </w:pPr>
      <w:r>
        <w:rPr>
          <w:rFonts w:hint="eastAsia" w:ascii="仿宋" w:hAnsi="仿宋" w:eastAsia="仿宋"/>
          <w:color w:val="auto"/>
        </w:rPr>
        <w:t>在日常维护期间，通过技术手段对网络发生的故障，包括链路、设备故障、网络安全系统问题等要进行及时判断和响应，快速处理，确保网络运转正常。</w:t>
      </w:r>
    </w:p>
    <w:p>
      <w:pPr>
        <w:ind w:firstLine="480" w:firstLineChars="200"/>
        <w:jc w:val="left"/>
        <w:rPr>
          <w:rFonts w:ascii="仿宋" w:hAnsi="仿宋" w:eastAsia="仿宋"/>
          <w:color w:val="auto"/>
        </w:rPr>
      </w:pPr>
      <w:r>
        <w:rPr>
          <w:rFonts w:hint="eastAsia" w:ascii="仿宋" w:hAnsi="仿宋" w:eastAsia="仿宋"/>
          <w:color w:val="auto"/>
        </w:rPr>
        <w:t>当异常发生时，通过对网络和安全设备的日志进行分析找出可能存在的隐患，提供预警，并协助及时解决，预防可能发生的网络故障。</w:t>
      </w:r>
    </w:p>
    <w:bookmarkEnd w:id="3"/>
    <w:bookmarkEnd w:id="4"/>
    <w:bookmarkEnd w:id="5"/>
    <w:p>
      <w:pPr>
        <w:pStyle w:val="4"/>
        <w:rPr>
          <w:rFonts w:ascii="仿宋" w:hAnsi="仿宋" w:eastAsia="仿宋"/>
          <w:color w:val="auto"/>
        </w:rPr>
      </w:pPr>
      <w:r>
        <w:rPr>
          <w:rFonts w:hint="eastAsia" w:ascii="仿宋" w:hAnsi="仿宋" w:eastAsia="仿宋"/>
          <w:color w:val="auto"/>
        </w:rPr>
        <w:t>虚拟化维护要求</w:t>
      </w:r>
    </w:p>
    <w:p>
      <w:pPr>
        <w:pStyle w:val="5"/>
        <w:rPr>
          <w:rFonts w:ascii="仿宋" w:hAnsi="仿宋" w:eastAsia="仿宋"/>
          <w:color w:val="auto"/>
        </w:rPr>
      </w:pPr>
      <w:r>
        <w:rPr>
          <w:rFonts w:hint="eastAsia" w:ascii="仿宋" w:hAnsi="仿宋" w:eastAsia="仿宋"/>
          <w:color w:val="auto"/>
        </w:rPr>
        <w:t>日常维护</w:t>
      </w:r>
    </w:p>
    <w:p>
      <w:pPr>
        <w:ind w:firstLine="480" w:firstLineChars="200"/>
        <w:rPr>
          <w:rFonts w:ascii="仿宋" w:hAnsi="仿宋" w:eastAsia="仿宋" w:cs="宋体"/>
          <w:color w:val="auto"/>
          <w:szCs w:val="24"/>
        </w:rPr>
      </w:pPr>
      <w:r>
        <w:rPr>
          <w:rFonts w:hint="eastAsia" w:ascii="仿宋" w:hAnsi="仿宋" w:eastAsia="仿宋" w:cs="宋体"/>
          <w:color w:val="auto"/>
          <w:szCs w:val="24"/>
        </w:rPr>
        <w:t>供应商需提供虚拟化平台的日常运维服务，服务内容主要包含：月度巡检、系统调试及优化、权限管理、告警信息确认与处理、架构调整等。</w:t>
      </w:r>
    </w:p>
    <w:p>
      <w:pPr>
        <w:pStyle w:val="5"/>
        <w:rPr>
          <w:rFonts w:ascii="仿宋" w:hAnsi="仿宋" w:eastAsia="仿宋"/>
          <w:color w:val="auto"/>
        </w:rPr>
      </w:pPr>
      <w:r>
        <w:rPr>
          <w:rFonts w:hint="eastAsia" w:ascii="仿宋" w:hAnsi="仿宋" w:eastAsia="仿宋"/>
          <w:color w:val="auto"/>
        </w:rPr>
        <w:t>月度巡检</w:t>
      </w:r>
    </w:p>
    <w:p>
      <w:pPr>
        <w:ind w:firstLine="480" w:firstLineChars="200"/>
        <w:rPr>
          <w:rFonts w:ascii="仿宋" w:hAnsi="仿宋" w:eastAsia="仿宋" w:cs="宋体"/>
          <w:color w:val="auto"/>
          <w:szCs w:val="24"/>
        </w:rPr>
      </w:pPr>
      <w:r>
        <w:rPr>
          <w:rFonts w:hint="eastAsia" w:ascii="仿宋" w:hAnsi="仿宋" w:eastAsia="仿宋" w:cs="宋体"/>
          <w:color w:val="auto"/>
          <w:szCs w:val="24"/>
        </w:rPr>
        <w:t>每月度（巡检方式分为现场或通过远程的方式），针对虚拟化平台进行巡检。巡检内容包括：</w:t>
      </w:r>
    </w:p>
    <w:p>
      <w:pPr>
        <w:ind w:firstLine="480" w:firstLineChars="200"/>
        <w:rPr>
          <w:rFonts w:ascii="仿宋" w:hAnsi="仿宋" w:eastAsia="仿宋" w:cs="宋体"/>
          <w:color w:val="auto"/>
          <w:szCs w:val="24"/>
        </w:rPr>
      </w:pPr>
      <w:r>
        <w:rPr>
          <w:rFonts w:hint="eastAsia" w:ascii="仿宋" w:hAnsi="仿宋" w:eastAsia="仿宋" w:cs="宋体"/>
          <w:color w:val="auto"/>
          <w:szCs w:val="24"/>
        </w:rPr>
        <w:t>平台整体响应情况、告警信息处理（非红标告警）、日志收集、硬件设备运行情况、虚拟机部署情况、资源使用情况、虚拟机操作记录、人员登录情况、管理员权限分配情况等。每次巡检完毕后的五个工作日内提供详细的巡检报告，报告包括CPU、内存、磁盘（存储）、告警、备份等各项指标的详细参数。并针对每次巡检结果给出合理化的调整意见（如出现需要调整的情况）。如有必要进行优化调整，则还会出具具体的调整方案，并双方协调具体的优化实施事宜。</w:t>
      </w:r>
    </w:p>
    <w:p>
      <w:pPr>
        <w:pStyle w:val="5"/>
        <w:rPr>
          <w:rFonts w:ascii="仿宋" w:hAnsi="仿宋" w:eastAsia="仿宋"/>
          <w:color w:val="auto"/>
        </w:rPr>
      </w:pPr>
      <w:r>
        <w:rPr>
          <w:rFonts w:hint="eastAsia" w:ascii="仿宋" w:hAnsi="仿宋" w:eastAsia="仿宋"/>
          <w:color w:val="auto"/>
        </w:rPr>
        <w:t>系统调试与优化</w:t>
      </w:r>
    </w:p>
    <w:p>
      <w:pPr>
        <w:ind w:firstLine="480" w:firstLineChars="200"/>
        <w:rPr>
          <w:rFonts w:ascii="仿宋" w:hAnsi="仿宋" w:eastAsia="仿宋" w:cs="宋体"/>
          <w:color w:val="auto"/>
          <w:szCs w:val="24"/>
        </w:rPr>
      </w:pPr>
      <w:r>
        <w:rPr>
          <w:rFonts w:hint="eastAsia" w:ascii="仿宋" w:hAnsi="仿宋" w:eastAsia="仿宋" w:cs="宋体"/>
          <w:color w:val="auto"/>
          <w:szCs w:val="24"/>
        </w:rPr>
        <w:t>供应商需协助甲方对新系统的上线、虚拟机的资源调整、网络环境的调整进行配合。新系统上线，供应商需协助甲方按要求建立新虚拟机。针对在使用的虚拟机，调整其资源。例如内存、磁盘空间、CPU等。整体网络结构需要调整，供应商需进行技术协助，保证在网络调整期间虚拟化平台能够正常运行，不影响业务应用。</w:t>
      </w:r>
    </w:p>
    <w:p>
      <w:pPr>
        <w:pStyle w:val="5"/>
        <w:rPr>
          <w:rFonts w:ascii="仿宋" w:hAnsi="仿宋" w:eastAsia="仿宋"/>
          <w:color w:val="auto"/>
        </w:rPr>
      </w:pPr>
      <w:r>
        <w:rPr>
          <w:rFonts w:hint="eastAsia" w:ascii="仿宋" w:hAnsi="仿宋" w:eastAsia="仿宋"/>
          <w:color w:val="auto"/>
        </w:rPr>
        <w:t>权限管理</w:t>
      </w:r>
    </w:p>
    <w:p>
      <w:pPr>
        <w:ind w:firstLine="480" w:firstLineChars="200"/>
        <w:rPr>
          <w:rFonts w:ascii="仿宋" w:hAnsi="仿宋" w:eastAsia="仿宋" w:cs="宋体"/>
          <w:color w:val="auto"/>
          <w:szCs w:val="24"/>
        </w:rPr>
      </w:pPr>
      <w:r>
        <w:rPr>
          <w:rFonts w:hint="eastAsia" w:ascii="仿宋" w:hAnsi="仿宋" w:eastAsia="仿宋" w:cs="宋体"/>
          <w:color w:val="auto"/>
          <w:szCs w:val="24"/>
        </w:rPr>
        <w:t>从安全的角度出发，供应商配合制定虚拟化平台的安全管理办法。严格管理登录到虚拟化平台的账号以及对应的权限。其作用就是最大限度的保障虚拟化平台的稳定性与数据的安全。</w:t>
      </w:r>
    </w:p>
    <w:p>
      <w:pPr>
        <w:pStyle w:val="5"/>
        <w:rPr>
          <w:rFonts w:ascii="仿宋" w:hAnsi="仿宋" w:eastAsia="仿宋"/>
          <w:color w:val="auto"/>
        </w:rPr>
      </w:pPr>
      <w:r>
        <w:rPr>
          <w:rFonts w:hint="eastAsia" w:ascii="仿宋" w:hAnsi="仿宋" w:eastAsia="仿宋"/>
          <w:color w:val="auto"/>
        </w:rPr>
        <w:t>告警信息确认与处理</w:t>
      </w:r>
    </w:p>
    <w:p>
      <w:pPr>
        <w:ind w:firstLine="480" w:firstLineChars="200"/>
        <w:rPr>
          <w:rFonts w:ascii="仿宋" w:hAnsi="仿宋" w:eastAsia="仿宋" w:cs="宋体"/>
          <w:color w:val="auto"/>
          <w:szCs w:val="24"/>
        </w:rPr>
      </w:pPr>
      <w:r>
        <w:rPr>
          <w:rFonts w:hint="eastAsia" w:ascii="仿宋" w:hAnsi="仿宋" w:eastAsia="仿宋" w:cs="宋体"/>
          <w:color w:val="auto"/>
          <w:szCs w:val="24"/>
        </w:rPr>
        <w:t>非事故类告警供应商可在月度巡检时解决与处理。对于红色的紧急情况告警，供应商必须启动应急事故预案，在第一时间内解决。</w:t>
      </w:r>
    </w:p>
    <w:p>
      <w:pPr>
        <w:pStyle w:val="5"/>
        <w:rPr>
          <w:rFonts w:ascii="仿宋" w:hAnsi="仿宋" w:eastAsia="仿宋"/>
          <w:color w:val="auto"/>
        </w:rPr>
      </w:pPr>
      <w:r>
        <w:rPr>
          <w:rFonts w:hint="eastAsia" w:ascii="仿宋" w:hAnsi="仿宋" w:eastAsia="仿宋"/>
          <w:color w:val="auto"/>
        </w:rPr>
        <w:t>架构调整</w:t>
      </w:r>
    </w:p>
    <w:p>
      <w:pPr>
        <w:ind w:firstLine="480" w:firstLineChars="200"/>
        <w:rPr>
          <w:rFonts w:ascii="仿宋" w:hAnsi="仿宋" w:eastAsia="仿宋" w:cs="宋体"/>
          <w:color w:val="auto"/>
          <w:szCs w:val="24"/>
        </w:rPr>
      </w:pPr>
      <w:r>
        <w:rPr>
          <w:rFonts w:hint="eastAsia" w:ascii="仿宋" w:hAnsi="仿宋" w:eastAsia="仿宋" w:cs="宋体"/>
          <w:color w:val="auto"/>
          <w:szCs w:val="24"/>
        </w:rPr>
        <w:t>在运维合同有效期内，供应商需针对现有的虚拟化平台架构进行整体评估。如果发现架构中存在影响虚拟化平台稳定性的设计，供应商需提出修改意见。如果需要进行整改，供应商都将配合进行调整。调整期间虚拟化平台持续运行且运行正常。</w:t>
      </w:r>
    </w:p>
    <w:p>
      <w:pPr>
        <w:pStyle w:val="4"/>
        <w:rPr>
          <w:rFonts w:ascii="仿宋" w:hAnsi="仿宋" w:eastAsia="仿宋"/>
          <w:color w:val="auto"/>
        </w:rPr>
      </w:pPr>
      <w:r>
        <w:rPr>
          <w:rFonts w:hint="eastAsia" w:ascii="仿宋" w:hAnsi="仿宋" w:eastAsia="仿宋"/>
          <w:color w:val="auto"/>
        </w:rPr>
        <w:t>数据库维护服务要求</w:t>
      </w:r>
    </w:p>
    <w:p>
      <w:pPr>
        <w:ind w:firstLine="420"/>
        <w:rPr>
          <w:rFonts w:ascii="仿宋" w:hAnsi="仿宋" w:eastAsia="仿宋"/>
          <w:color w:val="auto"/>
        </w:rPr>
      </w:pPr>
      <w:r>
        <w:rPr>
          <w:rFonts w:hint="eastAsia" w:ascii="仿宋" w:hAnsi="仿宋" w:eastAsia="仿宋"/>
          <w:color w:val="auto"/>
        </w:rPr>
        <w:t>针对甲方核心数据库进行总体设计与规划，并每</w:t>
      </w:r>
      <w:r>
        <w:rPr>
          <w:rFonts w:hint="eastAsia" w:ascii="仿宋" w:hAnsi="仿宋" w:eastAsia="仿宋" w:cs="宋体"/>
          <w:color w:val="auto"/>
          <w:szCs w:val="24"/>
        </w:rPr>
        <w:t>月度</w:t>
      </w:r>
      <w:r>
        <w:rPr>
          <w:rFonts w:hint="eastAsia" w:ascii="仿宋" w:hAnsi="仿宋" w:eastAsia="仿宋"/>
          <w:color w:val="auto"/>
        </w:rPr>
        <w:t>进行健康状况检查，协助进行应用测试等服务，整体要求如下：</w:t>
      </w:r>
    </w:p>
    <w:p>
      <w:pPr>
        <w:pStyle w:val="5"/>
        <w:rPr>
          <w:rFonts w:ascii="仿宋" w:hAnsi="仿宋" w:eastAsia="仿宋"/>
          <w:color w:val="auto"/>
        </w:rPr>
      </w:pPr>
      <w:r>
        <w:rPr>
          <w:rFonts w:hint="eastAsia" w:ascii="仿宋" w:hAnsi="仿宋" w:eastAsia="仿宋"/>
          <w:color w:val="auto"/>
        </w:rPr>
        <w:t>巡检服务内容</w:t>
      </w:r>
    </w:p>
    <w:p>
      <w:pPr>
        <w:numPr>
          <w:ilvl w:val="0"/>
          <w:numId w:val="7"/>
        </w:numPr>
        <w:spacing w:line="440" w:lineRule="exact"/>
        <w:rPr>
          <w:rFonts w:ascii="仿宋" w:hAnsi="仿宋" w:eastAsia="仿宋" w:cs="仿宋"/>
          <w:color w:val="auto"/>
          <w:szCs w:val="28"/>
        </w:rPr>
      </w:pPr>
      <w:r>
        <w:rPr>
          <w:rFonts w:hint="eastAsia" w:ascii="仿宋" w:hAnsi="仿宋" w:eastAsia="仿宋" w:cs="仿宋"/>
          <w:color w:val="auto"/>
          <w:szCs w:val="28"/>
        </w:rPr>
        <w:t>针对目前甲方核心数据库提供运维服务，每</w:t>
      </w:r>
      <w:r>
        <w:rPr>
          <w:rFonts w:hint="eastAsia" w:ascii="仿宋" w:hAnsi="仿宋" w:eastAsia="仿宋" w:cs="宋体"/>
          <w:color w:val="auto"/>
          <w:szCs w:val="24"/>
        </w:rPr>
        <w:t>月度</w:t>
      </w:r>
      <w:r>
        <w:rPr>
          <w:rFonts w:hint="eastAsia" w:ascii="仿宋" w:hAnsi="仿宋" w:eastAsia="仿宋" w:cs="仿宋"/>
          <w:color w:val="auto"/>
          <w:szCs w:val="28"/>
        </w:rPr>
        <w:t>定期进行巡检，内容包括：</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定位数据库当前的运作水平；</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分析数据库的规划与配置，并给出合理化建议；</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分析数据库的资源使用情况，并给出合理化建议；</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分析数据库的安全性，并给出合理化建议；</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分析数据库的可靠性，并给出合理化建议；</w:t>
      </w:r>
    </w:p>
    <w:p>
      <w:pPr>
        <w:numPr>
          <w:ilvl w:val="0"/>
          <w:numId w:val="7"/>
        </w:numPr>
        <w:spacing w:line="440" w:lineRule="exact"/>
        <w:rPr>
          <w:rFonts w:ascii="仿宋" w:hAnsi="仿宋" w:eastAsia="仿宋" w:cs="仿宋"/>
          <w:color w:val="auto"/>
          <w:szCs w:val="28"/>
        </w:rPr>
      </w:pPr>
      <w:r>
        <w:rPr>
          <w:rFonts w:hint="eastAsia" w:ascii="仿宋" w:hAnsi="仿宋" w:eastAsia="仿宋" w:cs="仿宋"/>
          <w:color w:val="auto"/>
          <w:szCs w:val="28"/>
        </w:rPr>
        <w:t>每次例行的预防性维护后，由供应商工程师提交预防性维护报告，并由甲方人员确认签字</w:t>
      </w:r>
    </w:p>
    <w:p>
      <w:pPr>
        <w:numPr>
          <w:ilvl w:val="0"/>
          <w:numId w:val="7"/>
        </w:numPr>
        <w:spacing w:line="440" w:lineRule="exact"/>
        <w:rPr>
          <w:rFonts w:ascii="仿宋" w:hAnsi="仿宋" w:eastAsia="仿宋" w:cs="仿宋"/>
          <w:color w:val="auto"/>
          <w:szCs w:val="28"/>
        </w:rPr>
      </w:pPr>
      <w:r>
        <w:rPr>
          <w:rFonts w:hint="eastAsia" w:ascii="仿宋" w:hAnsi="仿宋" w:eastAsia="仿宋" w:cs="仿宋"/>
          <w:color w:val="auto"/>
          <w:szCs w:val="28"/>
        </w:rPr>
        <w:t>每月度针对甲方正在运行的数据库提交巡检报告；</w:t>
      </w:r>
    </w:p>
    <w:p>
      <w:pPr>
        <w:numPr>
          <w:ilvl w:val="0"/>
          <w:numId w:val="7"/>
        </w:numPr>
        <w:spacing w:line="440" w:lineRule="exact"/>
        <w:rPr>
          <w:rFonts w:ascii="仿宋" w:hAnsi="仿宋" w:eastAsia="仿宋" w:cs="仿宋"/>
          <w:color w:val="auto"/>
        </w:rPr>
      </w:pPr>
      <w:r>
        <w:rPr>
          <w:rFonts w:hint="eastAsia" w:ascii="仿宋" w:hAnsi="仿宋" w:eastAsia="仿宋" w:cs="仿宋"/>
          <w:color w:val="auto"/>
        </w:rPr>
        <w:t>提供7×24小时的电话技术支持服务和现场维护服务。</w:t>
      </w:r>
    </w:p>
    <w:p>
      <w:pPr>
        <w:pStyle w:val="5"/>
        <w:rPr>
          <w:rFonts w:ascii="仿宋" w:hAnsi="仿宋" w:eastAsia="仿宋"/>
          <w:color w:val="auto"/>
        </w:rPr>
      </w:pPr>
      <w:r>
        <w:rPr>
          <w:rFonts w:hint="eastAsia" w:ascii="仿宋" w:hAnsi="仿宋" w:eastAsia="仿宋"/>
          <w:color w:val="auto"/>
        </w:rPr>
        <w:t>故障紧急救援服务</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故障发生时，第一时间定位；</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在故障发生后采取有效的措施，以最短的时间恢复运行；</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将业务影响时间将至最低；</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尽可能的挽救用户的数据信息，把用户的损失降在最小范围内；</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分析问题制定解决方案，防止类似的问题再次发生</w:t>
      </w:r>
    </w:p>
    <w:p>
      <w:pPr>
        <w:pStyle w:val="5"/>
        <w:rPr>
          <w:rFonts w:ascii="仿宋" w:hAnsi="仿宋" w:eastAsia="仿宋"/>
          <w:color w:val="auto"/>
        </w:rPr>
      </w:pPr>
      <w:r>
        <w:rPr>
          <w:rFonts w:hint="eastAsia" w:ascii="仿宋" w:hAnsi="仿宋" w:eastAsia="仿宋"/>
          <w:color w:val="auto"/>
        </w:rPr>
        <w:t>数据库备份恢复服务</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根据甲方的RTO、RPO要求，制定合理的备份方案与管理策略</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备份作业的自动监控与故障告警</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通过恢复测试，保证备份集的可用性</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降低备份系统对高端硬件的依赖，降低备份恢复的成本</w:t>
      </w:r>
    </w:p>
    <w:p>
      <w:pPr>
        <w:pStyle w:val="5"/>
        <w:rPr>
          <w:rFonts w:ascii="仿宋" w:hAnsi="仿宋" w:eastAsia="仿宋"/>
          <w:color w:val="auto"/>
        </w:rPr>
      </w:pPr>
      <w:r>
        <w:rPr>
          <w:rFonts w:hint="eastAsia" w:ascii="仿宋" w:hAnsi="仿宋" w:eastAsia="仿宋"/>
          <w:color w:val="auto"/>
        </w:rPr>
        <w:t>扩容服务</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解决数据库计算资源/节点瓶颈问题；</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解决存储空间不足问题；</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同时完成扩容后隐藏风险的排查和解决。</w:t>
      </w:r>
    </w:p>
    <w:p>
      <w:pPr>
        <w:pStyle w:val="5"/>
        <w:rPr>
          <w:rFonts w:ascii="仿宋" w:hAnsi="仿宋" w:eastAsia="仿宋"/>
          <w:color w:val="auto"/>
        </w:rPr>
      </w:pPr>
      <w:r>
        <w:rPr>
          <w:rFonts w:hint="eastAsia" w:ascii="仿宋" w:hAnsi="仿宋" w:eastAsia="仿宋"/>
          <w:color w:val="auto"/>
        </w:rPr>
        <w:t>资源配置变更服务</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规范配置变更步骤；</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规避配置变更风险；</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达成配置变更目的。</w:t>
      </w:r>
    </w:p>
    <w:p>
      <w:pPr>
        <w:pStyle w:val="5"/>
        <w:rPr>
          <w:rFonts w:ascii="仿宋" w:hAnsi="仿宋" w:eastAsia="仿宋"/>
          <w:color w:val="auto"/>
        </w:rPr>
      </w:pPr>
      <w:bookmarkStart w:id="12" w:name="_Toc20689"/>
      <w:r>
        <w:rPr>
          <w:rFonts w:hint="eastAsia" w:ascii="仿宋" w:hAnsi="仿宋" w:eastAsia="仿宋"/>
          <w:color w:val="auto"/>
        </w:rPr>
        <w:t>培训服务</w:t>
      </w:r>
      <w:bookmarkEnd w:id="12"/>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根据甲方的要求和人员知识储备情况进行培训大纲优化；</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满足甲方对培训的个性化要求；</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最终实现甲方运维人员独立对系统建设、架构优化、日常维护的基本操作。</w:t>
      </w:r>
    </w:p>
    <w:p>
      <w:pPr>
        <w:pStyle w:val="5"/>
        <w:rPr>
          <w:rFonts w:ascii="仿宋" w:hAnsi="仿宋" w:eastAsia="仿宋"/>
          <w:color w:val="auto"/>
        </w:rPr>
      </w:pPr>
      <w:bookmarkStart w:id="13" w:name="_Toc20942"/>
      <w:r>
        <w:rPr>
          <w:rFonts w:hint="eastAsia" w:ascii="仿宋" w:hAnsi="仿宋" w:eastAsia="仿宋"/>
          <w:color w:val="auto"/>
        </w:rPr>
        <w:t>数据恢复服务</w:t>
      </w:r>
      <w:bookmarkEnd w:id="13"/>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最大可能挽回数据和降低数据丢失风险；</w:t>
      </w:r>
    </w:p>
    <w:p>
      <w:pPr>
        <w:numPr>
          <w:ilvl w:val="0"/>
          <w:numId w:val="8"/>
        </w:numPr>
        <w:adjustRightInd w:val="0"/>
        <w:spacing w:line="440" w:lineRule="exact"/>
        <w:ind w:left="675" w:firstLine="0"/>
        <w:jc w:val="left"/>
        <w:textAlignment w:val="baseline"/>
        <w:rPr>
          <w:rFonts w:ascii="仿宋" w:hAnsi="仿宋" w:eastAsia="仿宋" w:cs="仿宋"/>
          <w:color w:val="auto"/>
        </w:rPr>
      </w:pPr>
      <w:r>
        <w:rPr>
          <w:rFonts w:hint="eastAsia" w:ascii="仿宋" w:hAnsi="仿宋" w:eastAsia="仿宋" w:cs="仿宋"/>
          <w:color w:val="auto"/>
        </w:rPr>
        <w:t>恢复数据库对外服务能力，减少业务损失。</w:t>
      </w:r>
    </w:p>
    <w:p>
      <w:pPr>
        <w:pStyle w:val="4"/>
        <w:rPr>
          <w:rFonts w:ascii="仿宋" w:hAnsi="仿宋" w:eastAsia="仿宋"/>
          <w:color w:val="auto"/>
        </w:rPr>
      </w:pPr>
      <w:r>
        <w:rPr>
          <w:rFonts w:hint="eastAsia" w:ascii="仿宋" w:hAnsi="仿宋" w:eastAsia="仿宋"/>
          <w:color w:val="auto"/>
        </w:rPr>
        <w:t>重要事件的现场值守服务</w:t>
      </w:r>
    </w:p>
    <w:p>
      <w:pPr>
        <w:tabs>
          <w:tab w:val="left" w:pos="1020"/>
        </w:tabs>
        <w:autoSpaceDE w:val="0"/>
        <w:autoSpaceDN w:val="0"/>
        <w:spacing w:before="125" w:line="348" w:lineRule="auto"/>
        <w:ind w:right="220" w:firstLine="500" w:firstLineChars="200"/>
        <w:jc w:val="left"/>
        <w:rPr>
          <w:rFonts w:ascii="仿宋" w:hAnsi="仿宋" w:eastAsia="仿宋"/>
          <w:color w:val="auto"/>
          <w:spacing w:val="5"/>
          <w:szCs w:val="24"/>
        </w:rPr>
      </w:pPr>
      <w:r>
        <w:rPr>
          <w:rFonts w:hint="eastAsia" w:ascii="仿宋" w:hAnsi="仿宋" w:eastAsia="仿宋"/>
          <w:color w:val="auto"/>
          <w:spacing w:val="5"/>
          <w:szCs w:val="24"/>
        </w:rPr>
        <w:t>在特殊时段、敏感时期和突发事件时，供应商工程师必须按甲方的要求坚守岗位，提供应急现场值守服务。在发生应急事件时（包括非工作时间），供应商工程师要迅速查明事件原因，迅速应急处理，并负责联系供应商相关工程师或相关厂商在规定时间内到达现场提供服务。</w:t>
      </w:r>
    </w:p>
    <w:p>
      <w:pPr>
        <w:pStyle w:val="4"/>
        <w:rPr>
          <w:rFonts w:ascii="仿宋" w:hAnsi="仿宋" w:eastAsia="仿宋" w:cs="宋体"/>
          <w:color w:val="auto"/>
          <w:sz w:val="24"/>
          <w:szCs w:val="24"/>
        </w:rPr>
      </w:pPr>
      <w:r>
        <w:rPr>
          <w:rFonts w:hint="eastAsia" w:ascii="仿宋" w:hAnsi="仿宋" w:eastAsia="仿宋"/>
          <w:color w:val="auto"/>
        </w:rPr>
        <w:t>巡检整体服务要求</w:t>
      </w:r>
      <w:r>
        <w:rPr>
          <w:rFonts w:hint="eastAsia" w:ascii="仿宋" w:hAnsi="仿宋" w:eastAsia="仿宋" w:cs="宋体"/>
          <w:color w:val="auto"/>
          <w:sz w:val="24"/>
          <w:szCs w:val="24"/>
        </w:rPr>
        <w:t xml:space="preserve">                                                                        </w:t>
      </w:r>
    </w:p>
    <w:p>
      <w:pPr>
        <w:tabs>
          <w:tab w:val="left" w:pos="1020"/>
        </w:tabs>
        <w:autoSpaceDE w:val="0"/>
        <w:autoSpaceDN w:val="0"/>
        <w:spacing w:before="125" w:line="348" w:lineRule="auto"/>
        <w:ind w:right="220" w:firstLine="500" w:firstLineChars="200"/>
        <w:jc w:val="left"/>
        <w:rPr>
          <w:rFonts w:ascii="仿宋" w:hAnsi="仿宋" w:eastAsia="仿宋"/>
          <w:color w:val="auto"/>
          <w:spacing w:val="5"/>
          <w:szCs w:val="24"/>
        </w:rPr>
      </w:pPr>
      <w:r>
        <w:rPr>
          <w:rFonts w:hint="eastAsia" w:ascii="仿宋" w:hAnsi="仿宋" w:eastAsia="仿宋"/>
          <w:color w:val="auto"/>
          <w:spacing w:val="5"/>
          <w:szCs w:val="24"/>
        </w:rPr>
        <w:t>供应商应定期对服务范围内的软硬件设备提供巡检服务，并详细记录每一项巡检服务内容的检查情况及有关指标参数。</w:t>
      </w:r>
    </w:p>
    <w:p>
      <w:pPr>
        <w:pStyle w:val="5"/>
        <w:rPr>
          <w:rFonts w:ascii="仿宋" w:hAnsi="仿宋" w:eastAsia="仿宋"/>
          <w:color w:val="auto"/>
        </w:rPr>
      </w:pPr>
      <w:r>
        <w:rPr>
          <w:rFonts w:hint="eastAsia" w:ascii="仿宋" w:hAnsi="仿宋" w:eastAsia="仿宋"/>
          <w:color w:val="auto"/>
        </w:rPr>
        <w:t>设备巡检（每月度一次）</w:t>
      </w:r>
    </w:p>
    <w:p>
      <w:pPr>
        <w:tabs>
          <w:tab w:val="left" w:pos="1020"/>
        </w:tabs>
        <w:autoSpaceDE w:val="0"/>
        <w:autoSpaceDN w:val="0"/>
        <w:spacing w:before="125" w:line="348" w:lineRule="auto"/>
        <w:ind w:right="220" w:firstLine="500" w:firstLineChars="200"/>
        <w:jc w:val="left"/>
        <w:rPr>
          <w:rFonts w:ascii="仿宋" w:hAnsi="仿宋" w:eastAsia="仿宋"/>
          <w:color w:val="auto"/>
          <w:spacing w:val="5"/>
          <w:szCs w:val="24"/>
        </w:rPr>
      </w:pPr>
      <w:r>
        <w:rPr>
          <w:rFonts w:hint="eastAsia" w:ascii="仿宋" w:hAnsi="仿宋" w:eastAsia="仿宋"/>
          <w:color w:val="auto"/>
          <w:spacing w:val="5"/>
          <w:szCs w:val="24"/>
        </w:rPr>
        <w:t>检查设备告警信息，对告警进行认真分析诊断，采取相应措施，消除故障和问题；收集各硬件的日志信息，对日志进行全面分析诊断，采取相应措施，消除故障隐患；检查各硬件的资源使用情况，如网络设备CPU、内存、软件版本等提出合理的资源优化升级建议；</w:t>
      </w:r>
    </w:p>
    <w:p>
      <w:pPr>
        <w:pStyle w:val="5"/>
        <w:rPr>
          <w:rFonts w:ascii="仿宋" w:hAnsi="仿宋" w:eastAsia="仿宋"/>
          <w:color w:val="auto"/>
        </w:rPr>
      </w:pPr>
      <w:r>
        <w:rPr>
          <w:rFonts w:hint="eastAsia" w:ascii="仿宋" w:hAnsi="仿宋" w:eastAsia="仿宋"/>
          <w:color w:val="auto"/>
        </w:rPr>
        <w:t>软件系统巡检（每月度一次）</w:t>
      </w:r>
    </w:p>
    <w:p>
      <w:pPr>
        <w:tabs>
          <w:tab w:val="left" w:pos="1020"/>
        </w:tabs>
        <w:autoSpaceDE w:val="0"/>
        <w:autoSpaceDN w:val="0"/>
        <w:spacing w:before="125" w:line="348" w:lineRule="auto"/>
        <w:ind w:right="220" w:firstLine="500" w:firstLineChars="200"/>
        <w:jc w:val="left"/>
        <w:rPr>
          <w:rFonts w:ascii="仿宋" w:hAnsi="仿宋" w:eastAsia="仿宋"/>
          <w:color w:val="auto"/>
          <w:spacing w:val="5"/>
          <w:szCs w:val="24"/>
        </w:rPr>
      </w:pPr>
      <w:r>
        <w:rPr>
          <w:rFonts w:hint="eastAsia" w:ascii="仿宋" w:hAnsi="仿宋" w:eastAsia="仿宋"/>
          <w:color w:val="auto"/>
          <w:spacing w:val="5"/>
          <w:szCs w:val="24"/>
        </w:rPr>
        <w:t>检查各软件的告警信息，对告警进行认真分析诊断，采取相应措施，消除故障和问题；收集各软件的日志信息，对日志进行全面分析诊断，采取相应措施，消除故障隐患；检查各软件的安全状况，对存在的漏洞或风险进行评估，采取打补丁、版本升级或其他相应手段，消除隐患；检查各软件的运行状态和效率，分析评估，及时进行优化调整或提出升级建议；检查各软件的操作记录、人员登录情况，协助甲方加强管理。</w:t>
      </w:r>
    </w:p>
    <w:p>
      <w:pPr>
        <w:pStyle w:val="4"/>
        <w:rPr>
          <w:rFonts w:ascii="仿宋" w:hAnsi="仿宋" w:eastAsia="仿宋"/>
          <w:color w:val="auto"/>
        </w:rPr>
      </w:pPr>
      <w:r>
        <w:rPr>
          <w:rFonts w:hint="eastAsia" w:ascii="仿宋" w:hAnsi="仿宋" w:eastAsia="仿宋"/>
          <w:color w:val="auto"/>
        </w:rPr>
        <w:t xml:space="preserve">资产梳理服务要求  </w:t>
      </w:r>
    </w:p>
    <w:p>
      <w:pPr>
        <w:pStyle w:val="5"/>
        <w:rPr>
          <w:color w:val="auto"/>
        </w:rPr>
      </w:pPr>
      <w:r>
        <w:rPr>
          <w:rFonts w:hint="eastAsia"/>
          <w:color w:val="auto"/>
        </w:rPr>
        <w:t>资产识别</w:t>
      </w:r>
    </w:p>
    <w:p>
      <w:pPr>
        <w:ind w:firstLine="480" w:firstLineChars="200"/>
        <w:rPr>
          <w:rFonts w:ascii="仿宋" w:hAnsi="仿宋" w:eastAsia="仿宋" w:cs="Arial"/>
          <w:color w:val="auto"/>
          <w:kern w:val="0"/>
          <w:szCs w:val="21"/>
          <w:lang w:val="zh-CN"/>
        </w:rPr>
      </w:pPr>
      <w:r>
        <w:rPr>
          <w:rFonts w:hint="eastAsia" w:ascii="仿宋" w:hAnsi="仿宋" w:eastAsia="仿宋" w:cs="Arial"/>
          <w:color w:val="auto"/>
          <w:kern w:val="0"/>
          <w:szCs w:val="21"/>
          <w:lang w:val="zh-CN"/>
        </w:rPr>
        <w:t>明确资产的价值，包括：</w:t>
      </w:r>
      <w:bookmarkStart w:id="14" w:name="_Hlk522546937"/>
      <w:r>
        <w:rPr>
          <w:rFonts w:hint="eastAsia" w:ascii="仿宋" w:hAnsi="仿宋" w:eastAsia="仿宋" w:cs="Arial"/>
          <w:color w:val="auto"/>
          <w:kern w:val="0"/>
          <w:szCs w:val="21"/>
          <w:lang w:val="zh-CN"/>
        </w:rPr>
        <w:t>业务系统、数据文档、软硬件资产、物理环境、组织管理等</w:t>
      </w:r>
      <w:bookmarkEnd w:id="14"/>
      <w:r>
        <w:rPr>
          <w:rFonts w:hint="eastAsia" w:ascii="仿宋" w:hAnsi="仿宋" w:eastAsia="仿宋" w:cs="Arial"/>
          <w:color w:val="auto"/>
          <w:kern w:val="0"/>
          <w:szCs w:val="21"/>
          <w:lang w:val="zh-CN"/>
        </w:rPr>
        <w:t>。资产梳理需要从关键业务开始，最终覆盖所有的资产，之后根据业务对资产的实际依赖程度进行区分是否为重要资产，而后续的脆弱性识别、威胁识别、风险分析等后期工作将只针对于重要资产进行识别。</w:t>
      </w:r>
    </w:p>
    <w:p>
      <w:pPr>
        <w:pStyle w:val="5"/>
        <w:rPr>
          <w:color w:val="auto"/>
          <w:sz w:val="32"/>
        </w:rPr>
      </w:pPr>
      <w:bookmarkStart w:id="15" w:name="_Toc512783684"/>
      <w:bookmarkStart w:id="16" w:name="_Toc404330759"/>
      <w:bookmarkStart w:id="17" w:name="_Toc485916610"/>
      <w:r>
        <w:rPr>
          <w:rFonts w:hint="eastAsia"/>
          <w:color w:val="auto"/>
        </w:rPr>
        <w:t>资产管理</w:t>
      </w:r>
      <w:bookmarkEnd w:id="15"/>
      <w:bookmarkEnd w:id="16"/>
      <w:bookmarkEnd w:id="17"/>
      <w:r>
        <w:rPr>
          <w:rFonts w:hint="eastAsia"/>
          <w:color w:val="auto"/>
        </w:rPr>
        <w:t>日常工作内容</w:t>
      </w:r>
    </w:p>
    <w:p>
      <w:pPr>
        <w:widowControl/>
        <w:numPr>
          <w:ilvl w:val="0"/>
          <w:numId w:val="9"/>
        </w:numPr>
        <w:tabs>
          <w:tab w:val="left" w:pos="420"/>
        </w:tabs>
        <w:spacing w:before="120" w:after="120"/>
        <w:ind w:left="709" w:hanging="425"/>
        <w:jc w:val="left"/>
        <w:rPr>
          <w:rFonts w:ascii="仿宋" w:hAnsi="仿宋" w:eastAsia="仿宋" w:cs="Arial"/>
          <w:color w:val="auto"/>
          <w:kern w:val="0"/>
          <w:szCs w:val="21"/>
          <w:lang w:val="zh-CN"/>
        </w:rPr>
      </w:pPr>
      <w:r>
        <w:rPr>
          <w:rFonts w:hint="eastAsia" w:ascii="仿宋" w:hAnsi="仿宋" w:eastAsia="仿宋" w:cs="Arial"/>
          <w:color w:val="auto"/>
          <w:kern w:val="0"/>
          <w:szCs w:val="21"/>
          <w:lang w:val="zh-CN"/>
        </w:rPr>
        <w:t>负责相关信息资产的管理，包括记录、变更、修改等；</w:t>
      </w:r>
    </w:p>
    <w:p>
      <w:pPr>
        <w:widowControl/>
        <w:numPr>
          <w:ilvl w:val="0"/>
          <w:numId w:val="9"/>
        </w:numPr>
        <w:tabs>
          <w:tab w:val="left" w:pos="420"/>
        </w:tabs>
        <w:spacing w:before="120" w:after="120"/>
        <w:ind w:left="709" w:hanging="425"/>
        <w:jc w:val="left"/>
        <w:rPr>
          <w:rFonts w:ascii="仿宋" w:hAnsi="仿宋" w:eastAsia="仿宋" w:cs="Arial"/>
          <w:color w:val="auto"/>
          <w:kern w:val="0"/>
          <w:szCs w:val="21"/>
          <w:lang w:val="zh-CN"/>
        </w:rPr>
      </w:pPr>
      <w:r>
        <w:rPr>
          <w:rFonts w:hint="eastAsia" w:ascii="仿宋" w:hAnsi="仿宋" w:eastAsia="仿宋" w:cs="Arial"/>
          <w:color w:val="auto"/>
          <w:kern w:val="0"/>
          <w:szCs w:val="21"/>
          <w:lang w:val="zh-CN"/>
        </w:rPr>
        <w:t>负责对资产进行分类、分级和标记；</w:t>
      </w:r>
    </w:p>
    <w:p>
      <w:pPr>
        <w:widowControl/>
        <w:numPr>
          <w:ilvl w:val="0"/>
          <w:numId w:val="9"/>
        </w:numPr>
        <w:tabs>
          <w:tab w:val="left" w:pos="420"/>
        </w:tabs>
        <w:spacing w:before="120" w:after="120"/>
        <w:ind w:left="709" w:hanging="425"/>
        <w:jc w:val="left"/>
        <w:rPr>
          <w:rFonts w:ascii="仿宋" w:hAnsi="仿宋" w:eastAsia="仿宋" w:cs="Arial"/>
          <w:color w:val="auto"/>
          <w:kern w:val="0"/>
          <w:szCs w:val="21"/>
          <w:lang w:val="zh-CN"/>
        </w:rPr>
      </w:pPr>
      <w:r>
        <w:rPr>
          <w:rFonts w:hint="eastAsia" w:ascii="仿宋" w:hAnsi="仿宋" w:eastAsia="仿宋" w:cs="Arial"/>
          <w:color w:val="auto"/>
          <w:kern w:val="0"/>
          <w:szCs w:val="21"/>
          <w:lang w:val="zh-CN"/>
        </w:rPr>
        <w:t>负责检查台帐、信息系统中信息资产相关记录，并将记录情况纳入考核计划中。</w:t>
      </w:r>
    </w:p>
    <w:p>
      <w:pPr>
        <w:widowControl/>
        <w:numPr>
          <w:ilvl w:val="0"/>
          <w:numId w:val="9"/>
        </w:numPr>
        <w:tabs>
          <w:tab w:val="left" w:pos="420"/>
        </w:tabs>
        <w:spacing w:before="120" w:after="120"/>
        <w:ind w:left="709" w:hanging="425"/>
        <w:jc w:val="left"/>
        <w:rPr>
          <w:rFonts w:ascii="仿宋" w:hAnsi="仿宋" w:eastAsia="仿宋" w:cs="Arial"/>
          <w:color w:val="auto"/>
          <w:kern w:val="0"/>
          <w:szCs w:val="21"/>
          <w:lang w:val="zh-CN"/>
        </w:rPr>
      </w:pPr>
      <w:r>
        <w:rPr>
          <w:rFonts w:hint="eastAsia" w:ascii="仿宋" w:hAnsi="仿宋" w:eastAsia="仿宋" w:cs="Arial"/>
          <w:color w:val="auto"/>
          <w:kern w:val="0"/>
          <w:szCs w:val="21"/>
          <w:lang w:val="zh-CN"/>
        </w:rPr>
        <w:t>建立重要安全数据信息管理登记档案，详细记录数据信息的分类、名称、地址、使用人等情况，并对所有信息系统实行登记备案管理。</w:t>
      </w:r>
    </w:p>
    <w:p>
      <w:pPr>
        <w:widowControl/>
        <w:numPr>
          <w:ilvl w:val="0"/>
          <w:numId w:val="9"/>
        </w:numPr>
        <w:tabs>
          <w:tab w:val="left" w:pos="420"/>
        </w:tabs>
        <w:spacing w:before="120" w:after="120"/>
        <w:ind w:left="709" w:hanging="425"/>
        <w:jc w:val="left"/>
        <w:rPr>
          <w:rFonts w:ascii="仿宋" w:hAnsi="仿宋" w:eastAsia="仿宋" w:cs="Arial"/>
          <w:color w:val="auto"/>
          <w:kern w:val="0"/>
          <w:szCs w:val="21"/>
          <w:lang w:val="zh-CN"/>
        </w:rPr>
      </w:pPr>
      <w:r>
        <w:rPr>
          <w:rFonts w:hint="eastAsia" w:ascii="仿宋" w:hAnsi="仿宋" w:eastAsia="仿宋" w:cs="Arial"/>
          <w:color w:val="auto"/>
          <w:kern w:val="0"/>
          <w:szCs w:val="21"/>
          <w:lang w:val="zh-CN"/>
        </w:rPr>
        <w:t>按资产的使用规则和限制，正确使用信息资产；</w:t>
      </w:r>
    </w:p>
    <w:p>
      <w:pPr>
        <w:pStyle w:val="5"/>
        <w:rPr>
          <w:color w:val="auto"/>
        </w:rPr>
      </w:pPr>
      <w:bookmarkStart w:id="18" w:name="_Toc485916612"/>
      <w:bookmarkStart w:id="19" w:name="_Toc404330761"/>
      <w:bookmarkStart w:id="20" w:name="_Toc512783686"/>
      <w:r>
        <w:rPr>
          <w:rFonts w:hint="eastAsia"/>
          <w:color w:val="auto"/>
        </w:rPr>
        <w:t>资产的登记与标记</w:t>
      </w:r>
      <w:bookmarkEnd w:id="18"/>
      <w:bookmarkEnd w:id="19"/>
      <w:bookmarkEnd w:id="20"/>
    </w:p>
    <w:p>
      <w:pPr>
        <w:widowControl/>
        <w:numPr>
          <w:ilvl w:val="0"/>
          <w:numId w:val="10"/>
        </w:numPr>
        <w:spacing w:before="120" w:after="120"/>
        <w:ind w:left="714" w:hanging="425"/>
        <w:jc w:val="left"/>
        <w:rPr>
          <w:rFonts w:ascii="仿宋" w:hAnsi="仿宋" w:eastAsia="仿宋"/>
          <w:bCs/>
          <w:color w:val="auto"/>
          <w:spacing w:val="-5"/>
          <w:szCs w:val="32"/>
        </w:rPr>
      </w:pPr>
      <w:r>
        <w:rPr>
          <w:rFonts w:hint="eastAsia" w:ascii="仿宋" w:hAnsi="仿宋" w:eastAsia="仿宋"/>
          <w:bCs/>
          <w:color w:val="auto"/>
          <w:spacing w:val="-5"/>
          <w:szCs w:val="32"/>
        </w:rPr>
        <w:t>对信息资产进行分类分级、登记，确定该资产的IP地址、MAC地址、用途、位置、格式、规格、价值等具体信息；</w:t>
      </w:r>
    </w:p>
    <w:p>
      <w:pPr>
        <w:widowControl/>
        <w:numPr>
          <w:ilvl w:val="0"/>
          <w:numId w:val="10"/>
        </w:numPr>
        <w:spacing w:before="120" w:after="120"/>
        <w:ind w:left="714" w:hanging="425"/>
        <w:jc w:val="left"/>
        <w:rPr>
          <w:rFonts w:ascii="仿宋" w:hAnsi="仿宋" w:eastAsia="仿宋"/>
          <w:bCs/>
          <w:color w:val="auto"/>
          <w:spacing w:val="-5"/>
          <w:szCs w:val="32"/>
        </w:rPr>
      </w:pPr>
      <w:r>
        <w:rPr>
          <w:rFonts w:hint="eastAsia" w:ascii="仿宋" w:hAnsi="仿宋" w:eastAsia="仿宋"/>
          <w:bCs/>
          <w:color w:val="auto"/>
          <w:spacing w:val="-5"/>
          <w:szCs w:val="32"/>
        </w:rPr>
        <w:t>定期检查资产的标记、内容、规格与使用情况，对资产丢失，标签缺损的情况进行记录，并纳入考核；</w:t>
      </w:r>
    </w:p>
    <w:p>
      <w:pPr>
        <w:widowControl/>
        <w:numPr>
          <w:ilvl w:val="0"/>
          <w:numId w:val="10"/>
        </w:numPr>
        <w:spacing w:before="120" w:after="120"/>
        <w:ind w:left="714" w:hanging="425"/>
        <w:jc w:val="left"/>
        <w:rPr>
          <w:rFonts w:ascii="仿宋" w:hAnsi="仿宋" w:eastAsia="仿宋"/>
          <w:bCs/>
          <w:color w:val="auto"/>
          <w:spacing w:val="-5"/>
          <w:szCs w:val="32"/>
        </w:rPr>
      </w:pPr>
      <w:r>
        <w:rPr>
          <w:rFonts w:hint="eastAsia" w:ascii="仿宋" w:hAnsi="仿宋" w:eastAsia="仿宋"/>
          <w:bCs/>
          <w:color w:val="auto"/>
          <w:spacing w:val="-5"/>
          <w:szCs w:val="32"/>
        </w:rPr>
        <w:t>对管理的数据资产进行归类和统计，对电子文件采用统一样式的电子标记进行标识。</w:t>
      </w:r>
    </w:p>
    <w:p>
      <w:pPr>
        <w:pStyle w:val="3"/>
        <w:rPr>
          <w:rFonts w:ascii="仿宋" w:hAnsi="仿宋" w:eastAsia="仿宋"/>
          <w:color w:val="auto"/>
          <w:spacing w:val="5"/>
          <w:szCs w:val="24"/>
        </w:rPr>
      </w:pPr>
      <w:r>
        <w:rPr>
          <w:rFonts w:hint="eastAsia" w:ascii="仿宋" w:hAnsi="仿宋" w:eastAsia="仿宋"/>
          <w:color w:val="auto"/>
        </w:rPr>
        <w:t>基础环境设施运行维护服务</w:t>
      </w:r>
      <w:r>
        <w:rPr>
          <w:rFonts w:hint="eastAsia" w:ascii="仿宋" w:hAnsi="仿宋" w:eastAsia="仿宋"/>
          <w:color w:val="auto"/>
          <w:spacing w:val="5"/>
          <w:szCs w:val="24"/>
        </w:rPr>
        <w:t>要求</w:t>
      </w:r>
    </w:p>
    <w:p>
      <w:pPr>
        <w:ind w:firstLine="500" w:firstLineChars="200"/>
        <w:jc w:val="left"/>
        <w:rPr>
          <w:rFonts w:ascii="仿宋" w:hAnsi="仿宋" w:eastAsia="仿宋"/>
          <w:color w:val="auto"/>
          <w:spacing w:val="5"/>
          <w:szCs w:val="24"/>
        </w:rPr>
      </w:pPr>
      <w:r>
        <w:rPr>
          <w:rFonts w:hint="eastAsia" w:ascii="仿宋" w:hAnsi="仿宋" w:eastAsia="仿宋"/>
          <w:color w:val="auto"/>
          <w:spacing w:val="5"/>
          <w:szCs w:val="24"/>
        </w:rPr>
        <w:t>供应商需提供数据中心机房管理服务，严格控制中心机房人员进出、设备进出并及时登记设备与应用的配置更新情况，需对中心机房进行管理和监控，确保机房物理安全和网络及应用的正常运行。其所有进出机房的人员必须遵循机房管理制度，按照机房设备操作规范对设备进行调整操作。</w:t>
      </w:r>
    </w:p>
    <w:p>
      <w:pPr>
        <w:ind w:firstLine="500" w:firstLineChars="200"/>
        <w:jc w:val="left"/>
        <w:rPr>
          <w:rFonts w:ascii="仿宋" w:hAnsi="仿宋" w:eastAsia="仿宋"/>
          <w:color w:val="auto"/>
          <w:spacing w:val="5"/>
          <w:szCs w:val="24"/>
        </w:rPr>
      </w:pPr>
      <w:bookmarkStart w:id="21" w:name="_Toc20807"/>
      <w:bookmarkStart w:id="22" w:name="_Toc500509391"/>
      <w:r>
        <w:rPr>
          <w:rFonts w:hint="eastAsia" w:ascii="仿宋" w:hAnsi="仿宋" w:eastAsia="仿宋"/>
          <w:color w:val="auto"/>
          <w:spacing w:val="5"/>
          <w:szCs w:val="24"/>
        </w:rPr>
        <w:t>供应商通过机房环境监控系统对中心机房的物理环境和设施（温湿度，供电）实施实时监控并保持环境整洁（提供1套吸尘设备与工具），定期对机房电力系统、空调、漏水保护等环境设施进行定时检查。同时，对涉及的环境设备（密空调、UPS</w:t>
      </w:r>
      <w:r>
        <w:rPr>
          <w:rFonts w:ascii="仿宋" w:hAnsi="仿宋" w:eastAsia="仿宋"/>
          <w:color w:val="auto"/>
          <w:spacing w:val="5"/>
          <w:szCs w:val="24"/>
        </w:rPr>
        <w:t>）实</w:t>
      </w:r>
      <w:r>
        <w:rPr>
          <w:rFonts w:hint="eastAsia" w:ascii="仿宋" w:hAnsi="仿宋" w:eastAsia="仿宋"/>
          <w:color w:val="auto"/>
          <w:spacing w:val="5"/>
          <w:szCs w:val="24"/>
        </w:rPr>
        <w:t>时故障紧急处理、报修和后续处置。设置管理员报警手机，一旦机房基础设施出现故障，管理员可收到报警短信及时处理。</w:t>
      </w:r>
    </w:p>
    <w:p>
      <w:pPr>
        <w:ind w:firstLine="500" w:firstLineChars="200"/>
        <w:jc w:val="left"/>
        <w:rPr>
          <w:rFonts w:ascii="仿宋" w:hAnsi="仿宋" w:eastAsia="仿宋"/>
          <w:color w:val="auto"/>
          <w:spacing w:val="5"/>
          <w:szCs w:val="24"/>
        </w:rPr>
      </w:pPr>
      <w:bookmarkStart w:id="23" w:name="_Hlk168399949"/>
      <w:bookmarkStart w:id="24" w:name="_Hlk168317387"/>
      <w:r>
        <w:rPr>
          <w:rFonts w:hint="eastAsia" w:ascii="仿宋" w:hAnsi="仿宋" w:eastAsia="仿宋"/>
          <w:color w:val="auto"/>
          <w:spacing w:val="5"/>
          <w:szCs w:val="24"/>
        </w:rPr>
        <w:t>供应商需提供提供UPS设备1年4次巡检以及技术支持服务。</w:t>
      </w:r>
    </w:p>
    <w:p>
      <w:pPr>
        <w:ind w:firstLine="500" w:firstLineChars="200"/>
        <w:jc w:val="left"/>
        <w:rPr>
          <w:rFonts w:ascii="仿宋" w:hAnsi="仿宋" w:eastAsia="仿宋"/>
          <w:color w:val="auto"/>
          <w:spacing w:val="5"/>
          <w:szCs w:val="24"/>
        </w:rPr>
      </w:pPr>
      <w:r>
        <w:rPr>
          <w:rFonts w:hint="eastAsia" w:ascii="仿宋" w:hAnsi="仿宋" w:eastAsia="仿宋"/>
          <w:color w:val="auto"/>
          <w:spacing w:val="5"/>
          <w:szCs w:val="24"/>
        </w:rPr>
        <w:t>供应商需提供</w:t>
      </w:r>
      <w:r>
        <w:rPr>
          <w:rFonts w:hint="eastAsia" w:ascii="仿宋" w:hAnsi="仿宋" w:eastAsia="仿宋"/>
          <w:color w:val="auto"/>
          <w:spacing w:val="5"/>
          <w:szCs w:val="24"/>
        </w:rPr>
        <w:t>本部、西区两个办公地点机房</w:t>
      </w:r>
      <w:r>
        <w:rPr>
          <w:rFonts w:hint="eastAsia" w:ascii="仿宋" w:hAnsi="仿宋" w:eastAsia="仿宋"/>
          <w:color w:val="auto"/>
          <w:spacing w:val="5"/>
          <w:szCs w:val="24"/>
        </w:rPr>
        <w:t>精密空调设备1年4次巡检，室外机清洗（提供1套清洗设备与工具），过滤网更换，加湿罐更换服务以及技术支持服务。</w:t>
      </w:r>
    </w:p>
    <w:p>
      <w:pPr>
        <w:ind w:firstLine="500" w:firstLineChars="200"/>
        <w:jc w:val="left"/>
        <w:rPr>
          <w:rFonts w:ascii="仿宋" w:hAnsi="仿宋" w:eastAsia="仿宋"/>
          <w:color w:val="auto"/>
          <w:spacing w:val="5"/>
          <w:szCs w:val="24"/>
        </w:rPr>
      </w:pPr>
      <w:r>
        <w:rPr>
          <w:rFonts w:hint="eastAsia" w:ascii="仿宋" w:hAnsi="仿宋" w:eastAsia="仿宋"/>
          <w:color w:val="auto"/>
          <w:spacing w:val="5"/>
          <w:szCs w:val="24"/>
        </w:rPr>
        <w:t>供应商需提供环控系统1年4次巡检以及技术支持服务。</w:t>
      </w:r>
    </w:p>
    <w:bookmarkEnd w:id="23"/>
    <w:p>
      <w:pPr>
        <w:ind w:firstLine="500" w:firstLineChars="200"/>
        <w:jc w:val="left"/>
        <w:rPr>
          <w:rFonts w:ascii="仿宋" w:hAnsi="仿宋" w:eastAsia="仿宋"/>
          <w:color w:val="auto"/>
          <w:spacing w:val="5"/>
          <w:szCs w:val="24"/>
        </w:rPr>
      </w:pPr>
      <w:r>
        <w:rPr>
          <w:rFonts w:hint="eastAsia" w:ascii="仿宋" w:hAnsi="仿宋" w:eastAsia="仿宋"/>
          <w:color w:val="auto"/>
          <w:spacing w:val="5"/>
          <w:szCs w:val="24"/>
        </w:rPr>
        <w:t>若基础环境硬件设备故障，供应商需及时告知甲方，并提出故障修复意见，由甲方采购备品备件，乙方负责更换。</w:t>
      </w:r>
    </w:p>
    <w:bookmarkEnd w:id="24"/>
    <w:tbl>
      <w:tblPr>
        <w:tblStyle w:val="40"/>
        <w:tblW w:w="8283" w:type="dxa"/>
        <w:tblInd w:w="113" w:type="dxa"/>
        <w:tblLayout w:type="fixed"/>
        <w:tblCellMar>
          <w:top w:w="0" w:type="dxa"/>
          <w:left w:w="108" w:type="dxa"/>
          <w:bottom w:w="0" w:type="dxa"/>
          <w:right w:w="108" w:type="dxa"/>
        </w:tblCellMar>
      </w:tblPr>
      <w:tblGrid>
        <w:gridCol w:w="2263"/>
        <w:gridCol w:w="4959"/>
        <w:gridCol w:w="1061"/>
      </w:tblGrid>
      <w:tr>
        <w:tblPrEx>
          <w:tblCellMar>
            <w:top w:w="0" w:type="dxa"/>
            <w:left w:w="108" w:type="dxa"/>
            <w:bottom w:w="0" w:type="dxa"/>
            <w:right w:w="108" w:type="dxa"/>
          </w:tblCellMar>
        </w:tblPrEx>
        <w:trPr>
          <w:trHeight w:val="493" w:hRule="atLeast"/>
        </w:trPr>
        <w:tc>
          <w:tcPr>
            <w:tcW w:w="2263" w:type="dxa"/>
            <w:tcBorders>
              <w:top w:val="single" w:color="auto" w:sz="4" w:space="0"/>
              <w:left w:val="single" w:color="auto" w:sz="4" w:space="0"/>
              <w:bottom w:val="nil"/>
              <w:right w:val="single" w:color="auto" w:sz="4" w:space="0"/>
            </w:tcBorders>
            <w:shd w:val="clear" w:color="auto" w:fill="auto"/>
            <w:noWrap/>
            <w:vAlign w:val="center"/>
          </w:tcPr>
          <w:p>
            <w:pPr>
              <w:widowControl/>
              <w:spacing w:line="240" w:lineRule="auto"/>
              <w:jc w:val="center"/>
              <w:rPr>
                <w:rFonts w:ascii="仿宋" w:hAnsi="仿宋" w:eastAsia="仿宋" w:cs="宋体"/>
                <w:b/>
                <w:bCs/>
                <w:color w:val="auto"/>
                <w:kern w:val="0"/>
                <w:szCs w:val="24"/>
              </w:rPr>
            </w:pPr>
            <w:r>
              <w:rPr>
                <w:rFonts w:hint="eastAsia" w:ascii="仿宋" w:hAnsi="仿宋" w:eastAsia="仿宋" w:cs="宋体"/>
                <w:b/>
                <w:bCs/>
                <w:color w:val="auto"/>
                <w:kern w:val="0"/>
                <w:szCs w:val="24"/>
              </w:rPr>
              <w:t>设备</w:t>
            </w:r>
          </w:p>
        </w:tc>
        <w:tc>
          <w:tcPr>
            <w:tcW w:w="4959" w:type="dxa"/>
            <w:tcBorders>
              <w:top w:val="single" w:color="auto" w:sz="4" w:space="0"/>
              <w:left w:val="nil"/>
              <w:bottom w:val="nil"/>
              <w:right w:val="single" w:color="auto" w:sz="4" w:space="0"/>
            </w:tcBorders>
            <w:shd w:val="clear" w:color="auto" w:fill="auto"/>
            <w:noWrap/>
            <w:vAlign w:val="center"/>
          </w:tcPr>
          <w:p>
            <w:pPr>
              <w:widowControl/>
              <w:spacing w:line="240" w:lineRule="auto"/>
              <w:jc w:val="center"/>
              <w:rPr>
                <w:rFonts w:ascii="仿宋" w:hAnsi="仿宋" w:eastAsia="仿宋" w:cs="宋体"/>
                <w:b/>
                <w:bCs/>
                <w:color w:val="auto"/>
                <w:kern w:val="0"/>
                <w:szCs w:val="24"/>
              </w:rPr>
            </w:pPr>
            <w:r>
              <w:rPr>
                <w:rFonts w:hint="eastAsia" w:ascii="仿宋" w:hAnsi="仿宋" w:eastAsia="仿宋" w:cs="宋体"/>
                <w:b/>
                <w:bCs/>
                <w:color w:val="auto"/>
                <w:kern w:val="0"/>
                <w:szCs w:val="24"/>
              </w:rPr>
              <w:t>型号</w:t>
            </w:r>
          </w:p>
        </w:tc>
        <w:tc>
          <w:tcPr>
            <w:tcW w:w="1061" w:type="dxa"/>
            <w:tcBorders>
              <w:top w:val="single" w:color="auto" w:sz="4" w:space="0"/>
              <w:left w:val="nil"/>
              <w:bottom w:val="nil"/>
              <w:right w:val="single" w:color="auto" w:sz="4" w:space="0"/>
            </w:tcBorders>
            <w:shd w:val="clear" w:color="auto" w:fill="auto"/>
            <w:noWrap/>
            <w:vAlign w:val="center"/>
          </w:tcPr>
          <w:p>
            <w:pPr>
              <w:widowControl/>
              <w:spacing w:line="240" w:lineRule="auto"/>
              <w:jc w:val="center"/>
              <w:rPr>
                <w:rFonts w:ascii="仿宋" w:hAnsi="仿宋" w:eastAsia="仿宋" w:cs="宋体"/>
                <w:b/>
                <w:bCs/>
                <w:color w:val="auto"/>
                <w:kern w:val="0"/>
                <w:szCs w:val="24"/>
              </w:rPr>
            </w:pPr>
            <w:r>
              <w:rPr>
                <w:rFonts w:hint="eastAsia" w:ascii="仿宋" w:hAnsi="仿宋" w:eastAsia="仿宋" w:cs="宋体"/>
                <w:b/>
                <w:bCs/>
                <w:color w:val="auto"/>
                <w:kern w:val="0"/>
                <w:szCs w:val="24"/>
              </w:rPr>
              <w:t>数量</w:t>
            </w:r>
          </w:p>
        </w:tc>
      </w:tr>
      <w:tr>
        <w:tblPrEx>
          <w:tblCellMar>
            <w:top w:w="0" w:type="dxa"/>
            <w:left w:w="108" w:type="dxa"/>
            <w:bottom w:w="0" w:type="dxa"/>
            <w:right w:w="108" w:type="dxa"/>
          </w:tblCellMar>
        </w:tblPrEx>
        <w:trPr>
          <w:trHeight w:val="493" w:hRule="atLeast"/>
        </w:trPr>
        <w:tc>
          <w:tcPr>
            <w:tcW w:w="226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精密空调</w:t>
            </w:r>
          </w:p>
        </w:tc>
        <w:tc>
          <w:tcPr>
            <w:tcW w:w="4959" w:type="dxa"/>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世图兹 STULZ Cyber Air Comptrol7000 40KW</w:t>
            </w:r>
          </w:p>
        </w:tc>
        <w:tc>
          <w:tcPr>
            <w:tcW w:w="1061" w:type="dxa"/>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6</w:t>
            </w:r>
          </w:p>
        </w:tc>
      </w:tr>
      <w:tr>
        <w:tblPrEx>
          <w:tblCellMar>
            <w:top w:w="0" w:type="dxa"/>
            <w:left w:w="108" w:type="dxa"/>
            <w:bottom w:w="0" w:type="dxa"/>
            <w:right w:w="108" w:type="dxa"/>
          </w:tblCellMar>
        </w:tblPrEx>
        <w:trPr>
          <w:trHeight w:val="493" w:hRule="atLeast"/>
        </w:trPr>
        <w:tc>
          <w:tcPr>
            <w:tcW w:w="2263"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精密空调2 电池间</w:t>
            </w:r>
          </w:p>
        </w:tc>
        <w:tc>
          <w:tcPr>
            <w:tcW w:w="4959"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 xml:space="preserve"> 25KW</w:t>
            </w:r>
          </w:p>
        </w:tc>
        <w:tc>
          <w:tcPr>
            <w:tcW w:w="1061"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w:t>
            </w:r>
          </w:p>
        </w:tc>
      </w:tr>
      <w:tr>
        <w:tblPrEx>
          <w:tblCellMar>
            <w:top w:w="0" w:type="dxa"/>
            <w:left w:w="108" w:type="dxa"/>
            <w:bottom w:w="0" w:type="dxa"/>
            <w:right w:w="108" w:type="dxa"/>
          </w:tblCellMar>
        </w:tblPrEx>
        <w:trPr>
          <w:trHeight w:val="493" w:hRule="atLeast"/>
        </w:trPr>
        <w:tc>
          <w:tcPr>
            <w:tcW w:w="2263"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UPS主机</w:t>
            </w:r>
          </w:p>
        </w:tc>
        <w:tc>
          <w:tcPr>
            <w:tcW w:w="4959"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伊顿 eaton 93E series 200KVA</w:t>
            </w:r>
          </w:p>
        </w:tc>
        <w:tc>
          <w:tcPr>
            <w:tcW w:w="1061"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w:t>
            </w:r>
          </w:p>
        </w:tc>
      </w:tr>
      <w:tr>
        <w:tblPrEx>
          <w:tblCellMar>
            <w:top w:w="0" w:type="dxa"/>
            <w:left w:w="108" w:type="dxa"/>
            <w:bottom w:w="0" w:type="dxa"/>
            <w:right w:w="108" w:type="dxa"/>
          </w:tblCellMar>
        </w:tblPrEx>
        <w:trPr>
          <w:trHeight w:val="493" w:hRule="atLeast"/>
        </w:trPr>
        <w:tc>
          <w:tcPr>
            <w:tcW w:w="2263"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UPS主机2</w:t>
            </w:r>
          </w:p>
        </w:tc>
        <w:tc>
          <w:tcPr>
            <w:tcW w:w="4959"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科士达YDC3360 60KVA</w:t>
            </w:r>
          </w:p>
        </w:tc>
        <w:tc>
          <w:tcPr>
            <w:tcW w:w="1061"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w:t>
            </w:r>
          </w:p>
        </w:tc>
      </w:tr>
      <w:tr>
        <w:tblPrEx>
          <w:tblCellMar>
            <w:top w:w="0" w:type="dxa"/>
            <w:left w:w="108" w:type="dxa"/>
            <w:bottom w:w="0" w:type="dxa"/>
            <w:right w:w="108" w:type="dxa"/>
          </w:tblCellMar>
        </w:tblPrEx>
        <w:trPr>
          <w:trHeight w:val="493" w:hRule="atLeast"/>
        </w:trPr>
        <w:tc>
          <w:tcPr>
            <w:tcW w:w="2263"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蓄电池</w:t>
            </w:r>
          </w:p>
        </w:tc>
        <w:tc>
          <w:tcPr>
            <w:tcW w:w="4959"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12V 前端子蓄电池 200Ah</w:t>
            </w:r>
          </w:p>
        </w:tc>
        <w:tc>
          <w:tcPr>
            <w:tcW w:w="1061" w:type="dxa"/>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仿宋" w:hAnsi="仿宋" w:eastAsia="仿宋" w:cs="宋体"/>
                <w:color w:val="auto"/>
                <w:kern w:val="0"/>
                <w:szCs w:val="24"/>
              </w:rPr>
            </w:pPr>
            <w:r>
              <w:rPr>
                <w:rFonts w:hint="eastAsia" w:ascii="仿宋" w:hAnsi="仿宋" w:eastAsia="仿宋" w:cs="宋体"/>
                <w:color w:val="auto"/>
                <w:kern w:val="0"/>
                <w:szCs w:val="24"/>
              </w:rPr>
              <w:t>280</w:t>
            </w:r>
          </w:p>
        </w:tc>
      </w:tr>
    </w:tbl>
    <w:p>
      <w:pPr>
        <w:ind w:firstLine="500" w:firstLineChars="200"/>
        <w:jc w:val="left"/>
        <w:rPr>
          <w:rFonts w:ascii="仿宋" w:hAnsi="仿宋" w:eastAsia="仿宋"/>
          <w:color w:val="auto"/>
          <w:spacing w:val="5"/>
          <w:szCs w:val="24"/>
        </w:rPr>
      </w:pPr>
    </w:p>
    <w:p>
      <w:pPr>
        <w:pStyle w:val="62"/>
        <w:numPr>
          <w:ilvl w:val="0"/>
          <w:numId w:val="11"/>
        </w:numPr>
        <w:ind w:firstLineChars="0"/>
        <w:rPr>
          <w:rFonts w:ascii="仿宋" w:hAnsi="仿宋" w:eastAsia="仿宋" w:cs="宋体"/>
          <w:b/>
          <w:color w:val="auto"/>
        </w:rPr>
      </w:pPr>
      <w:r>
        <w:rPr>
          <w:rFonts w:hint="eastAsia" w:ascii="仿宋" w:hAnsi="仿宋" w:eastAsia="仿宋" w:cs="宋体"/>
          <w:b/>
          <w:color w:val="auto"/>
        </w:rPr>
        <w:t>UPS及配电系统</w:t>
      </w:r>
    </w:p>
    <w:p>
      <w:pPr>
        <w:numPr>
          <w:ilvl w:val="0"/>
          <w:numId w:val="12"/>
        </w:numPr>
        <w:rPr>
          <w:rFonts w:ascii="仿宋" w:hAnsi="仿宋" w:eastAsia="仿宋" w:cs="宋体"/>
          <w:color w:val="auto"/>
        </w:rPr>
      </w:pPr>
      <w:r>
        <w:rPr>
          <w:rFonts w:hint="eastAsia" w:ascii="仿宋" w:hAnsi="仿宋" w:eastAsia="仿宋" w:cs="宋体"/>
          <w:color w:val="auto"/>
        </w:rPr>
        <w:t>检查UPS面板显示的负载、电池组电压是否正常，做好参数记录工作，检查是否有异常告警信息；</w:t>
      </w:r>
    </w:p>
    <w:p>
      <w:pPr>
        <w:numPr>
          <w:ilvl w:val="0"/>
          <w:numId w:val="12"/>
        </w:numPr>
        <w:rPr>
          <w:rFonts w:ascii="仿宋" w:hAnsi="仿宋" w:eastAsia="仿宋" w:cs="宋体"/>
          <w:color w:val="auto"/>
        </w:rPr>
      </w:pPr>
      <w:r>
        <w:rPr>
          <w:rFonts w:hint="eastAsia" w:ascii="仿宋" w:hAnsi="仿宋" w:eastAsia="仿宋" w:cs="宋体"/>
          <w:color w:val="auto"/>
        </w:rPr>
        <w:t>查看总配电柜工作状态，查看各机柜PDU工作状态；</w:t>
      </w:r>
    </w:p>
    <w:p>
      <w:pPr>
        <w:numPr>
          <w:ilvl w:val="0"/>
          <w:numId w:val="12"/>
        </w:numPr>
        <w:rPr>
          <w:rFonts w:ascii="仿宋" w:hAnsi="仿宋" w:eastAsia="仿宋" w:cs="宋体"/>
          <w:color w:val="auto"/>
        </w:rPr>
      </w:pPr>
      <w:r>
        <w:rPr>
          <w:rFonts w:hint="eastAsia" w:ascii="仿宋" w:hAnsi="仿宋" w:eastAsia="仿宋" w:cs="宋体"/>
          <w:color w:val="auto"/>
        </w:rPr>
        <w:t>检查各显示面板工作是否有告警，UPS监控系统是否正常；</w:t>
      </w:r>
    </w:p>
    <w:p>
      <w:pPr>
        <w:numPr>
          <w:ilvl w:val="0"/>
          <w:numId w:val="12"/>
        </w:numPr>
        <w:rPr>
          <w:rFonts w:ascii="仿宋" w:hAnsi="仿宋" w:eastAsia="仿宋" w:cs="宋体"/>
          <w:color w:val="auto"/>
        </w:rPr>
      </w:pPr>
      <w:r>
        <w:rPr>
          <w:rFonts w:hint="eastAsia" w:ascii="仿宋" w:hAnsi="仿宋" w:eastAsia="仿宋" w:cs="宋体"/>
          <w:color w:val="auto"/>
        </w:rPr>
        <w:t>检查各配电列头柜是否存在告警信息；</w:t>
      </w:r>
    </w:p>
    <w:p>
      <w:pPr>
        <w:pStyle w:val="62"/>
        <w:numPr>
          <w:ilvl w:val="0"/>
          <w:numId w:val="11"/>
        </w:numPr>
        <w:ind w:firstLineChars="0"/>
        <w:rPr>
          <w:rFonts w:ascii="仿宋" w:hAnsi="仿宋" w:eastAsia="仿宋" w:cs="宋体"/>
          <w:b/>
          <w:color w:val="auto"/>
        </w:rPr>
      </w:pPr>
      <w:r>
        <w:rPr>
          <w:rFonts w:hint="eastAsia" w:ascii="仿宋" w:hAnsi="仿宋" w:eastAsia="仿宋" w:cs="宋体"/>
          <w:b/>
          <w:color w:val="auto"/>
        </w:rPr>
        <w:t>精密空调及新风系统</w:t>
      </w:r>
    </w:p>
    <w:p>
      <w:pPr>
        <w:numPr>
          <w:ilvl w:val="0"/>
          <w:numId w:val="13"/>
        </w:numPr>
        <w:rPr>
          <w:rFonts w:ascii="仿宋" w:hAnsi="仿宋" w:eastAsia="仿宋" w:cs="宋体"/>
          <w:color w:val="auto"/>
        </w:rPr>
      </w:pPr>
      <w:r>
        <w:rPr>
          <w:rFonts w:hint="eastAsia" w:ascii="仿宋" w:hAnsi="仿宋" w:eastAsia="仿宋" w:cs="宋体"/>
          <w:color w:val="auto"/>
        </w:rPr>
        <w:t>各精密空调温湿度记录，各精密空调温湿度设置是否合理确认；</w:t>
      </w:r>
    </w:p>
    <w:p>
      <w:pPr>
        <w:numPr>
          <w:ilvl w:val="0"/>
          <w:numId w:val="13"/>
        </w:numPr>
        <w:rPr>
          <w:rFonts w:ascii="仿宋" w:hAnsi="仿宋" w:eastAsia="仿宋" w:cs="宋体"/>
          <w:color w:val="auto"/>
        </w:rPr>
      </w:pPr>
      <w:r>
        <w:rPr>
          <w:rFonts w:hint="eastAsia" w:ascii="仿宋" w:hAnsi="仿宋" w:eastAsia="仿宋" w:cs="宋体"/>
          <w:color w:val="auto"/>
        </w:rPr>
        <w:t>各精密空调异常告警信息查看，有告警时需及时联系维护方解决告警；</w:t>
      </w:r>
    </w:p>
    <w:p>
      <w:pPr>
        <w:numPr>
          <w:ilvl w:val="0"/>
          <w:numId w:val="13"/>
        </w:numPr>
        <w:rPr>
          <w:rFonts w:ascii="仿宋" w:hAnsi="仿宋" w:eastAsia="仿宋" w:cs="宋体"/>
          <w:color w:val="auto"/>
        </w:rPr>
      </w:pPr>
      <w:r>
        <w:rPr>
          <w:rFonts w:hint="eastAsia" w:ascii="仿宋" w:hAnsi="仿宋" w:eastAsia="仿宋" w:cs="宋体"/>
          <w:color w:val="auto"/>
        </w:rPr>
        <w:t>各精密空调制冷效果是否正常确认，若制冷效果欠佳应及时联系维护方；</w:t>
      </w:r>
    </w:p>
    <w:p>
      <w:pPr>
        <w:numPr>
          <w:ilvl w:val="0"/>
          <w:numId w:val="13"/>
        </w:numPr>
        <w:rPr>
          <w:rFonts w:ascii="仿宋" w:hAnsi="仿宋" w:eastAsia="仿宋" w:cs="宋体"/>
          <w:color w:val="auto"/>
        </w:rPr>
      </w:pPr>
      <w:r>
        <w:rPr>
          <w:rFonts w:hint="eastAsia" w:ascii="仿宋" w:hAnsi="仿宋" w:eastAsia="仿宋" w:cs="宋体"/>
          <w:color w:val="auto"/>
        </w:rPr>
        <w:t>机房外风机运转情况确认，通风良好度查看；</w:t>
      </w:r>
    </w:p>
    <w:p>
      <w:pPr>
        <w:numPr>
          <w:ilvl w:val="0"/>
          <w:numId w:val="13"/>
        </w:numPr>
        <w:rPr>
          <w:rFonts w:ascii="仿宋" w:hAnsi="仿宋" w:eastAsia="仿宋" w:cs="宋体"/>
          <w:color w:val="auto"/>
        </w:rPr>
      </w:pPr>
      <w:r>
        <w:rPr>
          <w:rFonts w:hint="eastAsia" w:ascii="仿宋" w:hAnsi="仿宋" w:eastAsia="仿宋" w:cs="宋体"/>
          <w:color w:val="auto"/>
        </w:rPr>
        <w:t>查看精密空调下方是否出现积水；</w:t>
      </w:r>
    </w:p>
    <w:p>
      <w:pPr>
        <w:numPr>
          <w:ilvl w:val="0"/>
          <w:numId w:val="13"/>
        </w:numPr>
        <w:rPr>
          <w:rFonts w:ascii="仿宋" w:hAnsi="仿宋" w:eastAsia="仿宋" w:cs="宋体"/>
          <w:color w:val="auto"/>
        </w:rPr>
      </w:pPr>
      <w:r>
        <w:rPr>
          <w:rFonts w:hint="eastAsia" w:ascii="仿宋" w:hAnsi="仿宋" w:eastAsia="仿宋" w:cs="宋体"/>
          <w:color w:val="auto"/>
        </w:rPr>
        <w:t>空调监控系统运转情况确认；</w:t>
      </w:r>
    </w:p>
    <w:p>
      <w:pPr>
        <w:numPr>
          <w:ilvl w:val="0"/>
          <w:numId w:val="13"/>
        </w:numPr>
        <w:rPr>
          <w:rFonts w:ascii="仿宋" w:hAnsi="仿宋" w:eastAsia="仿宋" w:cs="宋体"/>
          <w:color w:val="auto"/>
        </w:rPr>
      </w:pPr>
      <w:r>
        <w:rPr>
          <w:rFonts w:hint="eastAsia" w:ascii="仿宋" w:hAnsi="仿宋" w:eastAsia="仿宋" w:cs="宋体"/>
          <w:color w:val="auto"/>
        </w:rPr>
        <w:t>检查新风系统控制器面板是否有告警，新风机是否正常换新风，异常告警需及时联系维护方处理；</w:t>
      </w:r>
    </w:p>
    <w:p>
      <w:pPr>
        <w:numPr>
          <w:ilvl w:val="0"/>
          <w:numId w:val="13"/>
        </w:numPr>
        <w:rPr>
          <w:rFonts w:ascii="仿宋" w:hAnsi="仿宋" w:eastAsia="仿宋" w:cs="宋体"/>
          <w:color w:val="auto"/>
        </w:rPr>
      </w:pPr>
      <w:r>
        <w:rPr>
          <w:rFonts w:hint="eastAsia" w:ascii="仿宋" w:hAnsi="仿宋" w:eastAsia="仿宋" w:cs="宋体"/>
          <w:color w:val="auto"/>
        </w:rPr>
        <w:t>检查外风机工作环境是否正常；</w:t>
      </w:r>
    </w:p>
    <w:p>
      <w:pPr>
        <w:pStyle w:val="62"/>
        <w:numPr>
          <w:ilvl w:val="0"/>
          <w:numId w:val="11"/>
        </w:numPr>
        <w:ind w:firstLineChars="0"/>
        <w:rPr>
          <w:rFonts w:ascii="仿宋" w:hAnsi="仿宋" w:eastAsia="仿宋" w:cs="宋体"/>
          <w:b/>
          <w:color w:val="auto"/>
        </w:rPr>
      </w:pPr>
      <w:r>
        <w:rPr>
          <w:rFonts w:hint="eastAsia" w:ascii="仿宋" w:hAnsi="仿宋" w:eastAsia="仿宋" w:cs="宋体"/>
          <w:b/>
          <w:color w:val="auto"/>
        </w:rPr>
        <w:t>动环系统</w:t>
      </w:r>
    </w:p>
    <w:p>
      <w:pPr>
        <w:numPr>
          <w:ilvl w:val="0"/>
          <w:numId w:val="14"/>
        </w:numPr>
        <w:rPr>
          <w:rFonts w:ascii="仿宋" w:hAnsi="仿宋" w:eastAsia="仿宋" w:cs="宋体"/>
          <w:color w:val="auto"/>
        </w:rPr>
      </w:pPr>
      <w:r>
        <w:rPr>
          <w:rFonts w:hint="eastAsia" w:ascii="仿宋" w:hAnsi="仿宋" w:eastAsia="仿宋" w:cs="宋体"/>
          <w:color w:val="auto"/>
        </w:rPr>
        <w:t>检查环控系统各子系统数据监控是否正常；</w:t>
      </w:r>
    </w:p>
    <w:p>
      <w:pPr>
        <w:numPr>
          <w:ilvl w:val="0"/>
          <w:numId w:val="14"/>
        </w:numPr>
        <w:rPr>
          <w:rFonts w:ascii="仿宋" w:hAnsi="仿宋" w:eastAsia="仿宋" w:cs="宋体"/>
          <w:color w:val="auto"/>
        </w:rPr>
      </w:pPr>
      <w:r>
        <w:rPr>
          <w:rFonts w:hint="eastAsia" w:ascii="仿宋" w:hAnsi="仿宋" w:eastAsia="仿宋" w:cs="宋体"/>
          <w:color w:val="auto"/>
        </w:rPr>
        <w:t>检查环控系统是否存在异常告警未处理；</w:t>
      </w:r>
    </w:p>
    <w:bookmarkEnd w:id="21"/>
    <w:bookmarkEnd w:id="22"/>
    <w:p>
      <w:pPr>
        <w:pStyle w:val="3"/>
        <w:rPr>
          <w:rFonts w:ascii="仿宋" w:hAnsi="仿宋" w:eastAsia="仿宋"/>
          <w:color w:val="auto"/>
        </w:rPr>
      </w:pPr>
      <w:r>
        <w:rPr>
          <w:rFonts w:hint="eastAsia" w:ascii="仿宋" w:hAnsi="仿宋" w:eastAsia="仿宋"/>
          <w:color w:val="auto"/>
        </w:rPr>
        <w:t>安全运维服务要求</w:t>
      </w:r>
    </w:p>
    <w:p>
      <w:pPr>
        <w:ind w:firstLine="420"/>
        <w:rPr>
          <w:rFonts w:ascii="仿宋" w:hAnsi="仿宋" w:eastAsia="仿宋"/>
          <w:color w:val="auto"/>
          <w:spacing w:val="5"/>
          <w:szCs w:val="24"/>
        </w:rPr>
      </w:pPr>
      <w:r>
        <w:rPr>
          <w:rFonts w:hint="eastAsia" w:ascii="仿宋" w:hAnsi="仿宋" w:eastAsia="仿宋"/>
          <w:color w:val="auto"/>
          <w:spacing w:val="5"/>
          <w:szCs w:val="24"/>
        </w:rPr>
        <w:t>针对甲方信息化系统提供全面的网络安全保障年度服务，供应商需提供以下</w:t>
      </w:r>
      <w:r>
        <w:rPr>
          <w:rFonts w:ascii="仿宋" w:hAnsi="仿宋" w:eastAsia="仿宋"/>
          <w:color w:val="auto"/>
          <w:spacing w:val="5"/>
          <w:szCs w:val="24"/>
        </w:rPr>
        <w:t>14</w:t>
      </w:r>
      <w:r>
        <w:rPr>
          <w:rFonts w:hint="eastAsia" w:ascii="仿宋" w:hAnsi="仿宋" w:eastAsia="仿宋"/>
          <w:color w:val="auto"/>
          <w:spacing w:val="5"/>
          <w:szCs w:val="24"/>
        </w:rPr>
        <w:t>项服务内容，并出具相应服务报告：资产摸底、安全检查支持、网络安全威胁分析、安全加固、安全技术培训、安全意识及网络安全法培训、安全通告服务、应急响应、安全管理体系建设合规咨询、基础环境评估、渗透测试、代码安全检测、网站WEB云防护、特殊时期重保。</w:t>
      </w:r>
    </w:p>
    <w:p>
      <w:pPr>
        <w:pStyle w:val="4"/>
        <w:rPr>
          <w:rFonts w:ascii="仿宋" w:hAnsi="仿宋" w:eastAsia="仿宋"/>
          <w:color w:val="auto"/>
        </w:rPr>
      </w:pPr>
      <w:r>
        <w:rPr>
          <w:rFonts w:hint="eastAsia" w:ascii="仿宋" w:hAnsi="仿宋" w:eastAsia="仿宋"/>
          <w:color w:val="auto"/>
        </w:rPr>
        <w:t>资产摸底（</w:t>
      </w:r>
      <w:r>
        <w:rPr>
          <w:rFonts w:ascii="仿宋" w:hAnsi="仿宋" w:eastAsia="仿宋"/>
          <w:color w:val="auto"/>
        </w:rPr>
        <w:t>4</w:t>
      </w:r>
      <w:r>
        <w:rPr>
          <w:rFonts w:hint="eastAsia" w:ascii="仿宋" w:hAnsi="仿宋" w:eastAsia="仿宋"/>
          <w:color w:val="auto"/>
        </w:rPr>
        <w:t>次/年）</w:t>
      </w:r>
    </w:p>
    <w:p>
      <w:pPr>
        <w:ind w:firstLine="420"/>
        <w:rPr>
          <w:rFonts w:ascii="仿宋" w:hAnsi="仿宋" w:eastAsia="仿宋" w:cs="宋体"/>
          <w:color w:val="auto"/>
          <w:szCs w:val="21"/>
        </w:rPr>
      </w:pPr>
      <w:r>
        <w:rPr>
          <w:rFonts w:hint="eastAsia" w:ascii="仿宋" w:hAnsi="仿宋" w:eastAsia="仿宋" w:cs="宋体"/>
          <w:color w:val="auto"/>
          <w:szCs w:val="21"/>
        </w:rPr>
        <w:t>针对服务器存储、网络设备、安全设备进行资产统计，收集IP信息、开放端口、业务名称等，并制作完成资产梳理清单。并协助甲方详细梳理信息资产，包括硬件、软件、技术文档、管理制度等。对所有资产建立档案，生成资产列表，然后依照有关规范对重要资产进行安全等级分类。</w:t>
      </w:r>
    </w:p>
    <w:p>
      <w:pPr>
        <w:pStyle w:val="4"/>
        <w:rPr>
          <w:rFonts w:ascii="仿宋" w:hAnsi="仿宋" w:eastAsia="仿宋"/>
          <w:color w:val="auto"/>
        </w:rPr>
      </w:pPr>
      <w:r>
        <w:rPr>
          <w:rFonts w:hint="eastAsia" w:ascii="仿宋" w:hAnsi="仿宋" w:eastAsia="仿宋"/>
          <w:color w:val="auto"/>
        </w:rPr>
        <w:t>安全检查（</w:t>
      </w:r>
      <w:r>
        <w:rPr>
          <w:rFonts w:ascii="仿宋" w:hAnsi="仿宋" w:eastAsia="仿宋"/>
          <w:color w:val="auto"/>
        </w:rPr>
        <w:t>4</w:t>
      </w:r>
      <w:r>
        <w:rPr>
          <w:rFonts w:hint="eastAsia" w:ascii="仿宋" w:hAnsi="仿宋" w:eastAsia="仿宋"/>
          <w:color w:val="auto"/>
        </w:rPr>
        <w:t>次/年）</w:t>
      </w:r>
    </w:p>
    <w:p>
      <w:pPr>
        <w:ind w:firstLine="420"/>
        <w:rPr>
          <w:rFonts w:ascii="仿宋" w:hAnsi="仿宋" w:eastAsia="仿宋"/>
          <w:color w:val="auto"/>
          <w:spacing w:val="5"/>
          <w:szCs w:val="24"/>
        </w:rPr>
      </w:pPr>
      <w:r>
        <w:rPr>
          <w:rFonts w:hint="eastAsia" w:ascii="仿宋" w:hAnsi="仿宋" w:eastAsia="仿宋"/>
          <w:color w:val="auto"/>
          <w:spacing w:val="5"/>
          <w:szCs w:val="24"/>
        </w:rPr>
        <w:t>当有主管单位及监管单位做安全检查时，供应商需安排技术人员提前做准备工作，现场检查时配合检查工作。</w:t>
      </w:r>
    </w:p>
    <w:p>
      <w:pPr>
        <w:pStyle w:val="4"/>
        <w:rPr>
          <w:rFonts w:ascii="仿宋" w:hAnsi="仿宋" w:eastAsia="仿宋"/>
          <w:color w:val="auto"/>
        </w:rPr>
      </w:pPr>
      <w:r>
        <w:rPr>
          <w:rFonts w:hint="eastAsia" w:ascii="仿宋" w:hAnsi="仿宋" w:eastAsia="仿宋"/>
          <w:color w:val="auto"/>
        </w:rPr>
        <w:t>网络安全威胁分析（</w:t>
      </w:r>
      <w:r>
        <w:rPr>
          <w:rFonts w:ascii="仿宋" w:hAnsi="仿宋" w:eastAsia="仿宋"/>
          <w:color w:val="auto"/>
        </w:rPr>
        <w:t>4</w:t>
      </w:r>
      <w:r>
        <w:rPr>
          <w:rFonts w:hint="eastAsia" w:ascii="仿宋" w:hAnsi="仿宋" w:eastAsia="仿宋"/>
          <w:color w:val="auto"/>
        </w:rPr>
        <w:t>次/年）</w:t>
      </w:r>
    </w:p>
    <w:p>
      <w:pPr>
        <w:ind w:firstLine="420"/>
        <w:rPr>
          <w:rFonts w:ascii="仿宋" w:hAnsi="仿宋" w:eastAsia="仿宋" w:cs="宋体"/>
          <w:color w:val="auto"/>
          <w:szCs w:val="24"/>
        </w:rPr>
      </w:pPr>
      <w:r>
        <w:rPr>
          <w:rFonts w:hint="eastAsia" w:ascii="仿宋" w:hAnsi="仿宋" w:eastAsia="仿宋" w:cs="宋体"/>
          <w:color w:val="auto"/>
          <w:szCs w:val="24"/>
        </w:rPr>
        <w:t>供应商需通过安全安全态势感知平台作为服务工具，对网络流量进行实时监测与分析，集中地对全网设备进行状态监控、流量监控、攻击行为分析，总结甲方网络的安全威胁和安全漏洞，保持持续的安全定义和策略应用，提高系统的安全，最终构成安全闭环，达到动态安全防护。</w:t>
      </w:r>
    </w:p>
    <w:p>
      <w:pPr>
        <w:ind w:firstLine="420"/>
        <w:rPr>
          <w:rFonts w:ascii="仿宋" w:hAnsi="仿宋" w:eastAsia="仿宋" w:cs="宋体"/>
          <w:color w:val="auto"/>
          <w:szCs w:val="24"/>
        </w:rPr>
      </w:pPr>
      <w:r>
        <w:rPr>
          <w:rFonts w:hint="eastAsia" w:ascii="仿宋" w:hAnsi="仿宋" w:eastAsia="仿宋" w:cs="宋体"/>
          <w:color w:val="auto"/>
          <w:szCs w:val="24"/>
        </w:rPr>
        <w:t>需对漏洞利用攻击事件、Webshell上传事件、SQL 注入攻击事件、系统命令注入攻击事件、口令暴力破解事件、Web明文传输事件、主机病毒感染事件、进行深度分析。</w:t>
      </w:r>
    </w:p>
    <w:p>
      <w:pPr>
        <w:ind w:firstLine="420"/>
        <w:rPr>
          <w:rFonts w:ascii="仿宋" w:hAnsi="仿宋" w:eastAsia="仿宋" w:cs="宋体"/>
          <w:color w:val="auto"/>
          <w:szCs w:val="24"/>
        </w:rPr>
      </w:pPr>
      <w:r>
        <w:rPr>
          <w:rFonts w:hint="eastAsia" w:ascii="仿宋" w:hAnsi="仿宋" w:eastAsia="仿宋" w:cs="宋体"/>
          <w:color w:val="auto"/>
          <w:szCs w:val="24"/>
        </w:rPr>
        <w:t>判断攻击行为的目的，并据此判断攻击所处的阶段，提出针对性的加固建议。针对病毒类事件，供应商需提供病毒处置工具并指导查杀工作针对勒索、挖矿类事件。供应商需主导处置工作，并提供最大程度溯源服务并提供查杀指导针对后门脚本类事件，提供专杀工具对感染服务器进行全面后门脚本查杀，并提供最大程度溯源服务。基于工具平台的检测结果，供应商需提供专业的威胁分析、威胁处置、威胁根因分析和加固建议服务，从而实现威胁发现到处置的闭环安全效果。</w:t>
      </w:r>
    </w:p>
    <w:p>
      <w:pPr>
        <w:pStyle w:val="4"/>
        <w:rPr>
          <w:rFonts w:ascii="仿宋" w:hAnsi="仿宋" w:eastAsia="仿宋"/>
          <w:color w:val="auto"/>
        </w:rPr>
      </w:pPr>
      <w:r>
        <w:rPr>
          <w:rFonts w:hint="eastAsia" w:ascii="仿宋" w:hAnsi="仿宋" w:eastAsia="仿宋"/>
          <w:color w:val="auto"/>
        </w:rPr>
        <w:t>安全加固（</w:t>
      </w:r>
      <w:r>
        <w:rPr>
          <w:rFonts w:ascii="仿宋" w:hAnsi="仿宋" w:eastAsia="仿宋"/>
          <w:color w:val="auto"/>
        </w:rPr>
        <w:t>4</w:t>
      </w:r>
      <w:r>
        <w:rPr>
          <w:rFonts w:hint="eastAsia" w:ascii="仿宋" w:hAnsi="仿宋" w:eastAsia="仿宋"/>
          <w:color w:val="auto"/>
        </w:rPr>
        <w:t>次/年）</w:t>
      </w:r>
    </w:p>
    <w:p>
      <w:pPr>
        <w:ind w:firstLine="480"/>
        <w:rPr>
          <w:rFonts w:ascii="仿宋" w:hAnsi="仿宋" w:eastAsia="仿宋" w:cs="宋体"/>
          <w:color w:val="auto"/>
          <w:szCs w:val="21"/>
        </w:rPr>
      </w:pPr>
      <w:r>
        <w:rPr>
          <w:rFonts w:hint="eastAsia" w:ascii="仿宋" w:hAnsi="仿宋" w:eastAsia="仿宋" w:cs="宋体"/>
          <w:color w:val="auto"/>
          <w:szCs w:val="21"/>
        </w:rPr>
        <w:t>供应商对于通过各种措施发现的安全漏洞、安全弱点、安全风险，需要通过多方面的安全加固措施进行修补，确保每个系统的安全性。安全加固服务主要包括以下类型：</w:t>
      </w:r>
    </w:p>
    <w:p>
      <w:pPr>
        <w:numPr>
          <w:ilvl w:val="0"/>
          <w:numId w:val="15"/>
        </w:numPr>
        <w:rPr>
          <w:rFonts w:ascii="仿宋" w:hAnsi="仿宋" w:eastAsia="仿宋" w:cs="宋体"/>
          <w:color w:val="auto"/>
          <w:szCs w:val="21"/>
        </w:rPr>
      </w:pPr>
      <w:r>
        <w:rPr>
          <w:rFonts w:hint="eastAsia" w:ascii="仿宋" w:hAnsi="仿宋" w:eastAsia="仿宋" w:cs="宋体"/>
          <w:color w:val="auto"/>
          <w:szCs w:val="21"/>
        </w:rPr>
        <w:t>应用系统加固服务：</w:t>
      </w:r>
    </w:p>
    <w:p>
      <w:pPr>
        <w:ind w:firstLine="480"/>
        <w:rPr>
          <w:rFonts w:ascii="仿宋" w:hAnsi="仿宋" w:eastAsia="仿宋" w:cs="宋体"/>
          <w:color w:val="auto"/>
          <w:szCs w:val="21"/>
        </w:rPr>
      </w:pPr>
      <w:r>
        <w:rPr>
          <w:rFonts w:hint="eastAsia" w:ascii="仿宋" w:hAnsi="仿宋" w:eastAsia="仿宋" w:cs="宋体"/>
          <w:color w:val="auto"/>
          <w:szCs w:val="21"/>
        </w:rPr>
        <w:t>发现服务器操作系统或应用软件的不安全配置，并配合</w:t>
      </w:r>
      <w:r>
        <w:rPr>
          <w:rFonts w:hint="eastAsia" w:ascii="仿宋" w:hAnsi="仿宋" w:eastAsia="仿宋" w:cs="宋体"/>
          <w:color w:val="auto"/>
          <w:szCs w:val="24"/>
        </w:rPr>
        <w:t>应用软件服务商</w:t>
      </w:r>
      <w:r>
        <w:rPr>
          <w:rFonts w:hint="eastAsia" w:ascii="仿宋" w:hAnsi="仿宋" w:eastAsia="仿宋" w:cs="宋体"/>
          <w:color w:val="auto"/>
          <w:szCs w:val="21"/>
        </w:rPr>
        <w:t>及时对各项不安全配置进行修复，确保服务器操作系统或应用软件的安全性。应用系统加固包括各项安全策略调整、补丁实施、应用软件升级等内容。对服务器操作系统和应用系统按照信息安全等级保护级别的要求进行加固。</w:t>
      </w:r>
    </w:p>
    <w:p>
      <w:pPr>
        <w:numPr>
          <w:ilvl w:val="0"/>
          <w:numId w:val="15"/>
        </w:numPr>
        <w:rPr>
          <w:rFonts w:ascii="仿宋" w:hAnsi="仿宋" w:eastAsia="仿宋" w:cs="宋体"/>
          <w:color w:val="auto"/>
          <w:szCs w:val="21"/>
        </w:rPr>
      </w:pPr>
      <w:r>
        <w:rPr>
          <w:rFonts w:hint="eastAsia" w:ascii="仿宋" w:hAnsi="仿宋" w:eastAsia="仿宋" w:cs="宋体"/>
          <w:color w:val="auto"/>
          <w:szCs w:val="21"/>
        </w:rPr>
        <w:t>漏洞扫描发现的高风险：</w:t>
      </w:r>
    </w:p>
    <w:p>
      <w:pPr>
        <w:ind w:firstLine="480"/>
        <w:rPr>
          <w:rFonts w:ascii="仿宋" w:hAnsi="仿宋" w:eastAsia="仿宋" w:cs="宋体"/>
          <w:color w:val="auto"/>
          <w:szCs w:val="21"/>
        </w:rPr>
      </w:pPr>
      <w:r>
        <w:rPr>
          <w:rFonts w:hint="eastAsia" w:ascii="仿宋" w:hAnsi="仿宋" w:eastAsia="仿宋" w:cs="宋体"/>
          <w:color w:val="auto"/>
          <w:szCs w:val="21"/>
        </w:rPr>
        <w:t>通过漏洞扫描发现的各类高风险漏洞，需要进行安全加固，以消除高风险安全漏洞。</w:t>
      </w:r>
    </w:p>
    <w:p>
      <w:pPr>
        <w:numPr>
          <w:ilvl w:val="0"/>
          <w:numId w:val="15"/>
        </w:numPr>
        <w:rPr>
          <w:rFonts w:ascii="仿宋" w:hAnsi="仿宋" w:eastAsia="仿宋" w:cs="宋体"/>
          <w:color w:val="auto"/>
          <w:szCs w:val="21"/>
        </w:rPr>
      </w:pPr>
      <w:r>
        <w:rPr>
          <w:rFonts w:hint="eastAsia" w:ascii="仿宋" w:hAnsi="仿宋" w:eastAsia="仿宋" w:cs="宋体"/>
          <w:color w:val="auto"/>
          <w:szCs w:val="21"/>
        </w:rPr>
        <w:t>安全设备加固服务：</w:t>
      </w:r>
    </w:p>
    <w:p>
      <w:pPr>
        <w:ind w:firstLine="480"/>
        <w:rPr>
          <w:rFonts w:ascii="仿宋" w:hAnsi="仿宋" w:eastAsia="仿宋" w:cs="宋体"/>
          <w:color w:val="auto"/>
          <w:szCs w:val="21"/>
        </w:rPr>
      </w:pPr>
      <w:r>
        <w:rPr>
          <w:rFonts w:hint="eastAsia" w:ascii="仿宋" w:hAnsi="仿宋" w:eastAsia="仿宋" w:cs="宋体"/>
          <w:color w:val="auto"/>
          <w:szCs w:val="21"/>
        </w:rPr>
        <w:t>协助甲方调整安全设备的安全策略，如增加服务器、减少服务器而需要改变安全设备的通行端口等内容。</w:t>
      </w:r>
    </w:p>
    <w:p>
      <w:pPr>
        <w:pStyle w:val="4"/>
        <w:rPr>
          <w:rFonts w:ascii="仿宋" w:hAnsi="仿宋" w:eastAsia="仿宋"/>
          <w:color w:val="auto"/>
        </w:rPr>
      </w:pPr>
      <w:r>
        <w:rPr>
          <w:rFonts w:hint="eastAsia" w:ascii="仿宋" w:hAnsi="仿宋" w:eastAsia="仿宋"/>
          <w:color w:val="auto"/>
        </w:rPr>
        <w:t>安全技术培训（1次/年）</w:t>
      </w:r>
    </w:p>
    <w:p>
      <w:pPr>
        <w:ind w:firstLine="480"/>
        <w:rPr>
          <w:rFonts w:ascii="仿宋" w:hAnsi="仿宋" w:eastAsia="仿宋" w:cs="宋体"/>
          <w:color w:val="auto"/>
          <w:szCs w:val="21"/>
        </w:rPr>
      </w:pPr>
      <w:r>
        <w:rPr>
          <w:rFonts w:hint="eastAsia" w:ascii="仿宋" w:hAnsi="仿宋" w:eastAsia="仿宋" w:cs="宋体"/>
          <w:color w:val="auto"/>
          <w:szCs w:val="21"/>
        </w:rPr>
        <w:t>供应商需提供安全技术培训服务，更好的完善甲方安全运维处置能力和信息化建设能力，全面提升信息系统运维管理人员的技术水平，保障重要的基础设施及信息系统安全运行，加强信息管理人员的信息安全意识和防护能力，从技术手段和措施上加强管理力度，确保信息系统运行稳定、可靠、安全</w:t>
      </w:r>
    </w:p>
    <w:p>
      <w:pPr>
        <w:pStyle w:val="4"/>
        <w:rPr>
          <w:rFonts w:ascii="仿宋" w:hAnsi="仿宋" w:eastAsia="仿宋"/>
          <w:color w:val="auto"/>
        </w:rPr>
      </w:pPr>
      <w:r>
        <w:rPr>
          <w:rFonts w:hint="eastAsia" w:ascii="仿宋" w:hAnsi="仿宋" w:eastAsia="仿宋"/>
          <w:color w:val="auto"/>
        </w:rPr>
        <w:t>安全意识及网络安全法培训（1次/年）</w:t>
      </w:r>
    </w:p>
    <w:p>
      <w:pPr>
        <w:ind w:firstLine="480"/>
        <w:rPr>
          <w:rFonts w:ascii="仿宋" w:hAnsi="仿宋" w:eastAsia="仿宋" w:cs="宋体"/>
          <w:color w:val="auto"/>
          <w:szCs w:val="24"/>
        </w:rPr>
      </w:pPr>
      <w:r>
        <w:rPr>
          <w:rFonts w:hint="eastAsia" w:ascii="仿宋" w:hAnsi="仿宋" w:eastAsia="仿宋" w:cs="宋体"/>
          <w:color w:val="auto"/>
          <w:szCs w:val="21"/>
        </w:rPr>
        <w:t>供应商提供</w:t>
      </w:r>
      <w:r>
        <w:rPr>
          <w:rFonts w:hint="eastAsia" w:ascii="仿宋" w:hAnsi="仿宋" w:eastAsia="仿宋" w:cs="宋体"/>
          <w:color w:val="auto"/>
          <w:szCs w:val="24"/>
        </w:rPr>
        <w:t>培训课程应从安全基础知识起，全面系统地引导技术人员学习信息安全理论，掌握安全攻防技能，培训内容包括以下内容：信息安全技术理论、信息安全管理实操、信息安全标准和信息安全法律法规等。</w:t>
      </w:r>
    </w:p>
    <w:p>
      <w:pPr>
        <w:ind w:firstLine="480"/>
        <w:rPr>
          <w:rFonts w:ascii="仿宋" w:hAnsi="仿宋" w:eastAsia="仿宋" w:cs="宋体"/>
          <w:color w:val="auto"/>
          <w:szCs w:val="24"/>
        </w:rPr>
      </w:pPr>
      <w:r>
        <w:rPr>
          <w:rFonts w:hint="eastAsia" w:ascii="仿宋" w:hAnsi="仿宋" w:eastAsia="仿宋" w:cs="宋体"/>
          <w:color w:val="auto"/>
          <w:szCs w:val="24"/>
        </w:rPr>
        <w:t>同时利用网络安全宣传周形式提供安全意识服务，其中包含动态宣贯、静态宣导。动态宣贯内含包含动画、安全视频以及人工培训，静态宣导包含海报宣传、易拉宝等方式。</w:t>
      </w:r>
    </w:p>
    <w:p>
      <w:pPr>
        <w:pStyle w:val="4"/>
        <w:rPr>
          <w:rFonts w:ascii="仿宋" w:hAnsi="仿宋" w:eastAsia="仿宋"/>
          <w:color w:val="auto"/>
        </w:rPr>
      </w:pPr>
      <w:r>
        <w:rPr>
          <w:rFonts w:hint="eastAsia" w:ascii="仿宋" w:hAnsi="仿宋" w:eastAsia="仿宋"/>
          <w:color w:val="auto"/>
        </w:rPr>
        <w:t>安全通告服务（</w:t>
      </w:r>
      <w:r>
        <w:rPr>
          <w:rFonts w:ascii="仿宋" w:hAnsi="仿宋" w:eastAsia="仿宋"/>
          <w:color w:val="auto"/>
        </w:rPr>
        <w:t>12</w:t>
      </w:r>
      <w:r>
        <w:rPr>
          <w:rFonts w:hint="eastAsia" w:ascii="仿宋" w:hAnsi="仿宋" w:eastAsia="仿宋"/>
          <w:color w:val="auto"/>
        </w:rPr>
        <w:t>次/年）</w:t>
      </w:r>
    </w:p>
    <w:p>
      <w:pPr>
        <w:ind w:firstLine="480"/>
        <w:rPr>
          <w:rFonts w:ascii="仿宋" w:hAnsi="仿宋" w:eastAsia="仿宋" w:cs="宋体"/>
          <w:color w:val="auto"/>
          <w:szCs w:val="24"/>
        </w:rPr>
      </w:pPr>
      <w:bookmarkStart w:id="25" w:name="_Hlk168317509"/>
      <w:r>
        <w:rPr>
          <w:rFonts w:hint="eastAsia" w:ascii="仿宋" w:hAnsi="仿宋" w:eastAsia="仿宋" w:cs="宋体"/>
          <w:color w:val="auto"/>
          <w:szCs w:val="21"/>
        </w:rPr>
        <w:t>供应商每次需提供漏扫及相应的紧急安全事件通告服务</w:t>
      </w:r>
      <w:r>
        <w:rPr>
          <w:rFonts w:hint="eastAsia" w:ascii="仿宋" w:hAnsi="仿宋" w:eastAsia="仿宋" w:cs="宋体"/>
          <w:color w:val="auto"/>
          <w:szCs w:val="24"/>
        </w:rPr>
        <w:t>，内容将包含国内外网络安全时间、漏洞预警时间，并提供通报预警报告和整改建议</w:t>
      </w:r>
      <w:bookmarkEnd w:id="25"/>
      <w:r>
        <w:rPr>
          <w:rFonts w:hint="eastAsia" w:ascii="仿宋" w:hAnsi="仿宋" w:eastAsia="仿宋" w:cs="宋体"/>
          <w:color w:val="auto"/>
          <w:szCs w:val="24"/>
        </w:rPr>
        <w:t>。</w:t>
      </w:r>
    </w:p>
    <w:p>
      <w:pPr>
        <w:pStyle w:val="4"/>
        <w:rPr>
          <w:rFonts w:ascii="仿宋" w:hAnsi="仿宋" w:eastAsia="仿宋"/>
          <w:color w:val="auto"/>
        </w:rPr>
      </w:pPr>
      <w:r>
        <w:rPr>
          <w:rFonts w:hint="eastAsia" w:ascii="仿宋" w:hAnsi="仿宋" w:eastAsia="仿宋"/>
          <w:color w:val="auto"/>
        </w:rPr>
        <w:t>应急响应（全年）</w:t>
      </w:r>
    </w:p>
    <w:p>
      <w:pPr>
        <w:ind w:firstLine="480"/>
        <w:rPr>
          <w:rFonts w:ascii="仿宋" w:hAnsi="仿宋" w:eastAsia="仿宋" w:cs="宋体"/>
          <w:color w:val="auto"/>
          <w:szCs w:val="24"/>
        </w:rPr>
      </w:pPr>
      <w:r>
        <w:rPr>
          <w:rFonts w:hint="eastAsia" w:ascii="仿宋" w:hAnsi="仿宋" w:eastAsia="仿宋" w:cs="宋体"/>
          <w:color w:val="auto"/>
          <w:szCs w:val="24"/>
        </w:rPr>
        <w:t>对于应用系统中出现的影响业务正常运行的任何异常事件进行现场服务支持并且保证数据安全。如：重大业务调整、网络中断、故障排查、策略修改等需要的故障修复或协助服务；破坏应用系统的完整性、系统资源拒绝服务、通过渗透或者入侵的方式来对系统进行非法访问，系统资源的滥用以及任何可能对系统造成损害的行为等，都属于应急响应服务的内容，能够协助甲方快速止损，最大化降低安全事件带来的影响。</w:t>
      </w:r>
    </w:p>
    <w:p>
      <w:pPr>
        <w:ind w:firstLine="480"/>
        <w:rPr>
          <w:rFonts w:ascii="仿宋" w:hAnsi="仿宋" w:eastAsia="仿宋" w:cs="宋体"/>
          <w:color w:val="auto"/>
          <w:szCs w:val="24"/>
        </w:rPr>
      </w:pPr>
      <w:r>
        <w:rPr>
          <w:rFonts w:hint="eastAsia" w:ascii="仿宋" w:hAnsi="仿宋" w:eastAsia="仿宋" w:cs="宋体"/>
          <w:color w:val="auto"/>
          <w:szCs w:val="24"/>
        </w:rPr>
        <w:t>供应商需要提供的应急响应包括三个级别的应急响应支持：紧急事件应急响应：</w:t>
      </w:r>
      <w:r>
        <w:rPr>
          <w:rFonts w:ascii="仿宋" w:hAnsi="仿宋" w:eastAsia="仿宋" w:cs="宋体"/>
          <w:color w:val="auto"/>
          <w:szCs w:val="24"/>
        </w:rPr>
        <w:t>1</w:t>
      </w:r>
      <w:r>
        <w:rPr>
          <w:rFonts w:hint="eastAsia" w:ascii="仿宋" w:hAnsi="仿宋" w:eastAsia="仿宋" w:cs="宋体"/>
          <w:color w:val="auto"/>
          <w:szCs w:val="24"/>
        </w:rPr>
        <w:t>小时内到达现场并且</w:t>
      </w:r>
      <w:r>
        <w:rPr>
          <w:rFonts w:ascii="仿宋" w:hAnsi="仿宋" w:eastAsia="仿宋" w:cs="宋体"/>
          <w:color w:val="auto"/>
          <w:szCs w:val="24"/>
        </w:rPr>
        <w:t>4</w:t>
      </w:r>
      <w:r>
        <w:rPr>
          <w:rFonts w:hint="eastAsia" w:ascii="仿宋" w:hAnsi="仿宋" w:eastAsia="仿宋" w:cs="宋体"/>
          <w:color w:val="auto"/>
          <w:szCs w:val="24"/>
        </w:rPr>
        <w:t>小时内解决故障；一般事件应急响应：</w:t>
      </w:r>
      <w:r>
        <w:rPr>
          <w:rFonts w:ascii="仿宋" w:hAnsi="仿宋" w:eastAsia="仿宋" w:cs="宋体"/>
          <w:color w:val="auto"/>
          <w:szCs w:val="24"/>
        </w:rPr>
        <w:t>4</w:t>
      </w:r>
      <w:r>
        <w:rPr>
          <w:rFonts w:hint="eastAsia" w:ascii="仿宋" w:hAnsi="仿宋" w:eastAsia="仿宋" w:cs="宋体"/>
          <w:color w:val="auto"/>
          <w:szCs w:val="24"/>
        </w:rPr>
        <w:t>小时内到达响应现场并且2</w:t>
      </w:r>
      <w:r>
        <w:rPr>
          <w:rFonts w:ascii="仿宋" w:hAnsi="仿宋" w:eastAsia="仿宋" w:cs="宋体"/>
          <w:color w:val="auto"/>
          <w:szCs w:val="24"/>
        </w:rPr>
        <w:t>4</w:t>
      </w:r>
      <w:r>
        <w:rPr>
          <w:rFonts w:hint="eastAsia" w:ascii="仿宋" w:hAnsi="仿宋" w:eastAsia="仿宋" w:cs="宋体"/>
          <w:color w:val="auto"/>
          <w:szCs w:val="24"/>
        </w:rPr>
        <w:t>小时内解决故障。同时还需提供对以下的事件进行响应：</w:t>
      </w:r>
    </w:p>
    <w:p>
      <w:pPr>
        <w:widowControl/>
        <w:ind w:firstLine="480" w:firstLineChars="200"/>
        <w:rPr>
          <w:rFonts w:ascii="仿宋" w:hAnsi="仿宋" w:eastAsia="仿宋" w:cs="宋体"/>
          <w:color w:val="auto"/>
          <w:szCs w:val="24"/>
        </w:rPr>
      </w:pPr>
      <w:r>
        <w:rPr>
          <w:rFonts w:hint="eastAsia" w:ascii="仿宋" w:hAnsi="仿宋" w:eastAsia="仿宋" w:cs="宋体"/>
          <w:color w:val="auto"/>
          <w:szCs w:val="24"/>
        </w:rPr>
        <w:t>a．通过失陷主机功能分析其失陷确定性为“已失陷”的事件；</w:t>
      </w:r>
    </w:p>
    <w:p>
      <w:pPr>
        <w:widowControl/>
        <w:ind w:firstLine="480" w:firstLineChars="200"/>
        <w:rPr>
          <w:rFonts w:ascii="仿宋" w:hAnsi="仿宋" w:eastAsia="仿宋" w:cs="宋体"/>
          <w:color w:val="auto"/>
          <w:szCs w:val="24"/>
        </w:rPr>
      </w:pPr>
      <w:r>
        <w:rPr>
          <w:rFonts w:hint="eastAsia" w:ascii="仿宋" w:hAnsi="仿宋" w:eastAsia="仿宋" w:cs="宋体"/>
          <w:color w:val="auto"/>
          <w:szCs w:val="24"/>
        </w:rPr>
        <w:t>b．通过失陷主机功能分析其失陷确定性为“高可疑”的事件。</w:t>
      </w:r>
    </w:p>
    <w:p>
      <w:pPr>
        <w:widowControl/>
        <w:ind w:firstLine="480" w:firstLineChars="200"/>
        <w:rPr>
          <w:rFonts w:ascii="仿宋" w:hAnsi="仿宋" w:eastAsia="仿宋" w:cs="宋体"/>
          <w:color w:val="auto"/>
          <w:szCs w:val="24"/>
        </w:rPr>
      </w:pPr>
      <w:r>
        <w:rPr>
          <w:rFonts w:hint="eastAsia" w:ascii="仿宋" w:hAnsi="仿宋" w:eastAsia="仿宋" w:cs="宋体"/>
          <w:color w:val="auto"/>
          <w:szCs w:val="24"/>
        </w:rPr>
        <w:t>事件响应的内容包括：</w:t>
      </w:r>
    </w:p>
    <w:p>
      <w:pPr>
        <w:widowControl/>
        <w:ind w:firstLine="480" w:firstLineChars="200"/>
        <w:rPr>
          <w:rFonts w:ascii="仿宋" w:hAnsi="仿宋" w:eastAsia="仿宋" w:cs="宋体"/>
          <w:color w:val="auto"/>
          <w:szCs w:val="24"/>
        </w:rPr>
      </w:pPr>
      <w:r>
        <w:rPr>
          <w:rFonts w:hint="eastAsia" w:ascii="仿宋" w:hAnsi="仿宋" w:eastAsia="仿宋" w:cs="宋体"/>
          <w:color w:val="auto"/>
          <w:szCs w:val="24"/>
        </w:rPr>
        <w:t>a．对事件的失陷确定性进行判断</w:t>
      </w:r>
    </w:p>
    <w:p>
      <w:pPr>
        <w:widowControl/>
        <w:ind w:firstLine="480" w:firstLineChars="200"/>
        <w:rPr>
          <w:rFonts w:ascii="仿宋" w:hAnsi="仿宋" w:eastAsia="仿宋" w:cs="宋体"/>
          <w:color w:val="auto"/>
          <w:szCs w:val="24"/>
        </w:rPr>
      </w:pPr>
      <w:r>
        <w:rPr>
          <w:rFonts w:hint="eastAsia" w:ascii="仿宋" w:hAnsi="仿宋" w:eastAsia="仿宋" w:cs="宋体"/>
          <w:color w:val="auto"/>
          <w:szCs w:val="24"/>
        </w:rPr>
        <w:t>b．对确定失陷的主机进行清理，清除感染的恶意程序或被植入的网页木马。</w:t>
      </w:r>
    </w:p>
    <w:p>
      <w:pPr>
        <w:widowControl/>
        <w:ind w:firstLine="480" w:firstLineChars="200"/>
        <w:rPr>
          <w:rFonts w:ascii="仿宋" w:hAnsi="仿宋" w:eastAsia="仿宋" w:cs="宋体"/>
          <w:color w:val="auto"/>
          <w:szCs w:val="24"/>
        </w:rPr>
      </w:pPr>
      <w:r>
        <w:rPr>
          <w:rFonts w:hint="eastAsia" w:ascii="仿宋" w:hAnsi="仿宋" w:eastAsia="仿宋" w:cs="宋体"/>
          <w:color w:val="auto"/>
          <w:szCs w:val="24"/>
        </w:rPr>
        <w:t>c．对病毒的感染方式或者业务被入侵的途径进行分析</w:t>
      </w:r>
    </w:p>
    <w:p>
      <w:pPr>
        <w:widowControl/>
        <w:ind w:firstLine="480" w:firstLineChars="200"/>
        <w:rPr>
          <w:rFonts w:ascii="仿宋" w:hAnsi="仿宋" w:eastAsia="仿宋" w:cs="宋体"/>
          <w:color w:val="auto"/>
          <w:szCs w:val="24"/>
        </w:rPr>
      </w:pPr>
      <w:r>
        <w:rPr>
          <w:rFonts w:hint="eastAsia" w:ascii="仿宋" w:hAnsi="仿宋" w:eastAsia="仿宋" w:cs="宋体"/>
          <w:color w:val="auto"/>
          <w:szCs w:val="24"/>
        </w:rPr>
        <w:t>d．对事件的预防给出加固建议</w:t>
      </w:r>
    </w:p>
    <w:p>
      <w:pPr>
        <w:pStyle w:val="4"/>
        <w:rPr>
          <w:rFonts w:ascii="仿宋" w:hAnsi="仿宋" w:eastAsia="仿宋"/>
          <w:color w:val="auto"/>
        </w:rPr>
      </w:pPr>
      <w:r>
        <w:rPr>
          <w:rFonts w:hint="eastAsia" w:ascii="仿宋" w:hAnsi="仿宋" w:eastAsia="仿宋"/>
          <w:color w:val="auto"/>
        </w:rPr>
        <w:t>安全管理体系建设合规咨询</w:t>
      </w:r>
    </w:p>
    <w:p>
      <w:pPr>
        <w:ind w:firstLine="480"/>
        <w:rPr>
          <w:rFonts w:ascii="仿宋" w:hAnsi="仿宋" w:eastAsia="仿宋" w:cs="宋体"/>
          <w:color w:val="auto"/>
          <w:szCs w:val="21"/>
        </w:rPr>
      </w:pPr>
      <w:r>
        <w:rPr>
          <w:rFonts w:hint="eastAsia" w:ascii="仿宋" w:hAnsi="仿宋" w:eastAsia="仿宋" w:cs="宋体"/>
          <w:color w:val="auto"/>
          <w:szCs w:val="24"/>
        </w:rPr>
        <w:t>供应商需</w:t>
      </w:r>
      <w:r>
        <w:rPr>
          <w:rFonts w:hint="eastAsia" w:ascii="仿宋" w:hAnsi="仿宋" w:eastAsia="仿宋" w:cs="宋体"/>
          <w:color w:val="auto"/>
          <w:szCs w:val="21"/>
        </w:rPr>
        <w:t>根据信息安全管理体系基本要求，结合组织自身情况和需求，协助组织按照PDCA的过程，规划、建设、使用和维护信息安全管理体系，做方案的修订与增补。</w:t>
      </w:r>
    </w:p>
    <w:p>
      <w:pPr>
        <w:pStyle w:val="4"/>
        <w:rPr>
          <w:rFonts w:ascii="仿宋" w:hAnsi="仿宋" w:eastAsia="仿宋"/>
          <w:color w:val="auto"/>
        </w:rPr>
      </w:pPr>
      <w:bookmarkStart w:id="26" w:name="_Hlk168400019"/>
      <w:r>
        <w:rPr>
          <w:rFonts w:hint="eastAsia" w:ascii="仿宋" w:hAnsi="仿宋" w:eastAsia="仿宋"/>
          <w:color w:val="auto"/>
        </w:rPr>
        <w:t>基础环境评估（</w:t>
      </w:r>
      <w:r>
        <w:rPr>
          <w:rFonts w:ascii="仿宋" w:hAnsi="仿宋" w:eastAsia="仿宋"/>
          <w:color w:val="auto"/>
        </w:rPr>
        <w:t>4</w:t>
      </w:r>
      <w:r>
        <w:rPr>
          <w:rFonts w:hint="eastAsia" w:ascii="仿宋" w:hAnsi="仿宋" w:eastAsia="仿宋"/>
          <w:color w:val="auto"/>
        </w:rPr>
        <w:t>次/年）</w:t>
      </w:r>
    </w:p>
    <w:p>
      <w:pPr>
        <w:ind w:firstLine="420"/>
        <w:rPr>
          <w:rFonts w:ascii="仿宋" w:hAnsi="仿宋" w:eastAsia="仿宋" w:cs="宋体"/>
          <w:color w:val="auto"/>
          <w:szCs w:val="21"/>
        </w:rPr>
      </w:pPr>
      <w:bookmarkStart w:id="27" w:name="_Hlk168322770"/>
      <w:r>
        <w:rPr>
          <w:rFonts w:hint="eastAsia" w:ascii="仿宋" w:hAnsi="仿宋" w:eastAsia="仿宋" w:cs="宋体"/>
          <w:color w:val="auto"/>
          <w:szCs w:val="24"/>
        </w:rPr>
        <w:t>供应商需提供</w:t>
      </w:r>
      <w:r>
        <w:rPr>
          <w:rFonts w:hint="eastAsia" w:ascii="仿宋" w:hAnsi="仿宋" w:eastAsia="仿宋" w:cs="宋体"/>
          <w:color w:val="auto"/>
          <w:szCs w:val="21"/>
        </w:rPr>
        <w:t>基础环境评估服务，按上线系统套数预估，提供整改建议及报告。</w:t>
      </w:r>
    </w:p>
    <w:bookmarkEnd w:id="26"/>
    <w:bookmarkEnd w:id="27"/>
    <w:p>
      <w:pPr>
        <w:pStyle w:val="4"/>
        <w:rPr>
          <w:rFonts w:ascii="仿宋" w:hAnsi="仿宋" w:eastAsia="仿宋"/>
          <w:color w:val="auto"/>
        </w:rPr>
      </w:pPr>
      <w:r>
        <w:rPr>
          <w:rFonts w:hint="eastAsia" w:ascii="仿宋" w:hAnsi="仿宋" w:eastAsia="仿宋"/>
          <w:color w:val="auto"/>
        </w:rPr>
        <w:t>渗透测试（</w:t>
      </w:r>
      <w:r>
        <w:rPr>
          <w:rFonts w:ascii="仿宋" w:hAnsi="仿宋" w:eastAsia="仿宋"/>
          <w:color w:val="auto"/>
        </w:rPr>
        <w:t>5</w:t>
      </w:r>
      <w:r>
        <w:rPr>
          <w:rFonts w:hint="eastAsia" w:ascii="仿宋" w:hAnsi="仿宋" w:eastAsia="仿宋"/>
          <w:color w:val="auto"/>
        </w:rPr>
        <w:t>个业务系统/年）</w:t>
      </w:r>
    </w:p>
    <w:p>
      <w:pPr>
        <w:ind w:firstLine="480"/>
        <w:rPr>
          <w:rFonts w:ascii="仿宋" w:hAnsi="仿宋" w:eastAsia="仿宋" w:cs="宋体"/>
          <w:color w:val="auto"/>
          <w:szCs w:val="21"/>
        </w:rPr>
      </w:pPr>
      <w:r>
        <w:rPr>
          <w:rFonts w:hint="eastAsia" w:ascii="仿宋" w:hAnsi="仿宋" w:eastAsia="仿宋" w:cs="宋体"/>
          <w:color w:val="auto"/>
          <w:szCs w:val="21"/>
        </w:rPr>
        <w:t>供应商安全工程师需模拟黑客的行为模式，采用黑客的漏洞发现和利用技术，以及尽可能多的攻击方法，对目标应用系统的安全性进行深入分析。</w:t>
      </w:r>
    </w:p>
    <w:p>
      <w:pPr>
        <w:ind w:firstLine="480"/>
        <w:rPr>
          <w:rFonts w:ascii="仿宋" w:hAnsi="仿宋" w:eastAsia="仿宋" w:cs="宋体"/>
          <w:color w:val="auto"/>
          <w:szCs w:val="21"/>
        </w:rPr>
      </w:pPr>
      <w:r>
        <w:rPr>
          <w:rFonts w:hint="eastAsia" w:ascii="仿宋" w:hAnsi="仿宋" w:eastAsia="仿宋" w:cs="宋体"/>
          <w:color w:val="auto"/>
          <w:szCs w:val="21"/>
        </w:rPr>
        <w:t>渗透测试需要提交渗透测试报告，渗透测试报告应包括对每套系统安全问题的验证分析、影响分析和解决措施等内容。对WEB系统的渗透测试，需要在互联网网络的任一位置进行渗透测试；对内部系统的渗透测试，必须在内部办公网络进行渗透测试。</w:t>
      </w:r>
    </w:p>
    <w:p>
      <w:pPr>
        <w:ind w:firstLine="480"/>
        <w:rPr>
          <w:rFonts w:ascii="仿宋" w:hAnsi="仿宋" w:eastAsia="仿宋" w:cs="宋体"/>
          <w:color w:val="auto"/>
          <w:szCs w:val="21"/>
        </w:rPr>
      </w:pPr>
      <w:r>
        <w:rPr>
          <w:rFonts w:hint="eastAsia" w:ascii="仿宋" w:hAnsi="仿宋" w:eastAsia="仿宋" w:cs="宋体"/>
          <w:color w:val="auto"/>
          <w:szCs w:val="21"/>
        </w:rPr>
        <w:t>针对系统的渗透测试服务，包含如下典型的漏洞类型，并针对所有漏洞进行安全验证：</w:t>
      </w:r>
    </w:p>
    <w:tbl>
      <w:tblPr>
        <w:tblStyle w:val="40"/>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6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701" w:type="dxa"/>
            <w:tcBorders>
              <w:top w:val="single" w:color="auto" w:sz="4" w:space="0"/>
              <w:left w:val="single" w:color="auto" w:sz="4" w:space="0"/>
              <w:bottom w:val="single" w:color="auto" w:sz="4" w:space="0"/>
              <w:right w:val="single" w:color="auto" w:sz="4" w:space="0"/>
            </w:tcBorders>
            <w:shd w:val="clear" w:color="auto" w:fill="F2F2F2"/>
            <w:vAlign w:val="center"/>
          </w:tcPr>
          <w:p>
            <w:pPr>
              <w:jc w:val="center"/>
              <w:rPr>
                <w:rFonts w:ascii="仿宋" w:hAnsi="仿宋" w:eastAsia="仿宋" w:cs="宋体"/>
                <w:b/>
                <w:color w:val="auto"/>
                <w:szCs w:val="24"/>
              </w:rPr>
            </w:pPr>
            <w:r>
              <w:rPr>
                <w:rFonts w:hint="eastAsia" w:ascii="仿宋" w:hAnsi="仿宋" w:eastAsia="仿宋" w:cs="宋体"/>
                <w:b/>
                <w:color w:val="auto"/>
                <w:szCs w:val="24"/>
              </w:rPr>
              <w:t>漏洞类型</w:t>
            </w:r>
          </w:p>
        </w:tc>
        <w:tc>
          <w:tcPr>
            <w:tcW w:w="6883" w:type="dxa"/>
            <w:tcBorders>
              <w:top w:val="single" w:color="auto" w:sz="4" w:space="0"/>
              <w:left w:val="single" w:color="auto" w:sz="4" w:space="0"/>
              <w:bottom w:val="single" w:color="auto" w:sz="4" w:space="0"/>
              <w:right w:val="single" w:color="auto" w:sz="4" w:space="0"/>
            </w:tcBorders>
            <w:shd w:val="clear" w:color="auto" w:fill="F2F2F2"/>
            <w:vAlign w:val="center"/>
          </w:tcPr>
          <w:p>
            <w:pPr>
              <w:ind w:firstLine="480"/>
              <w:jc w:val="center"/>
              <w:rPr>
                <w:rFonts w:ascii="仿宋" w:hAnsi="仿宋" w:eastAsia="仿宋" w:cs="宋体"/>
                <w:b/>
                <w:color w:val="auto"/>
                <w:szCs w:val="24"/>
              </w:rPr>
            </w:pPr>
            <w:r>
              <w:rPr>
                <w:rFonts w:hint="eastAsia" w:ascii="仿宋" w:hAnsi="仿宋" w:eastAsia="仿宋" w:cs="宋体"/>
                <w:b/>
                <w:color w:val="auto"/>
                <w:szCs w:val="24"/>
              </w:rPr>
              <w:t>简要描述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跨站脚本</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bCs/>
                <w:color w:val="auto"/>
                <w:szCs w:val="24"/>
              </w:rPr>
            </w:pPr>
            <w:r>
              <w:rPr>
                <w:rFonts w:hint="eastAsia" w:ascii="仿宋" w:hAnsi="仿宋" w:eastAsia="仿宋" w:cs="宋体"/>
                <w:bCs/>
                <w:color w:val="auto"/>
                <w:szCs w:val="24"/>
              </w:rPr>
              <w:t>跨站脚本（即XSS）漏洞允许攻击者向其他用户发送恶意代码（通常是</w:t>
            </w:r>
            <w:r>
              <w:rPr>
                <w:rFonts w:ascii="仿宋" w:hAnsi="仿宋" w:eastAsia="仿宋" w:cs="宋体"/>
                <w:bCs/>
                <w:color w:val="auto"/>
                <w:szCs w:val="24"/>
              </w:rPr>
              <w:t>JavaScript</w:t>
            </w:r>
            <w:r>
              <w:rPr>
                <w:rFonts w:hint="eastAsia" w:ascii="仿宋" w:hAnsi="仿宋" w:eastAsia="仿宋" w:cs="宋体"/>
                <w:bCs/>
                <w:color w:val="auto"/>
                <w:szCs w:val="24"/>
              </w:rPr>
              <w:t>格式的）。浏览器不能判断该脚本是否可被信任，因此会在用户上下文中执行此脚本。恶意人员可利用跨站脚本构造诱骗页面,诱骗用户登陆，进而获取登陆者的用户名称、密码等敏感信息，进行非法活动。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SQL注入</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bCs/>
                <w:color w:val="auto"/>
                <w:szCs w:val="24"/>
              </w:rPr>
            </w:pPr>
            <w:r>
              <w:rPr>
                <w:rFonts w:hint="eastAsia" w:ascii="仿宋" w:hAnsi="仿宋" w:eastAsia="仿宋" w:cs="宋体"/>
                <w:bCs/>
                <w:color w:val="auto"/>
                <w:szCs w:val="24"/>
              </w:rPr>
              <w:t>web应用程序接收的用户输入在没有对输入的字符进行恶意字符过滤的前提下，直接用来拼接SQL语句，造成了SQL注入漏洞。攻击者利用此注入漏洞，通过对数据库的猜解，可得到应用系统管理员的用户名和密码，进而获取站点的上传权限得到</w:t>
            </w:r>
            <w:r>
              <w:rPr>
                <w:rFonts w:ascii="仿宋" w:hAnsi="仿宋" w:eastAsia="仿宋" w:cs="宋体"/>
                <w:bCs/>
                <w:color w:val="auto"/>
                <w:szCs w:val="24"/>
              </w:rPr>
              <w:t>webshell</w:t>
            </w:r>
            <w:r>
              <w:rPr>
                <w:rFonts w:hint="eastAsia" w:ascii="仿宋" w:hAnsi="仿宋" w:eastAsia="仿宋" w:cs="宋体"/>
                <w:bCs/>
                <w:color w:val="auto"/>
                <w:szCs w:val="24"/>
              </w:rPr>
              <w:t>,利用权限提升控制服务器，对整个外部和内部网络系统造成重大损失。SQL注入是目前互联网中应用最普遍的一个应用层攻击。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代码执行</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bCs/>
                <w:color w:val="auto"/>
                <w:szCs w:val="24"/>
              </w:rPr>
            </w:pPr>
            <w:r>
              <w:rPr>
                <w:rFonts w:hint="eastAsia" w:ascii="仿宋" w:hAnsi="仿宋" w:eastAsia="仿宋" w:cs="宋体"/>
                <w:bCs/>
                <w:color w:val="auto"/>
                <w:szCs w:val="24"/>
              </w:rPr>
              <w:t>让程序将输入的内容作为代码来执行，从而获得远程系统的访问权限。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目录遍历</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bCs/>
                <w:color w:val="auto"/>
                <w:szCs w:val="24"/>
              </w:rPr>
            </w:pPr>
            <w:r>
              <w:rPr>
                <w:rFonts w:hint="eastAsia" w:ascii="仿宋" w:hAnsi="仿宋" w:eastAsia="仿宋" w:cs="宋体"/>
                <w:bCs/>
                <w:color w:val="auto"/>
                <w:szCs w:val="24"/>
              </w:rPr>
              <w:t>由于WEB服务器配置不正确或WEB服务器自身存在漏洞,可导致非法人员下载服务器端的文件。攻击者利用此漏洞可遍历服务器目录,造成诸如应用系统源代码、内网地址等相关重要信息泄露,并由此可能暴露出更严重的安全漏洞，为非法者进一步攻击提供了可能的机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文件包含</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bCs/>
                <w:color w:val="auto"/>
                <w:szCs w:val="24"/>
              </w:rPr>
            </w:pPr>
            <w:r>
              <w:rPr>
                <w:rFonts w:hint="eastAsia" w:ascii="仿宋" w:hAnsi="仿宋" w:eastAsia="仿宋" w:cs="宋体"/>
                <w:bCs/>
                <w:color w:val="auto"/>
                <w:szCs w:val="24"/>
              </w:rPr>
              <w:t>脚本在包含文件时，直接使用用户提交上来的数据作为文件名。这些数据在使用前并没有进行适当的验证。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脚本源码泄露</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bCs/>
                <w:color w:val="auto"/>
                <w:szCs w:val="24"/>
              </w:rPr>
            </w:pPr>
            <w:r>
              <w:rPr>
                <w:rFonts w:hint="eastAsia" w:ascii="仿宋" w:hAnsi="仿宋" w:eastAsia="仿宋" w:cs="宋体"/>
                <w:bCs/>
                <w:color w:val="auto"/>
                <w:szCs w:val="24"/>
              </w:rPr>
              <w:t>把脚本文件名作为参数可能读取该脚本的源代码。该脚本在包含文件时，直接使用用户提交上来的数据作为文件名。这些数据在使用前并没有进行适当的过滤。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4"/>
              </w:rPr>
            </w:pPr>
            <w:r>
              <w:rPr>
                <w:rFonts w:hint="eastAsia" w:ascii="仿宋" w:hAnsi="仿宋" w:eastAsia="仿宋" w:cs="宋体"/>
                <w:color w:val="auto"/>
                <w:szCs w:val="24"/>
              </w:rPr>
              <w:t>物理路径泄漏</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bCs/>
                <w:color w:val="auto"/>
                <w:szCs w:val="24"/>
              </w:rPr>
            </w:pPr>
            <w:r>
              <w:rPr>
                <w:rFonts w:hint="eastAsia" w:ascii="仿宋" w:hAnsi="仿宋" w:eastAsia="仿宋" w:cs="宋体"/>
                <w:bCs/>
                <w:color w:val="auto"/>
                <w:szCs w:val="24"/>
              </w:rPr>
              <w:t>远程攻击者可以利用这类漏洞获得服务器物理路径信息。当客户端请求一个不存在的文件时，会返回一些出错信息，这可能允许攻击者了解服务器的配置情况，可能有助于发动进一步攻击。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应用错误信息</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color w:val="auto"/>
                <w:szCs w:val="24"/>
              </w:rPr>
            </w:pPr>
            <w:r>
              <w:rPr>
                <w:rFonts w:hint="eastAsia" w:ascii="仿宋" w:hAnsi="仿宋" w:eastAsia="仿宋" w:cs="宋体"/>
                <w:color w:val="auto"/>
                <w:szCs w:val="24"/>
              </w:rPr>
              <w:t>这种漏洞会泄漏一些WEB的内部信息，这些信息可能会包括WEB开发使用的语言、中间件、开发框架、数据库的名称、版本号等，这些信息都会有助于黑客进行进一步的准确攻击。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4"/>
              </w:rPr>
            </w:pPr>
            <w:r>
              <w:rPr>
                <w:rFonts w:hint="eastAsia" w:ascii="仿宋" w:hAnsi="仿宋" w:eastAsia="仿宋" w:cs="宋体"/>
                <w:color w:val="auto"/>
                <w:szCs w:val="24"/>
              </w:rPr>
              <w:t>备份文件</w:t>
            </w:r>
          </w:p>
        </w:tc>
        <w:tc>
          <w:tcPr>
            <w:tcW w:w="6883" w:type="dxa"/>
            <w:tcBorders>
              <w:top w:val="single" w:color="auto" w:sz="4" w:space="0"/>
              <w:left w:val="single" w:color="auto" w:sz="4" w:space="0"/>
              <w:bottom w:val="single" w:color="auto" w:sz="4" w:space="0"/>
              <w:right w:val="single" w:color="auto" w:sz="4" w:space="0"/>
            </w:tcBorders>
            <w:vAlign w:val="center"/>
          </w:tcPr>
          <w:p>
            <w:pPr>
              <w:ind w:firstLine="480"/>
              <w:rPr>
                <w:rFonts w:ascii="仿宋" w:hAnsi="仿宋" w:eastAsia="仿宋" w:cs="宋体"/>
                <w:color w:val="auto"/>
                <w:szCs w:val="24"/>
              </w:rPr>
            </w:pPr>
            <w:r>
              <w:rPr>
                <w:rFonts w:hint="eastAsia" w:ascii="仿宋" w:hAnsi="仿宋" w:eastAsia="仿宋" w:cs="宋体"/>
                <w:color w:val="auto"/>
                <w:szCs w:val="24"/>
              </w:rPr>
              <w:t>备份文件通常是开发人员为备份他们的工作而创建的，web server上备份文件可能包含敏感信息，从而被攻击者利用。</w:t>
            </w:r>
          </w:p>
        </w:tc>
      </w:tr>
    </w:tbl>
    <w:p>
      <w:pPr>
        <w:pStyle w:val="4"/>
        <w:rPr>
          <w:rFonts w:ascii="仿宋" w:hAnsi="仿宋" w:eastAsia="仿宋"/>
          <w:color w:val="auto"/>
        </w:rPr>
      </w:pPr>
      <w:bookmarkStart w:id="28" w:name="_Hlk168397857"/>
      <w:bookmarkStart w:id="29" w:name="_Hlk168400061"/>
      <w:r>
        <w:rPr>
          <w:rFonts w:hint="eastAsia" w:ascii="仿宋" w:hAnsi="仿宋" w:eastAsia="仿宋"/>
          <w:color w:val="auto"/>
        </w:rPr>
        <w:t>安全应急演练（1次/年）</w:t>
      </w:r>
    </w:p>
    <w:bookmarkEnd w:id="28"/>
    <w:p>
      <w:pPr>
        <w:ind w:firstLine="480"/>
        <w:rPr>
          <w:rFonts w:ascii="仿宋" w:hAnsi="仿宋" w:eastAsia="仿宋" w:cs="宋体"/>
          <w:color w:val="auto"/>
          <w:szCs w:val="24"/>
        </w:rPr>
      </w:pPr>
      <w:r>
        <w:rPr>
          <w:rFonts w:hint="eastAsia" w:ascii="仿宋" w:hAnsi="仿宋" w:eastAsia="仿宋" w:cs="宋体"/>
          <w:color w:val="auto"/>
          <w:szCs w:val="24"/>
        </w:rPr>
        <w:t>供应商需</w:t>
      </w:r>
      <w:bookmarkStart w:id="30" w:name="_Hlk168397875"/>
      <w:r>
        <w:rPr>
          <w:rFonts w:hint="eastAsia" w:ascii="仿宋" w:hAnsi="仿宋" w:eastAsia="仿宋" w:cs="宋体"/>
          <w:color w:val="auto"/>
          <w:szCs w:val="24"/>
        </w:rPr>
        <w:t>针对事件发生的场景模拟，通过对事件频发、危害性高、影响范围大的特定信息安全事件进行演练，达到在遇到此类信息安全事件应急响应处置过程中，发现问题，及时响应，快速处置的目的</w:t>
      </w:r>
      <w:bookmarkEnd w:id="30"/>
      <w:r>
        <w:rPr>
          <w:rFonts w:hint="eastAsia" w:ascii="仿宋" w:hAnsi="仿宋" w:eastAsia="仿宋" w:cs="宋体"/>
          <w:color w:val="auto"/>
          <w:szCs w:val="24"/>
        </w:rPr>
        <w:t>。</w:t>
      </w:r>
    </w:p>
    <w:bookmarkEnd w:id="29"/>
    <w:p>
      <w:pPr>
        <w:pStyle w:val="4"/>
        <w:rPr>
          <w:rFonts w:ascii="仿宋" w:hAnsi="仿宋" w:eastAsia="仿宋"/>
          <w:color w:val="auto"/>
        </w:rPr>
      </w:pPr>
      <w:r>
        <w:rPr>
          <w:rFonts w:hint="eastAsia" w:ascii="仿宋" w:hAnsi="仿宋" w:eastAsia="仿宋"/>
          <w:color w:val="auto"/>
        </w:rPr>
        <w:t>网站WEB云防护（</w:t>
      </w:r>
      <w:r>
        <w:rPr>
          <w:rFonts w:ascii="仿宋" w:hAnsi="仿宋" w:eastAsia="仿宋"/>
          <w:color w:val="auto"/>
        </w:rPr>
        <w:t>1</w:t>
      </w:r>
      <w:r>
        <w:rPr>
          <w:rFonts w:hint="eastAsia" w:ascii="仿宋" w:hAnsi="仿宋" w:eastAsia="仿宋"/>
          <w:color w:val="auto"/>
        </w:rPr>
        <w:t>年）</w:t>
      </w:r>
    </w:p>
    <w:p>
      <w:pPr>
        <w:ind w:firstLine="420"/>
        <w:rPr>
          <w:rFonts w:ascii="仿宋" w:hAnsi="仿宋" w:eastAsia="仿宋" w:cs="宋体"/>
          <w:color w:val="auto"/>
          <w:szCs w:val="24"/>
        </w:rPr>
      </w:pPr>
      <w:r>
        <w:rPr>
          <w:rFonts w:hint="eastAsia" w:ascii="仿宋" w:hAnsi="仿宋" w:eastAsia="仿宋" w:cs="宋体"/>
          <w:color w:val="auto"/>
          <w:szCs w:val="24"/>
        </w:rPr>
        <w:t>供应商需提供5个域名的网站安全云防护服务，提供防护周期内的防护引擎、防护规则免费升级服务、7x24小时电话支持服务、产品远程技术支持：包含防护接入、防护过程中产品问题支持。</w:t>
      </w:r>
    </w:p>
    <w:p>
      <w:pPr>
        <w:pStyle w:val="4"/>
        <w:rPr>
          <w:rFonts w:ascii="仿宋" w:hAnsi="仿宋" w:eastAsia="仿宋"/>
          <w:color w:val="auto"/>
        </w:rPr>
      </w:pPr>
      <w:r>
        <w:rPr>
          <w:rFonts w:hint="eastAsia" w:ascii="仿宋" w:hAnsi="仿宋" w:eastAsia="仿宋"/>
          <w:color w:val="auto"/>
        </w:rPr>
        <w:t>重保服务（3</w:t>
      </w:r>
      <w:r>
        <w:rPr>
          <w:rFonts w:ascii="仿宋" w:hAnsi="仿宋" w:eastAsia="仿宋"/>
          <w:color w:val="auto"/>
        </w:rPr>
        <w:t>0</w:t>
      </w:r>
      <w:r>
        <w:rPr>
          <w:rFonts w:hint="eastAsia" w:ascii="仿宋" w:hAnsi="仿宋" w:eastAsia="仿宋"/>
          <w:color w:val="auto"/>
        </w:rPr>
        <w:t>天/年）</w:t>
      </w:r>
    </w:p>
    <w:p>
      <w:pPr>
        <w:ind w:firstLine="480" w:firstLineChars="200"/>
        <w:rPr>
          <w:rFonts w:ascii="仿宋" w:hAnsi="仿宋" w:eastAsia="仿宋"/>
          <w:color w:val="auto"/>
        </w:rPr>
      </w:pPr>
      <w:r>
        <w:rPr>
          <w:rFonts w:hint="eastAsia" w:ascii="仿宋" w:hAnsi="仿宋" w:eastAsia="仿宋"/>
          <w:color w:val="auto"/>
        </w:rPr>
        <w:t>供应商在重保期间需要应对可能发生的网络安全事件，最大力度保障甲方</w:t>
      </w:r>
      <w:r>
        <w:rPr>
          <w:rFonts w:ascii="仿宋" w:hAnsi="仿宋" w:eastAsia="仿宋"/>
          <w:color w:val="auto"/>
        </w:rPr>
        <w:t>的网络系统在</w:t>
      </w:r>
      <w:r>
        <w:rPr>
          <w:rFonts w:hint="eastAsia" w:ascii="仿宋" w:hAnsi="仿宋" w:eastAsia="仿宋"/>
          <w:color w:val="auto"/>
        </w:rPr>
        <w:t>重保期间</w:t>
      </w:r>
      <w:r>
        <w:rPr>
          <w:rFonts w:ascii="仿宋" w:hAnsi="仿宋" w:eastAsia="仿宋"/>
          <w:color w:val="auto"/>
        </w:rPr>
        <w:t>全面防御来自攻击方的网络攻击</w:t>
      </w:r>
      <w:r>
        <w:rPr>
          <w:rFonts w:hint="eastAsia" w:ascii="仿宋" w:hAnsi="仿宋" w:eastAsia="仿宋"/>
          <w:color w:val="auto"/>
        </w:rPr>
        <w:t>，提供不少于30天的节假日及特殊重要时期的现场团队安全保障服务。</w:t>
      </w:r>
    </w:p>
    <w:p>
      <w:pPr>
        <w:ind w:firstLine="480" w:firstLineChars="200"/>
        <w:rPr>
          <w:rFonts w:ascii="仿宋" w:hAnsi="仿宋" w:eastAsia="仿宋"/>
          <w:color w:val="auto"/>
        </w:rPr>
      </w:pPr>
      <w:r>
        <w:rPr>
          <w:rFonts w:ascii="仿宋" w:hAnsi="仿宋" w:eastAsia="仿宋"/>
          <w:color w:val="auto"/>
        </w:rPr>
        <w:t>同时，加强</w:t>
      </w:r>
      <w:r>
        <w:rPr>
          <w:rFonts w:hint="eastAsia" w:ascii="仿宋" w:hAnsi="仿宋" w:eastAsia="仿宋"/>
          <w:color w:val="auto"/>
        </w:rPr>
        <w:t>甲方</w:t>
      </w:r>
      <w:r>
        <w:rPr>
          <w:rFonts w:ascii="仿宋" w:hAnsi="仿宋" w:eastAsia="仿宋"/>
          <w:color w:val="auto"/>
        </w:rPr>
        <w:t>自身信息系统的安全保护措施，完善</w:t>
      </w:r>
      <w:r>
        <w:rPr>
          <w:rFonts w:hint="eastAsia" w:ascii="仿宋" w:hAnsi="仿宋" w:eastAsia="仿宋"/>
          <w:color w:val="auto"/>
        </w:rPr>
        <w:t>甲方</w:t>
      </w:r>
      <w:r>
        <w:rPr>
          <w:rFonts w:ascii="仿宋" w:hAnsi="仿宋" w:eastAsia="仿宋"/>
          <w:color w:val="auto"/>
        </w:rPr>
        <w:t>的信息安全体系建设和实施，并提升网络安全防护能力。</w:t>
      </w:r>
      <w:r>
        <w:rPr>
          <w:rFonts w:hint="eastAsia" w:ascii="仿宋" w:hAnsi="仿宋" w:eastAsia="仿宋"/>
          <w:color w:val="auto"/>
        </w:rPr>
        <w:t>同时</w:t>
      </w:r>
      <w:r>
        <w:rPr>
          <w:rFonts w:ascii="仿宋" w:hAnsi="仿宋" w:eastAsia="仿宋"/>
          <w:color w:val="auto"/>
        </w:rPr>
        <w:t>健全网络安全保障体系，满足国家相关政策法规要求。</w:t>
      </w:r>
    </w:p>
    <w:p>
      <w:pPr>
        <w:ind w:firstLine="480" w:firstLineChars="200"/>
        <w:rPr>
          <w:rFonts w:ascii="仿宋" w:hAnsi="仿宋" w:eastAsia="仿宋"/>
          <w:color w:val="auto"/>
        </w:rPr>
      </w:pPr>
      <w:r>
        <w:rPr>
          <w:rFonts w:hint="eastAsia" w:ascii="仿宋" w:hAnsi="仿宋" w:eastAsia="仿宋"/>
          <w:color w:val="auto"/>
        </w:rPr>
        <w:t>建立可靠的安全应急响应预案和应急响应处理流程，最大限度消除系统运行中各类突发事件的危害和影响，保障系统不受突发安全事件的破坏，确保系统的业务连续性和可用性，实现应急响应工作的规范化、制度化和流程化。</w:t>
      </w:r>
    </w:p>
    <w:p>
      <w:pPr>
        <w:ind w:firstLine="420"/>
        <w:rPr>
          <w:rFonts w:ascii="仿宋" w:hAnsi="仿宋" w:eastAsia="仿宋"/>
          <w:color w:val="auto"/>
        </w:rPr>
      </w:pPr>
      <w:r>
        <w:rPr>
          <w:rFonts w:hint="eastAsia" w:ascii="仿宋" w:hAnsi="仿宋" w:eastAsia="仿宋"/>
          <w:color w:val="auto"/>
        </w:rPr>
        <w:t>同时提高甲方全体工作人员的网络安全意识和技能水平，按照信息系统运行特点积极做好安全保障工作，建立信息安全预警和事件快速反应机制，建立高效的事件汇报渠道，保证对信息安全事件做到早发现、早报告、早处理、早恢复等环节的紧密衔接，一旦出现影响信息系统的安全事件，快速反应，及时准确处置</w:t>
      </w:r>
    </w:p>
    <w:p>
      <w:pPr>
        <w:pStyle w:val="3"/>
        <w:rPr>
          <w:rFonts w:ascii="仿宋" w:hAnsi="仿宋" w:eastAsia="仿宋"/>
          <w:color w:val="auto"/>
        </w:rPr>
      </w:pPr>
      <w:bookmarkStart w:id="31" w:name="_Hlk168397929"/>
      <w:r>
        <w:rPr>
          <w:rFonts w:hint="eastAsia" w:ascii="仿宋" w:hAnsi="仿宋" w:eastAsia="仿宋"/>
          <w:color w:val="auto"/>
        </w:rPr>
        <w:t>中心大屏</w:t>
      </w:r>
      <w:bookmarkStart w:id="32" w:name="_Hlk168323137"/>
      <w:r>
        <w:rPr>
          <w:rFonts w:hint="eastAsia" w:ascii="仿宋" w:hAnsi="仿宋" w:eastAsia="仿宋"/>
          <w:color w:val="auto"/>
        </w:rPr>
        <w:t>及会议系统维护服务</w:t>
      </w:r>
      <w:bookmarkEnd w:id="31"/>
      <w:bookmarkEnd w:id="32"/>
      <w:r>
        <w:rPr>
          <w:rFonts w:hint="eastAsia" w:ascii="仿宋" w:hAnsi="仿宋" w:eastAsia="仿宋"/>
          <w:color w:val="auto"/>
        </w:rPr>
        <w:t>要求</w:t>
      </w:r>
    </w:p>
    <w:p>
      <w:pPr>
        <w:ind w:firstLine="480" w:firstLineChars="200"/>
        <w:rPr>
          <w:rFonts w:ascii="仿宋" w:hAnsi="仿宋" w:eastAsia="仿宋"/>
          <w:color w:val="auto"/>
          <w:spacing w:val="5"/>
          <w:szCs w:val="24"/>
        </w:rPr>
      </w:pPr>
      <w:r>
        <w:rPr>
          <w:rFonts w:hint="eastAsia" w:ascii="仿宋" w:hAnsi="仿宋" w:eastAsia="仿宋" w:cs="宋体"/>
          <w:color w:val="auto"/>
          <w:szCs w:val="24"/>
        </w:rPr>
        <w:t>供应商需提供市疾控中心会议室以及其它显示大屏技术支持服务，</w:t>
      </w:r>
      <w:r>
        <w:rPr>
          <w:rFonts w:hint="eastAsia" w:ascii="仿宋" w:hAnsi="仿宋" w:eastAsia="仿宋"/>
          <w:color w:val="auto"/>
          <w:spacing w:val="5"/>
          <w:szCs w:val="24"/>
        </w:rPr>
        <w:t>其中市疾控中心本部（马场路）显示大屏主要为B509、A601、A610三个会议室的大屏。</w:t>
      </w:r>
      <w:r>
        <w:rPr>
          <w:rFonts w:hint="eastAsia" w:ascii="仿宋" w:hAnsi="仿宋" w:eastAsia="仿宋" w:cs="宋体"/>
          <w:color w:val="auto"/>
          <w:szCs w:val="24"/>
        </w:rPr>
        <w:t>其中</w:t>
      </w:r>
      <w:r>
        <w:rPr>
          <w:rFonts w:hint="eastAsia" w:ascii="仿宋" w:hAnsi="仿宋" w:eastAsia="仿宋"/>
          <w:color w:val="auto"/>
          <w:spacing w:val="5"/>
          <w:szCs w:val="24"/>
        </w:rPr>
        <w:t>若硬件设备故障，供应商需及时告知甲方，并提出故障修复意见，由甲方采购备品备件，乙方负责更换。</w:t>
      </w:r>
    </w:p>
    <w:p>
      <w:pPr>
        <w:pStyle w:val="4"/>
        <w:rPr>
          <w:rFonts w:ascii="仿宋" w:hAnsi="仿宋" w:eastAsia="仿宋"/>
          <w:color w:val="auto"/>
        </w:rPr>
      </w:pPr>
      <w:r>
        <w:rPr>
          <w:rFonts w:hint="eastAsia" w:ascii="仿宋" w:hAnsi="仿宋" w:eastAsia="仿宋"/>
          <w:color w:val="auto"/>
        </w:rPr>
        <w:t>中心大屏巡检服务要求（每季度一次）</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供应商需每季度提供1次巡检服务，包括定期检查中心大屏运行环境及系统设备的工作状态、运行情况、系统参数设置，为甲方提供专业的建议，定期清洁保养设备，协助甲方做好系统的备份及安全工作。</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通过巡检，能够及时发现故障隐患，积极采取措施，排除隐患，减少设备发生故障的概率，保证甲方系统的正常运行。同时，积极与甲方交流在系统使用及维护方面的经验，指导甲方正确使用和维护系统。</w:t>
      </w:r>
    </w:p>
    <w:p>
      <w:pPr>
        <w:ind w:firstLine="420"/>
        <w:rPr>
          <w:rFonts w:ascii="仿宋" w:hAnsi="仿宋" w:eastAsia="仿宋"/>
          <w:color w:val="auto"/>
          <w:spacing w:val="5"/>
          <w:szCs w:val="24"/>
        </w:rPr>
      </w:pPr>
      <w:r>
        <w:rPr>
          <w:rFonts w:hint="eastAsia" w:ascii="仿宋" w:hAnsi="仿宋" w:eastAsia="仿宋"/>
          <w:color w:val="auto"/>
          <w:spacing w:val="5"/>
          <w:szCs w:val="24"/>
        </w:rPr>
        <w:t>供应商安排专业技术工程师对甲方中心大屏系统定期进行例行检查、做预防性维护保养，并提交巡检服务报告</w:t>
      </w:r>
    </w:p>
    <w:p>
      <w:pPr>
        <w:ind w:firstLine="480" w:firstLineChars="200"/>
        <w:rPr>
          <w:rFonts w:ascii="仿宋" w:hAnsi="仿宋" w:eastAsia="仿宋" w:cs="宋体"/>
          <w:color w:val="auto"/>
          <w:szCs w:val="24"/>
        </w:rPr>
      </w:pPr>
      <w:r>
        <w:rPr>
          <w:rFonts w:hint="eastAsia" w:ascii="仿宋" w:hAnsi="仿宋" w:eastAsia="仿宋" w:cs="宋体"/>
          <w:color w:val="auto"/>
          <w:szCs w:val="24"/>
        </w:rPr>
        <w:t>1.  设备运行状态，对显示大屏设备的状态、设置进行检查；对风扇、电源、线缆等敏感部件进行重点检查，如有故障征兆则进行更换；</w:t>
      </w:r>
    </w:p>
    <w:p>
      <w:pPr>
        <w:ind w:firstLine="480" w:firstLineChars="200"/>
        <w:rPr>
          <w:rFonts w:ascii="仿宋" w:hAnsi="仿宋" w:eastAsia="仿宋" w:cs="宋体"/>
          <w:color w:val="auto"/>
          <w:szCs w:val="24"/>
        </w:rPr>
      </w:pPr>
      <w:r>
        <w:rPr>
          <w:rFonts w:ascii="仿宋" w:hAnsi="仿宋" w:eastAsia="仿宋" w:cs="宋体"/>
          <w:color w:val="auto"/>
          <w:szCs w:val="24"/>
        </w:rPr>
        <w:t>2</w:t>
      </w:r>
      <w:r>
        <w:rPr>
          <w:rFonts w:hint="eastAsia" w:ascii="仿宋" w:hAnsi="仿宋" w:eastAsia="仿宋" w:cs="宋体"/>
          <w:color w:val="auto"/>
          <w:szCs w:val="24"/>
        </w:rPr>
        <w:t>. 连接件检查，对连接插头、电缆、电源插座等进行检查；</w:t>
      </w:r>
    </w:p>
    <w:p>
      <w:pPr>
        <w:ind w:firstLine="480" w:firstLineChars="200"/>
        <w:rPr>
          <w:rFonts w:ascii="仿宋" w:hAnsi="仿宋" w:eastAsia="仿宋" w:cs="宋体"/>
          <w:color w:val="auto"/>
          <w:szCs w:val="24"/>
        </w:rPr>
      </w:pPr>
      <w:r>
        <w:rPr>
          <w:rFonts w:ascii="仿宋" w:hAnsi="仿宋" w:eastAsia="仿宋" w:cs="宋体"/>
          <w:color w:val="auto"/>
          <w:szCs w:val="24"/>
        </w:rPr>
        <w:t>3</w:t>
      </w:r>
      <w:r>
        <w:rPr>
          <w:rFonts w:hint="eastAsia" w:ascii="仿宋" w:hAnsi="仿宋" w:eastAsia="仿宋" w:cs="宋体"/>
          <w:color w:val="auto"/>
          <w:szCs w:val="24"/>
        </w:rPr>
        <w:t>. 环境检查，包括电源电压、接地和室内温度、湿度、空气洁净度等；</w:t>
      </w:r>
    </w:p>
    <w:p>
      <w:pPr>
        <w:ind w:firstLine="480" w:firstLineChars="200"/>
        <w:rPr>
          <w:rFonts w:ascii="仿宋" w:hAnsi="仿宋" w:eastAsia="仿宋" w:cs="宋体"/>
          <w:color w:val="auto"/>
          <w:szCs w:val="24"/>
        </w:rPr>
      </w:pPr>
      <w:r>
        <w:rPr>
          <w:rFonts w:ascii="仿宋" w:hAnsi="仿宋" w:eastAsia="仿宋" w:cs="宋体"/>
          <w:color w:val="auto"/>
          <w:szCs w:val="24"/>
        </w:rPr>
        <w:t>4</w:t>
      </w:r>
      <w:r>
        <w:rPr>
          <w:rFonts w:hint="eastAsia" w:ascii="仿宋" w:hAnsi="仿宋" w:eastAsia="仿宋" w:cs="宋体"/>
          <w:color w:val="auto"/>
          <w:szCs w:val="24"/>
        </w:rPr>
        <w:t>. 清洁保养，清除机箱、滤清器内的灰尘与异物；</w:t>
      </w:r>
    </w:p>
    <w:p>
      <w:pPr>
        <w:pStyle w:val="4"/>
        <w:rPr>
          <w:rFonts w:ascii="仿宋" w:hAnsi="仿宋" w:eastAsia="仿宋"/>
          <w:color w:val="auto"/>
        </w:rPr>
      </w:pPr>
      <w:r>
        <w:rPr>
          <w:rFonts w:hint="eastAsia" w:ascii="仿宋" w:hAnsi="仿宋" w:eastAsia="仿宋"/>
          <w:color w:val="auto"/>
        </w:rPr>
        <w:t>中心大屏维护服务要求</w:t>
      </w:r>
    </w:p>
    <w:p>
      <w:pPr>
        <w:ind w:firstLine="480" w:firstLineChars="200"/>
        <w:rPr>
          <w:rFonts w:ascii="仿宋" w:hAnsi="仿宋" w:eastAsia="仿宋"/>
          <w:color w:val="auto"/>
        </w:rPr>
      </w:pPr>
      <w:r>
        <w:rPr>
          <w:rFonts w:hint="eastAsia" w:ascii="仿宋" w:hAnsi="仿宋" w:eastAsia="仿宋" w:cs="宋体"/>
          <w:color w:val="auto"/>
          <w:szCs w:val="24"/>
        </w:rPr>
        <w:t>供应商需</w:t>
      </w:r>
      <w:r>
        <w:rPr>
          <w:rFonts w:hint="eastAsia" w:ascii="仿宋" w:hAnsi="仿宋" w:eastAsia="仿宋"/>
          <w:color w:val="auto"/>
        </w:rPr>
        <w:t>定期对大屏幕光学设备做全面清洁处理，提高大屏幕显示系统的亮度和对比度。注意日常光学部件（灯泡、色轮、液晶面板等）维护，防止提前老化。</w:t>
      </w:r>
    </w:p>
    <w:p>
      <w:pPr>
        <w:ind w:firstLine="480" w:firstLineChars="200"/>
        <w:rPr>
          <w:rFonts w:ascii="仿宋" w:hAnsi="仿宋" w:eastAsia="仿宋"/>
          <w:color w:val="auto"/>
        </w:rPr>
      </w:pPr>
      <w:r>
        <w:rPr>
          <w:rFonts w:hint="eastAsia" w:ascii="仿宋" w:hAnsi="仿宋" w:eastAsia="仿宋"/>
          <w:color w:val="auto"/>
        </w:rPr>
        <w:t>并且确保大屏幕拼接墙前方大厅和后面维护通道均应设有良好的通风环境，以保证室内环境达到拼接墙理想工作温度，并使拼接墙前后温度保持基本一致。</w:t>
      </w:r>
    </w:p>
    <w:p>
      <w:pPr>
        <w:ind w:firstLine="480" w:firstLineChars="200"/>
        <w:rPr>
          <w:rFonts w:ascii="仿宋" w:hAnsi="仿宋" w:eastAsia="仿宋" w:cs="宋体"/>
          <w:color w:val="auto"/>
          <w:szCs w:val="24"/>
        </w:rPr>
      </w:pPr>
      <w:r>
        <w:rPr>
          <w:rFonts w:hint="eastAsia" w:ascii="仿宋" w:hAnsi="仿宋" w:eastAsia="仿宋" w:cs="宋体"/>
          <w:color w:val="auto"/>
          <w:szCs w:val="24"/>
        </w:rPr>
        <w:t>定期进行系统优化，协助</w:t>
      </w:r>
      <w:r>
        <w:rPr>
          <w:rFonts w:hint="eastAsia" w:ascii="仿宋" w:hAnsi="仿宋" w:eastAsia="仿宋"/>
          <w:color w:val="auto"/>
          <w:spacing w:val="5"/>
          <w:szCs w:val="24"/>
        </w:rPr>
        <w:t>甲方</w:t>
      </w:r>
      <w:r>
        <w:rPr>
          <w:rFonts w:hint="eastAsia" w:ascii="仿宋" w:hAnsi="仿宋" w:eastAsia="仿宋" w:cs="宋体"/>
          <w:color w:val="auto"/>
          <w:szCs w:val="24"/>
        </w:rPr>
        <w:t>对相关系统性能调整和系统优化。并提供技术交流，针对双方技术人员分析和解决日常运行中出现的未解决问题进行沟通与处理。在对系统进行全面的检查后，给出详细的巡检报告，根据检查结果给出相应建议和改进方案。</w:t>
      </w:r>
    </w:p>
    <w:p>
      <w:pPr>
        <w:pStyle w:val="4"/>
        <w:rPr>
          <w:rFonts w:ascii="仿宋" w:hAnsi="仿宋" w:eastAsia="仿宋"/>
          <w:color w:val="auto"/>
        </w:rPr>
      </w:pPr>
      <w:r>
        <w:rPr>
          <w:rFonts w:hint="eastAsia" w:ascii="仿宋" w:hAnsi="仿宋" w:eastAsia="仿宋"/>
          <w:color w:val="auto"/>
        </w:rPr>
        <w:t>视频会议设备续保服务</w:t>
      </w:r>
    </w:p>
    <w:p>
      <w:pPr>
        <w:ind w:firstLine="480" w:firstLineChars="200"/>
        <w:rPr>
          <w:rFonts w:ascii="仿宋" w:hAnsi="仿宋" w:eastAsia="仿宋" w:cs="宋体"/>
          <w:color w:val="auto"/>
          <w:szCs w:val="24"/>
        </w:rPr>
      </w:pPr>
      <w:r>
        <w:rPr>
          <w:rFonts w:hint="eastAsia" w:ascii="仿宋" w:hAnsi="仿宋" w:eastAsia="仿宋" w:cs="宋体"/>
          <w:color w:val="auto"/>
          <w:szCs w:val="24"/>
        </w:rPr>
        <w:t>供应商需针对科达</w:t>
      </w:r>
      <w:r>
        <w:rPr>
          <w:rFonts w:ascii="仿宋" w:hAnsi="仿宋" w:eastAsia="仿宋" w:cs="宋体"/>
          <w:color w:val="auto"/>
          <w:szCs w:val="24"/>
        </w:rPr>
        <w:t>JD6000</w:t>
      </w:r>
      <w:r>
        <w:rPr>
          <w:rFonts w:hint="eastAsia" w:ascii="仿宋" w:hAnsi="仿宋" w:eastAsia="仿宋" w:cs="宋体"/>
          <w:color w:val="auto"/>
          <w:szCs w:val="24"/>
        </w:rPr>
        <w:t xml:space="preserve"> MCU（会议电视系统多点控制单元）购买原厂服务，针对科达JDS6000视频服务器（云综合业务服务器）购买原厂服务。</w:t>
      </w:r>
    </w:p>
    <w:p>
      <w:pPr>
        <w:pStyle w:val="4"/>
        <w:rPr>
          <w:rFonts w:ascii="仿宋" w:hAnsi="仿宋" w:eastAsia="仿宋"/>
          <w:color w:val="auto"/>
        </w:rPr>
      </w:pPr>
      <w:r>
        <w:rPr>
          <w:rFonts w:hint="eastAsia" w:ascii="仿宋" w:hAnsi="仿宋" w:eastAsia="仿宋"/>
          <w:color w:val="auto"/>
        </w:rPr>
        <w:t>视频会议系统运维服务</w:t>
      </w:r>
    </w:p>
    <w:p>
      <w:pPr>
        <w:ind w:firstLine="420"/>
        <w:rPr>
          <w:rFonts w:ascii="仿宋" w:hAnsi="仿宋" w:eastAsia="仿宋"/>
          <w:color w:val="auto"/>
          <w:spacing w:val="5"/>
          <w:szCs w:val="24"/>
        </w:rPr>
      </w:pPr>
      <w:r>
        <w:rPr>
          <w:rFonts w:hint="eastAsia" w:ascii="仿宋" w:hAnsi="仿宋" w:eastAsia="仿宋" w:cs="宋体"/>
          <w:color w:val="auto"/>
          <w:szCs w:val="24"/>
        </w:rPr>
        <w:t>供应商需</w:t>
      </w:r>
      <w:r>
        <w:rPr>
          <w:rFonts w:hint="eastAsia" w:ascii="仿宋" w:hAnsi="仿宋" w:eastAsia="仿宋"/>
          <w:color w:val="auto"/>
          <w:spacing w:val="5"/>
          <w:szCs w:val="24"/>
        </w:rPr>
        <w:t>负责视频会议系统软硬件技术支持服务（音响、调音台、会议矩阵等），设备的故障响应、日常的巡检、视频会议的保障。若硬件设备故障，供应商需及时告知甲方，并提出故障修复意见，由甲方采购备品备件，乙方负责更换。</w:t>
      </w:r>
    </w:p>
    <w:p>
      <w:pPr>
        <w:pStyle w:val="5"/>
        <w:rPr>
          <w:color w:val="auto"/>
        </w:rPr>
      </w:pPr>
      <w:bookmarkStart w:id="33" w:name="_Toc70007266"/>
      <w:r>
        <w:rPr>
          <w:rFonts w:hint="eastAsia"/>
          <w:color w:val="auto"/>
        </w:rPr>
        <w:t>日常</w:t>
      </w:r>
      <w:bookmarkEnd w:id="33"/>
      <w:r>
        <w:rPr>
          <w:rFonts w:hint="eastAsia"/>
          <w:color w:val="auto"/>
        </w:rPr>
        <w:t>维护</w:t>
      </w:r>
    </w:p>
    <w:p>
      <w:pPr>
        <w:ind w:firstLine="480" w:firstLineChars="200"/>
        <w:rPr>
          <w:rFonts w:ascii="仿宋" w:hAnsi="仿宋" w:eastAsia="仿宋" w:cs="宋体"/>
          <w:color w:val="auto"/>
          <w:szCs w:val="24"/>
        </w:rPr>
      </w:pPr>
      <w:r>
        <w:rPr>
          <w:rFonts w:hint="eastAsia" w:ascii="仿宋" w:hAnsi="仿宋" w:eastAsia="仿宋" w:cs="宋体"/>
          <w:color w:val="auto"/>
          <w:szCs w:val="24"/>
        </w:rPr>
        <w:t>供应商需建立视频会议系统设备台账，加强视频会议定期进行巡检，每月至少热机保养一次（开机不少于十分钟）及时发现和排除各类隐患、故障保持视频会议系统良好状态，检查视频会议终端连接状态和工作状态，对维保范围内软硬件运行状态进行评估分析，并填写设备运行评估报告。</w:t>
      </w:r>
    </w:p>
    <w:p>
      <w:pPr>
        <w:ind w:firstLine="480" w:firstLineChars="200"/>
        <w:rPr>
          <w:rFonts w:ascii="仿宋" w:hAnsi="仿宋" w:eastAsia="仿宋" w:cs="宋体"/>
          <w:color w:val="auto"/>
          <w:szCs w:val="24"/>
        </w:rPr>
      </w:pPr>
      <w:r>
        <w:rPr>
          <w:rFonts w:hint="eastAsia" w:ascii="仿宋" w:hAnsi="仿宋" w:eastAsia="仿宋" w:cs="宋体"/>
          <w:color w:val="auto"/>
          <w:szCs w:val="24"/>
        </w:rPr>
        <w:t>加强摄像头、话筒、显示器等终端设备管理。严禁将视频会议主机挪作它用，严禁擅自出借会议系统配套摄像机、显示器和话筒设备确保控制室整洁有序，设备防尘，接地等安全管理措施落实，严禁闲杂人员进入。</w:t>
      </w:r>
    </w:p>
    <w:p>
      <w:pPr>
        <w:pStyle w:val="5"/>
        <w:rPr>
          <w:color w:val="auto"/>
        </w:rPr>
      </w:pPr>
      <w:r>
        <w:rPr>
          <w:rFonts w:hint="eastAsia"/>
          <w:color w:val="auto"/>
        </w:rPr>
        <w:t>巡检服务要求（每季度一次）</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供应商需每季度提供1次巡检服务，包括定期检查会议系统运行环境及系统设备的工作状态、运行情况、系统参数设置，为甲方提供专业的建议，定期清洁保养设备，协助甲方做好系统的备份及安全工作。</w:t>
      </w:r>
    </w:p>
    <w:p>
      <w:pPr>
        <w:ind w:firstLine="500" w:firstLineChars="200"/>
        <w:rPr>
          <w:rFonts w:ascii="仿宋" w:hAnsi="仿宋" w:eastAsia="仿宋"/>
          <w:color w:val="auto"/>
          <w:spacing w:val="5"/>
          <w:szCs w:val="24"/>
        </w:rPr>
      </w:pPr>
      <w:r>
        <w:rPr>
          <w:rFonts w:hint="eastAsia" w:ascii="仿宋" w:hAnsi="仿宋" w:eastAsia="仿宋"/>
          <w:color w:val="auto"/>
          <w:spacing w:val="5"/>
          <w:szCs w:val="24"/>
        </w:rPr>
        <w:t>通过巡检，能够及时发现会议系统故障隐患，积极采取措施，排除隐患，减少设备发生故障的概率，保证甲方系统的正常运行。同时，积极与甲方交流在系统使用及维护方面的经验，指导甲方正确使用和维护系统。</w:t>
      </w:r>
    </w:p>
    <w:p>
      <w:pPr>
        <w:ind w:firstLine="420"/>
        <w:rPr>
          <w:rFonts w:ascii="仿宋" w:hAnsi="仿宋" w:eastAsia="仿宋"/>
          <w:color w:val="auto"/>
          <w:spacing w:val="5"/>
          <w:szCs w:val="24"/>
        </w:rPr>
      </w:pPr>
      <w:r>
        <w:rPr>
          <w:rFonts w:hint="eastAsia" w:ascii="仿宋" w:hAnsi="仿宋" w:eastAsia="仿宋"/>
          <w:color w:val="auto"/>
          <w:spacing w:val="5"/>
          <w:szCs w:val="24"/>
        </w:rPr>
        <w:t>供应商安排专业技术工程师对甲方各个会议系统定期进行例行检查、做预防性维护保养，并提交巡检服务报告</w:t>
      </w:r>
    </w:p>
    <w:p>
      <w:pPr>
        <w:ind w:firstLine="480" w:firstLineChars="200"/>
        <w:rPr>
          <w:rFonts w:ascii="仿宋" w:hAnsi="仿宋" w:eastAsia="仿宋" w:cs="宋体"/>
          <w:color w:val="auto"/>
          <w:szCs w:val="24"/>
        </w:rPr>
      </w:pPr>
      <w:r>
        <w:rPr>
          <w:rFonts w:hint="eastAsia" w:ascii="仿宋" w:hAnsi="仿宋" w:eastAsia="仿宋" w:cs="宋体"/>
          <w:color w:val="auto"/>
          <w:szCs w:val="24"/>
        </w:rPr>
        <w:t>1.  设备运行状态，对显示大屏设备的状态、设置进行检查；对风扇、电源、线缆等敏感部件进行重点检查，如有故障征兆则进行更换；</w:t>
      </w:r>
    </w:p>
    <w:p>
      <w:pPr>
        <w:ind w:firstLine="480" w:firstLineChars="200"/>
        <w:rPr>
          <w:rFonts w:ascii="仿宋" w:hAnsi="仿宋" w:eastAsia="仿宋" w:cs="宋体"/>
          <w:color w:val="auto"/>
          <w:szCs w:val="24"/>
        </w:rPr>
      </w:pPr>
      <w:r>
        <w:rPr>
          <w:rFonts w:ascii="仿宋" w:hAnsi="仿宋" w:eastAsia="仿宋" w:cs="宋体"/>
          <w:color w:val="auto"/>
          <w:szCs w:val="24"/>
        </w:rPr>
        <w:t>2</w:t>
      </w:r>
      <w:r>
        <w:rPr>
          <w:rFonts w:hint="eastAsia" w:ascii="仿宋" w:hAnsi="仿宋" w:eastAsia="仿宋" w:cs="宋体"/>
          <w:color w:val="auto"/>
          <w:szCs w:val="24"/>
        </w:rPr>
        <w:t>. 连接件检查，对连接插头、电缆、电源插座等进行检查；</w:t>
      </w:r>
    </w:p>
    <w:p>
      <w:pPr>
        <w:ind w:firstLine="480" w:firstLineChars="200"/>
        <w:rPr>
          <w:rFonts w:ascii="仿宋" w:hAnsi="仿宋" w:eastAsia="仿宋" w:cs="宋体"/>
          <w:color w:val="auto"/>
          <w:szCs w:val="24"/>
        </w:rPr>
      </w:pPr>
      <w:r>
        <w:rPr>
          <w:rFonts w:ascii="仿宋" w:hAnsi="仿宋" w:eastAsia="仿宋" w:cs="宋体"/>
          <w:color w:val="auto"/>
          <w:szCs w:val="24"/>
        </w:rPr>
        <w:t>3</w:t>
      </w:r>
      <w:r>
        <w:rPr>
          <w:rFonts w:hint="eastAsia" w:ascii="仿宋" w:hAnsi="仿宋" w:eastAsia="仿宋" w:cs="宋体"/>
          <w:color w:val="auto"/>
          <w:szCs w:val="24"/>
        </w:rPr>
        <w:t>. 环境检查，包括电源电压、接地和室内温度、湿度、空气洁净度等；</w:t>
      </w:r>
    </w:p>
    <w:p>
      <w:pPr>
        <w:ind w:firstLine="480" w:firstLineChars="200"/>
        <w:rPr>
          <w:rFonts w:ascii="仿宋" w:hAnsi="仿宋" w:eastAsia="仿宋" w:cs="宋体"/>
          <w:color w:val="auto"/>
          <w:szCs w:val="24"/>
        </w:rPr>
      </w:pPr>
      <w:r>
        <w:rPr>
          <w:rFonts w:ascii="仿宋" w:hAnsi="仿宋" w:eastAsia="仿宋" w:cs="宋体"/>
          <w:color w:val="auto"/>
          <w:szCs w:val="24"/>
        </w:rPr>
        <w:t>4</w:t>
      </w:r>
      <w:r>
        <w:rPr>
          <w:rFonts w:hint="eastAsia" w:ascii="仿宋" w:hAnsi="仿宋" w:eastAsia="仿宋" w:cs="宋体"/>
          <w:color w:val="auto"/>
          <w:szCs w:val="24"/>
        </w:rPr>
        <w:t>. 清洁保养，清除机箱、滤清器内的灰尘与异物；</w:t>
      </w:r>
    </w:p>
    <w:p>
      <w:pPr>
        <w:pStyle w:val="5"/>
        <w:rPr>
          <w:color w:val="auto"/>
        </w:rPr>
      </w:pPr>
      <w:r>
        <w:rPr>
          <w:rFonts w:hint="eastAsia"/>
          <w:color w:val="auto"/>
        </w:rPr>
        <w:t>视频会议保障</w:t>
      </w:r>
    </w:p>
    <w:p>
      <w:pPr>
        <w:ind w:firstLine="480" w:firstLineChars="200"/>
        <w:rPr>
          <w:rFonts w:ascii="仿宋" w:hAnsi="仿宋" w:eastAsia="仿宋" w:cs="宋体"/>
          <w:color w:val="auto"/>
          <w:szCs w:val="24"/>
        </w:rPr>
      </w:pPr>
      <w:r>
        <w:rPr>
          <w:rFonts w:hint="eastAsia" w:ascii="仿宋" w:hAnsi="仿宋" w:eastAsia="仿宋" w:cs="宋体"/>
          <w:color w:val="auto"/>
          <w:szCs w:val="24"/>
        </w:rPr>
        <w:t>会议前供应商运维工程师需进行相关测试，以保证会议正常进行。检测内容需求如下</w:t>
      </w:r>
      <w:r>
        <w:rPr>
          <w:rFonts w:hint="eastAsia"/>
          <w:color w:val="auto"/>
        </w:rPr>
        <w:t>：</w:t>
      </w:r>
    </w:p>
    <w:tbl>
      <w:tblPr>
        <w:tblStyle w:val="40"/>
        <w:tblW w:w="8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5"/>
        <w:gridCol w:w="6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 w:hRule="atLeast"/>
          <w:jc w:val="center"/>
        </w:trPr>
        <w:tc>
          <w:tcPr>
            <w:tcW w:w="1355" w:type="dxa"/>
          </w:tcPr>
          <w:p>
            <w:pPr>
              <w:jc w:val="center"/>
              <w:rPr>
                <w:rFonts w:ascii="仿宋" w:hAnsi="仿宋" w:eastAsia="仿宋"/>
                <w:color w:val="auto"/>
                <w:szCs w:val="21"/>
              </w:rPr>
            </w:pPr>
            <w:r>
              <w:rPr>
                <w:rFonts w:hint="eastAsia" w:ascii="仿宋" w:hAnsi="仿宋" w:eastAsia="仿宋"/>
                <w:color w:val="auto"/>
                <w:szCs w:val="21"/>
              </w:rPr>
              <w:t>链路基本检测</w:t>
            </w:r>
          </w:p>
        </w:tc>
        <w:tc>
          <w:tcPr>
            <w:tcW w:w="6766" w:type="dxa"/>
          </w:tcPr>
          <w:p>
            <w:pPr>
              <w:rPr>
                <w:rFonts w:ascii="仿宋" w:hAnsi="仿宋" w:eastAsia="仿宋"/>
                <w:color w:val="auto"/>
                <w:szCs w:val="21"/>
              </w:rPr>
            </w:pPr>
            <w:r>
              <w:rPr>
                <w:rFonts w:hint="eastAsia" w:ascii="仿宋" w:hAnsi="仿宋" w:eastAsia="仿宋"/>
                <w:color w:val="auto"/>
                <w:szCs w:val="21"/>
              </w:rPr>
              <w:t>检查网络电路接触是否良好，进行测试，判断链路是否正常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jc w:val="center"/>
        </w:trPr>
        <w:tc>
          <w:tcPr>
            <w:tcW w:w="1355" w:type="dxa"/>
          </w:tcPr>
          <w:p>
            <w:pPr>
              <w:jc w:val="center"/>
              <w:rPr>
                <w:rFonts w:ascii="仿宋" w:hAnsi="仿宋" w:eastAsia="仿宋"/>
                <w:color w:val="auto"/>
                <w:szCs w:val="21"/>
              </w:rPr>
            </w:pPr>
            <w:r>
              <w:rPr>
                <w:rFonts w:hint="eastAsia" w:ascii="仿宋" w:hAnsi="仿宋" w:eastAsia="仿宋"/>
                <w:color w:val="auto"/>
                <w:szCs w:val="21"/>
              </w:rPr>
              <w:t>配置检测</w:t>
            </w:r>
          </w:p>
        </w:tc>
        <w:tc>
          <w:tcPr>
            <w:tcW w:w="6766" w:type="dxa"/>
          </w:tcPr>
          <w:p>
            <w:pPr>
              <w:rPr>
                <w:rFonts w:ascii="仿宋" w:hAnsi="仿宋" w:eastAsia="仿宋"/>
                <w:color w:val="auto"/>
                <w:szCs w:val="21"/>
              </w:rPr>
            </w:pPr>
            <w:r>
              <w:rPr>
                <w:rFonts w:hint="eastAsia" w:ascii="仿宋" w:hAnsi="仿宋" w:eastAsia="仿宋"/>
                <w:color w:val="auto"/>
                <w:szCs w:val="21"/>
              </w:rPr>
              <w:t>查看终端各项配置及状态是否正常，检查软件版本是否正常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1355" w:type="dxa"/>
          </w:tcPr>
          <w:p>
            <w:pPr>
              <w:jc w:val="center"/>
              <w:rPr>
                <w:rFonts w:ascii="仿宋" w:hAnsi="仿宋" w:eastAsia="仿宋"/>
                <w:color w:val="auto"/>
                <w:szCs w:val="21"/>
              </w:rPr>
            </w:pPr>
            <w:r>
              <w:rPr>
                <w:rFonts w:hint="eastAsia" w:ascii="仿宋" w:hAnsi="仿宋" w:eastAsia="仿宋"/>
                <w:color w:val="auto"/>
                <w:szCs w:val="21"/>
              </w:rPr>
              <w:t>注册检测</w:t>
            </w:r>
          </w:p>
        </w:tc>
        <w:tc>
          <w:tcPr>
            <w:tcW w:w="6766" w:type="dxa"/>
          </w:tcPr>
          <w:p>
            <w:pPr>
              <w:rPr>
                <w:rFonts w:ascii="仿宋" w:hAnsi="仿宋" w:eastAsia="仿宋"/>
                <w:color w:val="auto"/>
                <w:szCs w:val="21"/>
              </w:rPr>
            </w:pPr>
            <w:r>
              <w:rPr>
                <w:rFonts w:hint="eastAsia" w:ascii="仿宋" w:hAnsi="仿宋" w:eastAsia="仿宋"/>
                <w:color w:val="auto"/>
                <w:szCs w:val="21"/>
              </w:rPr>
              <w:t>检查终端是否可以连接上会议主控设备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1355" w:type="dxa"/>
          </w:tcPr>
          <w:p>
            <w:pPr>
              <w:jc w:val="center"/>
              <w:rPr>
                <w:rFonts w:ascii="仿宋" w:hAnsi="仿宋" w:eastAsia="仿宋"/>
                <w:color w:val="auto"/>
                <w:szCs w:val="21"/>
              </w:rPr>
            </w:pPr>
            <w:r>
              <w:rPr>
                <w:rFonts w:hint="eastAsia" w:ascii="仿宋" w:hAnsi="仿宋" w:eastAsia="仿宋"/>
                <w:color w:val="auto"/>
                <w:szCs w:val="21"/>
              </w:rPr>
              <w:t>性能检测</w:t>
            </w:r>
          </w:p>
        </w:tc>
        <w:tc>
          <w:tcPr>
            <w:tcW w:w="6766" w:type="dxa"/>
          </w:tcPr>
          <w:p>
            <w:pPr>
              <w:rPr>
                <w:rFonts w:ascii="仿宋" w:hAnsi="仿宋" w:eastAsia="仿宋"/>
                <w:color w:val="auto"/>
                <w:szCs w:val="21"/>
              </w:rPr>
            </w:pPr>
            <w:r>
              <w:rPr>
                <w:rFonts w:hint="eastAsia" w:ascii="仿宋" w:hAnsi="仿宋" w:eastAsia="仿宋"/>
                <w:color w:val="auto"/>
                <w:szCs w:val="21"/>
              </w:rPr>
              <w:t>检查会议质量，图象是否有马塞克，声音是否有延迟，有无误码等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1355" w:type="dxa"/>
          </w:tcPr>
          <w:p>
            <w:pPr>
              <w:rPr>
                <w:rFonts w:ascii="仿宋" w:hAnsi="仿宋" w:eastAsia="仿宋"/>
                <w:color w:val="auto"/>
                <w:szCs w:val="21"/>
              </w:rPr>
            </w:pPr>
            <w:r>
              <w:rPr>
                <w:rFonts w:hint="eastAsia" w:ascii="仿宋" w:hAnsi="仿宋" w:eastAsia="仿宋"/>
                <w:color w:val="auto"/>
                <w:szCs w:val="21"/>
              </w:rPr>
              <w:t>功能检测</w:t>
            </w:r>
          </w:p>
        </w:tc>
        <w:tc>
          <w:tcPr>
            <w:tcW w:w="6766" w:type="dxa"/>
          </w:tcPr>
          <w:p>
            <w:pPr>
              <w:rPr>
                <w:rFonts w:ascii="仿宋" w:hAnsi="仿宋" w:eastAsia="仿宋"/>
                <w:color w:val="auto"/>
                <w:szCs w:val="21"/>
              </w:rPr>
            </w:pPr>
            <w:r>
              <w:rPr>
                <w:rFonts w:hint="eastAsia" w:ascii="仿宋" w:hAnsi="仿宋" w:eastAsia="仿宋"/>
                <w:color w:val="auto"/>
                <w:szCs w:val="21"/>
              </w:rPr>
              <w:t>模拟召开视频会议，检查会议召集，会议控制等各项功能是否正常</w:t>
            </w:r>
          </w:p>
        </w:tc>
      </w:tr>
    </w:tbl>
    <w:p>
      <w:pPr>
        <w:ind w:firstLine="480" w:firstLineChars="200"/>
        <w:rPr>
          <w:rFonts w:ascii="仿宋" w:hAnsi="仿宋" w:eastAsia="仿宋" w:cs="宋体"/>
          <w:color w:val="auto"/>
          <w:szCs w:val="24"/>
        </w:rPr>
      </w:pPr>
    </w:p>
    <w:p>
      <w:pPr>
        <w:ind w:firstLine="480" w:firstLineChars="200"/>
        <w:rPr>
          <w:rFonts w:ascii="仿宋" w:hAnsi="仿宋" w:eastAsia="仿宋" w:cs="宋体"/>
          <w:color w:val="auto"/>
          <w:szCs w:val="24"/>
        </w:rPr>
      </w:pPr>
      <w:r>
        <w:rPr>
          <w:rFonts w:hint="eastAsia" w:ascii="仿宋" w:hAnsi="仿宋" w:eastAsia="仿宋" w:cs="宋体"/>
          <w:color w:val="auto"/>
          <w:szCs w:val="24"/>
        </w:rPr>
        <w:t>会议中，供应商运维工程师需全程在视频会议现场提供技术保障（通信畅通）实时监控本地会场画面，应对会议期间出现各种问题或者突发紧急故障，保障会议系统正常运行。</w:t>
      </w:r>
    </w:p>
    <w:p>
      <w:pPr>
        <w:ind w:firstLine="480" w:firstLineChars="200"/>
        <w:rPr>
          <w:rFonts w:ascii="仿宋" w:hAnsi="仿宋" w:eastAsia="仿宋" w:cs="宋体"/>
          <w:color w:val="auto"/>
          <w:szCs w:val="24"/>
        </w:rPr>
      </w:pPr>
      <w:r>
        <w:rPr>
          <w:rFonts w:hint="eastAsia" w:ascii="仿宋" w:hAnsi="仿宋" w:eastAsia="仿宋" w:cs="宋体"/>
          <w:color w:val="auto"/>
          <w:szCs w:val="24"/>
        </w:rPr>
        <w:t>会议进行若出现音频视频信号故障，供应商运维工程师应立即解决，迅速恢复会议系统。</w:t>
      </w:r>
    </w:p>
    <w:p>
      <w:pPr>
        <w:ind w:firstLine="480" w:firstLineChars="200"/>
        <w:rPr>
          <w:rFonts w:ascii="仿宋" w:hAnsi="仿宋" w:eastAsia="仿宋" w:cs="宋体"/>
          <w:color w:val="auto"/>
          <w:szCs w:val="24"/>
        </w:rPr>
      </w:pPr>
      <w:r>
        <w:rPr>
          <w:rFonts w:hint="eastAsia" w:ascii="仿宋" w:hAnsi="仿宋" w:eastAsia="仿宋" w:cs="宋体"/>
          <w:color w:val="auto"/>
          <w:szCs w:val="24"/>
        </w:rPr>
        <w:t>供应商运维工程师需密切关注主会场发言通知信号，及时将镜头切换至领导特写画面，配合做好话筒设备开启、音量调节正常和主备更换等工作，发言结束及时将画面恢复全景。</w:t>
      </w:r>
    </w:p>
    <w:p>
      <w:pPr>
        <w:pStyle w:val="3"/>
        <w:rPr>
          <w:rFonts w:ascii="仿宋" w:hAnsi="仿宋" w:eastAsia="仿宋"/>
          <w:color w:val="auto"/>
        </w:rPr>
      </w:pPr>
      <w:bookmarkStart w:id="34" w:name="_Hlk168323310"/>
      <w:bookmarkStart w:id="35" w:name="_Hlk168399442"/>
      <w:r>
        <w:rPr>
          <w:rFonts w:hint="eastAsia" w:ascii="仿宋" w:hAnsi="仿宋" w:eastAsia="仿宋"/>
          <w:color w:val="auto"/>
        </w:rPr>
        <w:t>运维监控与值守服务要求</w:t>
      </w:r>
    </w:p>
    <w:p>
      <w:pPr>
        <w:pStyle w:val="4"/>
        <w:rPr>
          <w:rFonts w:ascii="仿宋" w:hAnsi="仿宋" w:eastAsia="仿宋"/>
          <w:color w:val="auto"/>
        </w:rPr>
      </w:pPr>
      <w:r>
        <w:rPr>
          <w:rFonts w:hint="eastAsia" w:ascii="仿宋" w:hAnsi="仿宋" w:eastAsia="仿宋"/>
          <w:color w:val="auto"/>
        </w:rPr>
        <w:t>运维监控服务要求</w:t>
      </w:r>
    </w:p>
    <w:p>
      <w:pPr>
        <w:ind w:firstLine="480" w:firstLineChars="200"/>
        <w:rPr>
          <w:rFonts w:ascii="仿宋" w:hAnsi="仿宋" w:eastAsia="仿宋" w:cs="宋体"/>
          <w:color w:val="auto"/>
          <w:szCs w:val="24"/>
        </w:rPr>
      </w:pPr>
      <w:r>
        <w:rPr>
          <w:rFonts w:hint="eastAsia" w:ascii="仿宋" w:hAnsi="仿宋" w:eastAsia="仿宋" w:cs="宋体"/>
          <w:color w:val="auto"/>
          <w:szCs w:val="24"/>
        </w:rPr>
        <w:t>供应商需提供一套运维服务监控软件用于</w:t>
      </w:r>
      <w:r>
        <w:rPr>
          <w:rFonts w:hint="eastAsia" w:ascii="仿宋" w:hAnsi="仿宋" w:eastAsia="仿宋"/>
          <w:color w:val="auto"/>
          <w:spacing w:val="5"/>
          <w:szCs w:val="24"/>
        </w:rPr>
        <w:t>本部、西区两个办公地点机房</w:t>
      </w:r>
      <w:r>
        <w:rPr>
          <w:rFonts w:hint="eastAsia" w:ascii="仿宋" w:hAnsi="仿宋" w:eastAsia="仿宋" w:cs="宋体"/>
          <w:color w:val="auto"/>
          <w:szCs w:val="24"/>
        </w:rPr>
        <w:t>，基于WEB中文界面的集中管理授权，为运维监控及主动发现问题提供工具支持，该服务需具备以下需求：</w:t>
      </w:r>
    </w:p>
    <w:p>
      <w:pPr>
        <w:ind w:firstLine="480" w:firstLineChars="200"/>
        <w:rPr>
          <w:rFonts w:ascii="仿宋" w:hAnsi="仿宋" w:eastAsia="仿宋" w:cs="宋体"/>
          <w:color w:val="auto"/>
          <w:szCs w:val="24"/>
        </w:rPr>
      </w:pPr>
      <w:r>
        <w:rPr>
          <w:rFonts w:hint="eastAsia" w:ascii="仿宋" w:hAnsi="仿宋" w:eastAsia="仿宋" w:cs="宋体"/>
          <w:color w:val="auto"/>
          <w:szCs w:val="24"/>
        </w:rPr>
        <w:t>1、机房可视化服务：以机房数据中心为目标，构建三维虚拟仿真监管一体化平台，实现多机房多机柜的资产管理及统一监测告警。机柜级精细化展现，深挖机房资产设备运行状态，帮助构建清晰、安全、稳定的数据中心机房环境。</w:t>
      </w:r>
    </w:p>
    <w:p>
      <w:pPr>
        <w:ind w:firstLine="480" w:firstLineChars="200"/>
        <w:rPr>
          <w:rFonts w:ascii="仿宋" w:hAnsi="仿宋" w:eastAsia="仿宋" w:cs="宋体"/>
          <w:color w:val="auto"/>
          <w:szCs w:val="24"/>
        </w:rPr>
      </w:pPr>
      <w:r>
        <w:rPr>
          <w:rFonts w:hint="eastAsia" w:ascii="仿宋" w:hAnsi="仿宋" w:eastAsia="仿宋" w:cs="宋体"/>
          <w:color w:val="auto"/>
          <w:szCs w:val="24"/>
        </w:rPr>
        <w:t>2、监控服务：聚焦于数据中心，提供100个资产监控服务授权。统一采集、管理、视图、分析数据中心动环、服务器、存储设备、网络设备、虚拟化平台、操作系统、数据库等各类对象目标。基于可落地的监控指标管理体系，融合高效的数据采集拓展能力，深度捕捉监控目标运行状态进行可视化展示，辅以定时周期巡检功能，实现及时、准确、智能的集中监控。</w:t>
      </w:r>
    </w:p>
    <w:p>
      <w:pPr>
        <w:ind w:firstLine="480" w:firstLineChars="200"/>
        <w:rPr>
          <w:rFonts w:ascii="仿宋" w:hAnsi="仿宋" w:eastAsia="仿宋" w:cs="宋体"/>
          <w:color w:val="auto"/>
          <w:szCs w:val="24"/>
        </w:rPr>
      </w:pPr>
      <w:r>
        <w:rPr>
          <w:rFonts w:hint="eastAsia" w:ascii="仿宋" w:hAnsi="仿宋" w:eastAsia="仿宋" w:cs="宋体"/>
          <w:color w:val="auto"/>
          <w:szCs w:val="24"/>
        </w:rPr>
        <w:t>3、灾备纳管服务：通过容灾运维管理平台完成备份软件的纳管，避免登录备份软件的繁琐；同时实现灾备系统及灾备计划任务的实时监控，通过大屏可视化界面了解所有数据类型的备份、恢复、容灾等信息；提供涵盖从硬件底层至系统上层的所有健康状态信息的自动化巡检。</w:t>
      </w:r>
    </w:p>
    <w:p>
      <w:pPr>
        <w:pStyle w:val="4"/>
        <w:rPr>
          <w:rFonts w:ascii="仿宋" w:hAnsi="仿宋" w:eastAsia="仿宋"/>
          <w:color w:val="auto"/>
        </w:rPr>
      </w:pPr>
      <w:r>
        <w:rPr>
          <w:rFonts w:hint="eastAsia" w:ascii="仿宋" w:hAnsi="仿宋" w:eastAsia="仿宋"/>
          <w:color w:val="auto"/>
        </w:rPr>
        <w:t>24小时值守服务要求</w:t>
      </w:r>
    </w:p>
    <w:p>
      <w:pPr>
        <w:ind w:firstLine="480" w:firstLineChars="200"/>
        <w:rPr>
          <w:rFonts w:ascii="仿宋" w:hAnsi="仿宋" w:eastAsia="仿宋" w:cs="宋体"/>
          <w:color w:val="auto"/>
          <w:szCs w:val="24"/>
        </w:rPr>
      </w:pPr>
      <w:r>
        <w:rPr>
          <w:rFonts w:hint="eastAsia" w:ascii="仿宋" w:hAnsi="仿宋" w:eastAsia="仿宋"/>
          <w:color w:val="auto"/>
        </w:rPr>
        <w:t>供应商需提供</w:t>
      </w:r>
      <w:r>
        <w:rPr>
          <w:rFonts w:hint="eastAsia" w:ascii="仿宋" w:hAnsi="仿宋" w:eastAsia="仿宋" w:cs="宋体"/>
          <w:color w:val="auto"/>
          <w:szCs w:val="21"/>
        </w:rPr>
        <w:t>远程7x</w:t>
      </w:r>
      <w:r>
        <w:rPr>
          <w:rFonts w:ascii="仿宋" w:hAnsi="仿宋" w:eastAsia="仿宋" w:cs="宋体"/>
          <w:color w:val="auto"/>
          <w:szCs w:val="21"/>
        </w:rPr>
        <w:t>24</w:t>
      </w:r>
      <w:r>
        <w:rPr>
          <w:rFonts w:hint="eastAsia" w:ascii="仿宋" w:hAnsi="仿宋" w:eastAsia="仿宋" w:cs="宋体"/>
          <w:color w:val="auto"/>
          <w:szCs w:val="21"/>
        </w:rPr>
        <w:t>小时值守服务，以安全连接的方式登入，值守人员远程7x</w:t>
      </w:r>
      <w:r>
        <w:rPr>
          <w:rFonts w:ascii="仿宋" w:hAnsi="仿宋" w:eastAsia="仿宋" w:cs="宋体"/>
          <w:color w:val="auto"/>
          <w:szCs w:val="21"/>
        </w:rPr>
        <w:t>24</w:t>
      </w:r>
      <w:r>
        <w:rPr>
          <w:rFonts w:hint="eastAsia" w:ascii="仿宋" w:hAnsi="仿宋" w:eastAsia="仿宋" w:cs="宋体"/>
          <w:color w:val="auto"/>
          <w:szCs w:val="21"/>
        </w:rPr>
        <w:t>小时实时查看监控告警信息，及时发现异常情况</w:t>
      </w:r>
    </w:p>
    <w:p>
      <w:pPr>
        <w:ind w:firstLine="480" w:firstLineChars="200"/>
        <w:rPr>
          <w:rFonts w:ascii="仿宋" w:hAnsi="仿宋" w:eastAsia="仿宋" w:cs="宋体"/>
          <w:color w:val="auto"/>
          <w:szCs w:val="24"/>
        </w:rPr>
      </w:pPr>
      <w:r>
        <w:rPr>
          <w:rFonts w:hint="eastAsia" w:ascii="仿宋" w:hAnsi="仿宋" w:eastAsia="仿宋" w:cs="宋体"/>
          <w:color w:val="auto"/>
          <w:szCs w:val="24"/>
        </w:rPr>
        <w:t>同时</w:t>
      </w:r>
      <w:r>
        <w:rPr>
          <w:rFonts w:hint="eastAsia" w:ascii="仿宋" w:hAnsi="仿宋" w:eastAsia="仿宋"/>
          <w:color w:val="auto"/>
        </w:rPr>
        <w:t>供应商</w:t>
      </w:r>
      <w:r>
        <w:rPr>
          <w:rFonts w:hint="eastAsia" w:ascii="仿宋" w:hAnsi="仿宋" w:eastAsia="仿宋" w:cs="宋体"/>
          <w:color w:val="auto"/>
          <w:szCs w:val="24"/>
        </w:rPr>
        <w:t>需协调安排二线技术工程师现场或者远程解决事件，把事件的影响降到最小，并确保快速恢复到业务正常服务水平。</w:t>
      </w:r>
    </w:p>
    <w:bookmarkEnd w:id="34"/>
    <w:p>
      <w:pPr>
        <w:pStyle w:val="3"/>
        <w:rPr>
          <w:rFonts w:ascii="仿宋" w:hAnsi="仿宋" w:eastAsia="仿宋"/>
          <w:color w:val="auto"/>
        </w:rPr>
      </w:pPr>
      <w:bookmarkStart w:id="36" w:name="_Hlk168323413"/>
      <w:bookmarkStart w:id="37" w:name="_Hlk168400329"/>
      <w:r>
        <w:rPr>
          <w:rFonts w:hint="eastAsia" w:ascii="仿宋" w:hAnsi="仿宋" w:eastAsia="仿宋"/>
          <w:color w:val="auto"/>
        </w:rPr>
        <w:t>安全软硬件续保服务要求</w:t>
      </w:r>
    </w:p>
    <w:p>
      <w:pPr>
        <w:ind w:firstLine="420"/>
        <w:rPr>
          <w:rFonts w:ascii="仿宋" w:hAnsi="仿宋" w:eastAsia="仿宋" w:cs="宋体"/>
          <w:color w:val="auto"/>
          <w:szCs w:val="24"/>
        </w:rPr>
      </w:pPr>
      <w:r>
        <w:rPr>
          <w:rFonts w:hint="eastAsia" w:ascii="仿宋" w:hAnsi="仿宋" w:eastAsia="仿宋" w:cs="宋体"/>
          <w:color w:val="auto"/>
          <w:szCs w:val="24"/>
        </w:rPr>
        <w:t>供应商需针对以下设备购买原厂运维服务，具体见清单备注要求。</w:t>
      </w:r>
    </w:p>
    <w:bookmarkEnd w:id="35"/>
    <w:bookmarkEnd w:id="36"/>
    <w:tbl>
      <w:tblPr>
        <w:tblStyle w:val="40"/>
        <w:tblW w:w="5693" w:type="pct"/>
        <w:tblInd w:w="-601" w:type="dxa"/>
        <w:tblLayout w:type="fixed"/>
        <w:tblCellMar>
          <w:top w:w="0" w:type="dxa"/>
          <w:left w:w="108" w:type="dxa"/>
          <w:bottom w:w="0" w:type="dxa"/>
          <w:right w:w="108" w:type="dxa"/>
        </w:tblCellMar>
      </w:tblPr>
      <w:tblGrid>
        <w:gridCol w:w="994"/>
        <w:gridCol w:w="3402"/>
        <w:gridCol w:w="1562"/>
        <w:gridCol w:w="1558"/>
        <w:gridCol w:w="725"/>
        <w:gridCol w:w="1398"/>
      </w:tblGrid>
      <w:tr>
        <w:tblPrEx>
          <w:tblCellMar>
            <w:top w:w="0" w:type="dxa"/>
            <w:left w:w="108" w:type="dxa"/>
            <w:bottom w:w="0" w:type="dxa"/>
            <w:right w:w="108" w:type="dxa"/>
          </w:tblCellMar>
        </w:tblPrEx>
        <w:trPr>
          <w:trHeight w:val="270" w:hRule="atLeast"/>
        </w:trPr>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b/>
                <w:bCs/>
                <w:color w:val="auto"/>
                <w:kern w:val="0"/>
                <w:szCs w:val="24"/>
              </w:rPr>
            </w:pPr>
            <w:r>
              <w:rPr>
                <w:rFonts w:hint="eastAsia" w:ascii="仿宋" w:hAnsi="仿宋" w:eastAsia="仿宋" w:cs="宋体"/>
                <w:b/>
                <w:bCs/>
                <w:color w:val="auto"/>
                <w:kern w:val="0"/>
                <w:szCs w:val="24"/>
              </w:rPr>
              <w:t>品牌</w:t>
            </w:r>
          </w:p>
        </w:tc>
        <w:tc>
          <w:tcPr>
            <w:tcW w:w="176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 w:hAnsi="仿宋" w:eastAsia="仿宋" w:cs="宋体"/>
                <w:b/>
                <w:bCs/>
                <w:color w:val="auto"/>
                <w:kern w:val="0"/>
                <w:szCs w:val="24"/>
              </w:rPr>
            </w:pPr>
            <w:r>
              <w:rPr>
                <w:rFonts w:hint="eastAsia" w:ascii="仿宋" w:hAnsi="仿宋" w:eastAsia="仿宋" w:cs="宋体"/>
                <w:b/>
                <w:bCs/>
                <w:color w:val="auto"/>
                <w:kern w:val="0"/>
                <w:szCs w:val="24"/>
              </w:rPr>
              <w:t>型号</w:t>
            </w:r>
          </w:p>
        </w:tc>
        <w:tc>
          <w:tcPr>
            <w:tcW w:w="810"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b/>
                <w:bCs/>
                <w:color w:val="auto"/>
                <w:kern w:val="0"/>
                <w:szCs w:val="24"/>
              </w:rPr>
            </w:pPr>
            <w:r>
              <w:rPr>
                <w:rFonts w:hint="eastAsia" w:ascii="仿宋" w:hAnsi="仿宋" w:eastAsia="仿宋" w:cs="宋体"/>
                <w:b/>
                <w:bCs/>
                <w:color w:val="auto"/>
                <w:kern w:val="0"/>
                <w:szCs w:val="24"/>
              </w:rPr>
              <w:t>产品序列号</w:t>
            </w:r>
          </w:p>
        </w:tc>
        <w:tc>
          <w:tcPr>
            <w:tcW w:w="808"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 w:hAnsi="仿宋" w:eastAsia="仿宋" w:cs="宋体"/>
                <w:b/>
                <w:bCs/>
                <w:color w:val="auto"/>
                <w:kern w:val="0"/>
                <w:szCs w:val="24"/>
              </w:rPr>
            </w:pPr>
            <w:r>
              <w:rPr>
                <w:rFonts w:hint="eastAsia" w:ascii="仿宋" w:hAnsi="仿宋" w:eastAsia="仿宋" w:cs="宋体"/>
                <w:b/>
                <w:bCs/>
                <w:color w:val="auto"/>
                <w:kern w:val="0"/>
                <w:szCs w:val="24"/>
              </w:rPr>
              <w:t>规则库</w:t>
            </w:r>
          </w:p>
        </w:tc>
        <w:tc>
          <w:tcPr>
            <w:tcW w:w="376"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 w:hAnsi="仿宋" w:eastAsia="仿宋" w:cs="宋体"/>
                <w:b/>
                <w:bCs/>
                <w:color w:val="auto"/>
                <w:kern w:val="0"/>
                <w:szCs w:val="24"/>
              </w:rPr>
            </w:pPr>
            <w:r>
              <w:rPr>
                <w:rFonts w:hint="eastAsia" w:ascii="仿宋" w:hAnsi="仿宋" w:eastAsia="仿宋" w:cs="宋体"/>
                <w:b/>
                <w:bCs/>
                <w:color w:val="auto"/>
                <w:kern w:val="0"/>
                <w:szCs w:val="24"/>
              </w:rPr>
              <w:t>服务期</w:t>
            </w:r>
          </w:p>
        </w:tc>
        <w:tc>
          <w:tcPr>
            <w:tcW w:w="725"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b/>
                <w:bCs/>
                <w:color w:val="auto"/>
                <w:kern w:val="0"/>
                <w:szCs w:val="24"/>
              </w:rPr>
            </w:pPr>
            <w:r>
              <w:rPr>
                <w:rFonts w:hint="eastAsia" w:ascii="仿宋" w:hAnsi="仿宋" w:eastAsia="仿宋" w:cs="宋体"/>
                <w:b/>
                <w:bCs/>
                <w:color w:val="auto"/>
                <w:kern w:val="0"/>
                <w:szCs w:val="24"/>
              </w:rPr>
              <w:t>备注</w:t>
            </w:r>
          </w:p>
        </w:tc>
      </w:tr>
      <w:tr>
        <w:tblPrEx>
          <w:tblCellMar>
            <w:top w:w="0" w:type="dxa"/>
            <w:left w:w="108" w:type="dxa"/>
            <w:bottom w:w="0" w:type="dxa"/>
            <w:right w:w="108" w:type="dxa"/>
          </w:tblCellMar>
        </w:tblPrEx>
        <w:trPr>
          <w:trHeight w:val="270" w:hRule="atLeast"/>
        </w:trPr>
        <w:tc>
          <w:tcPr>
            <w:tcW w:w="516" w:type="pct"/>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深信服</w:t>
            </w:r>
          </w:p>
        </w:tc>
        <w:tc>
          <w:tcPr>
            <w:tcW w:w="1765"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深信服上网行为管理AC-1000-B1400</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FF7E485F</w:t>
            </w:r>
          </w:p>
        </w:tc>
        <w:tc>
          <w:tcPr>
            <w:tcW w:w="808" w:type="pct"/>
            <w:tcBorders>
              <w:top w:val="nil"/>
              <w:left w:val="nil"/>
              <w:bottom w:val="single" w:color="auto" w:sz="4" w:space="0"/>
              <w:right w:val="single" w:color="auto" w:sz="4" w:space="0"/>
            </w:tcBorders>
            <w:shd w:val="clear" w:color="auto" w:fill="auto"/>
            <w:vAlign w:val="center"/>
          </w:tcPr>
          <w:p>
            <w:pPr>
              <w:widowControl/>
              <w:jc w:val="left"/>
              <w:rPr>
                <w:rFonts w:ascii="仿宋" w:hAnsi="仿宋" w:eastAsia="仿宋" w:cs="宋体"/>
                <w:color w:val="auto"/>
                <w:kern w:val="0"/>
                <w:szCs w:val="24"/>
              </w:rPr>
            </w:pPr>
            <w:r>
              <w:rPr>
                <w:rFonts w:hint="eastAsia" w:ascii="仿宋" w:hAnsi="仿宋" w:eastAsia="仿宋" w:cs="宋体"/>
                <w:color w:val="auto"/>
                <w:kern w:val="0"/>
                <w:szCs w:val="24"/>
              </w:rPr>
              <w:t>　</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深信服零信任aTrust</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CE92617E</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设备升级</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深信服零信任安全代理网关</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F0C46D34</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设备升级</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安恒</w:t>
            </w: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DMZ安恒WAF-2000AG</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1911X050934</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　</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安恒入侵检测DAS-NAT-1000</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2106X560417</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　</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765"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安恒数据库审计DAS-A3000</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2106X020418</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软件版本：V4.0.67 规则库版本：V1.0_20230619</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安恒态势感知DAS-ABL-CH-A800</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1912X231019</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　</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安恒态势感知DAS-ABL-SP600(APT)</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1912X131020</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　</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安恒防篡改</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020105233X01CD63LD</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WPT-EE</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安恒日志审计DAS-LOG-500</w:t>
            </w:r>
          </w:p>
        </w:tc>
        <w:tc>
          <w:tcPr>
            <w:tcW w:w="810" w:type="pct"/>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1907X070529</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基础审计</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810"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用户定制包</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vMerge w:val="continue"/>
            <w:tcBorders>
              <w:top w:val="nil"/>
              <w:left w:val="single" w:color="auto" w:sz="4" w:space="0"/>
              <w:bottom w:val="single" w:color="000000" w:sz="4" w:space="0"/>
              <w:right w:val="single" w:color="auto" w:sz="4" w:space="0"/>
            </w:tcBorders>
            <w:vAlign w:val="center"/>
          </w:tcPr>
          <w:p>
            <w:pPr>
              <w:widowControl/>
              <w:jc w:val="left"/>
              <w:rPr>
                <w:rFonts w:ascii="仿宋" w:hAnsi="仿宋" w:eastAsia="仿宋" w:cs="宋体"/>
                <w:color w:val="auto"/>
                <w:kern w:val="0"/>
                <w:szCs w:val="24"/>
              </w:rPr>
            </w:pPr>
          </w:p>
        </w:tc>
      </w:tr>
      <w:tr>
        <w:tblPrEx>
          <w:tblCellMar>
            <w:top w:w="0" w:type="dxa"/>
            <w:left w:w="108" w:type="dxa"/>
            <w:bottom w:w="0" w:type="dxa"/>
            <w:right w:w="108" w:type="dxa"/>
          </w:tblCellMar>
        </w:tblPrEx>
        <w:trPr>
          <w:trHeight w:val="270" w:hRule="atLeast"/>
        </w:trPr>
        <w:tc>
          <w:tcPr>
            <w:tcW w:w="516"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1765"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810" w:type="pct"/>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color w:val="auto"/>
                <w:kern w:val="0"/>
                <w:szCs w:val="24"/>
              </w:rPr>
            </w:pP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安全探查</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vMerge w:val="continue"/>
            <w:tcBorders>
              <w:top w:val="nil"/>
              <w:left w:val="single" w:color="auto" w:sz="4" w:space="0"/>
              <w:bottom w:val="single" w:color="000000" w:sz="4" w:space="0"/>
              <w:right w:val="single" w:color="auto" w:sz="4" w:space="0"/>
            </w:tcBorders>
            <w:vAlign w:val="center"/>
          </w:tcPr>
          <w:p>
            <w:pPr>
              <w:widowControl/>
              <w:jc w:val="left"/>
              <w:rPr>
                <w:rFonts w:ascii="仿宋" w:hAnsi="仿宋" w:eastAsia="仿宋" w:cs="宋体"/>
                <w:color w:val="auto"/>
                <w:kern w:val="0"/>
                <w:szCs w:val="24"/>
              </w:rPr>
            </w:pPr>
          </w:p>
        </w:tc>
      </w:tr>
      <w:tr>
        <w:tblPrEx>
          <w:tblCellMar>
            <w:top w:w="0" w:type="dxa"/>
            <w:left w:w="108" w:type="dxa"/>
            <w:bottom w:w="0" w:type="dxa"/>
            <w:right w:w="108" w:type="dxa"/>
          </w:tblCellMar>
        </w:tblPrEx>
        <w:trPr>
          <w:trHeight w:val="270" w:hRule="atLeast"/>
        </w:trPr>
        <w:tc>
          <w:tcPr>
            <w:tcW w:w="516"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信锐</w:t>
            </w: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统一WIFI认证  NAC-6000</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1CEFD0BB</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软件升级</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270" w:hRule="atLeast"/>
        </w:trPr>
        <w:tc>
          <w:tcPr>
            <w:tcW w:w="516"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北信源</w:t>
            </w: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准入 VRV-BMG-1000</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06f2ff814d39245c35b48ae4f8f692a0</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版本：V6.0.310</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510" w:hRule="atLeast"/>
        </w:trPr>
        <w:tc>
          <w:tcPr>
            <w:tcW w:w="516"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绿盟</w:t>
            </w: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漏扫 RSRA</w:t>
            </w:r>
            <w:r>
              <w:rPr>
                <w:rFonts w:ascii="Calibri" w:hAnsi="Calibri" w:eastAsia="仿宋" w:cs="Calibri"/>
                <w:color w:val="auto"/>
                <w:kern w:val="0"/>
                <w:szCs w:val="24"/>
              </w:rPr>
              <w:t> </w:t>
            </w:r>
            <w:r>
              <w:rPr>
                <w:rFonts w:hint="eastAsia" w:ascii="仿宋" w:hAnsi="仿宋" w:eastAsia="仿宋" w:cs="宋体"/>
                <w:color w:val="auto"/>
                <w:kern w:val="0"/>
                <w:szCs w:val="24"/>
              </w:rPr>
              <w:t>NX3</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20-52-Q-32550</w:t>
            </w:r>
          </w:p>
        </w:tc>
        <w:tc>
          <w:tcPr>
            <w:tcW w:w="808"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V6.0R04F01SP06</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r>
        <w:tblPrEx>
          <w:tblCellMar>
            <w:top w:w="0" w:type="dxa"/>
            <w:left w:w="108" w:type="dxa"/>
            <w:bottom w:w="0" w:type="dxa"/>
            <w:right w:w="108" w:type="dxa"/>
          </w:tblCellMar>
        </w:tblPrEx>
        <w:trPr>
          <w:trHeight w:val="338" w:hRule="atLeast"/>
        </w:trPr>
        <w:tc>
          <w:tcPr>
            <w:tcW w:w="516"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北京CA</w:t>
            </w:r>
          </w:p>
        </w:tc>
        <w:tc>
          <w:tcPr>
            <w:tcW w:w="176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时间戳服务器</w:t>
            </w:r>
          </w:p>
        </w:tc>
        <w:tc>
          <w:tcPr>
            <w:tcW w:w="810"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99012109000876</w:t>
            </w:r>
          </w:p>
        </w:tc>
        <w:tc>
          <w:tcPr>
            <w:tcW w:w="808"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一年续保加新增北斗模块</w:t>
            </w:r>
          </w:p>
        </w:tc>
        <w:tc>
          <w:tcPr>
            <w:tcW w:w="376" w:type="pct"/>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1年</w:t>
            </w:r>
          </w:p>
        </w:tc>
        <w:tc>
          <w:tcPr>
            <w:tcW w:w="725" w:type="pct"/>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color w:val="auto"/>
                <w:kern w:val="0"/>
                <w:szCs w:val="24"/>
              </w:rPr>
            </w:pPr>
            <w:r>
              <w:rPr>
                <w:rFonts w:hint="eastAsia" w:ascii="仿宋" w:hAnsi="仿宋" w:eastAsia="仿宋" w:cs="宋体"/>
                <w:color w:val="auto"/>
                <w:kern w:val="0"/>
                <w:szCs w:val="24"/>
              </w:rPr>
              <w:t>原厂维保</w:t>
            </w:r>
          </w:p>
        </w:tc>
      </w:tr>
    </w:tbl>
    <w:p>
      <w:pPr>
        <w:rPr>
          <w:color w:val="auto"/>
        </w:rPr>
      </w:pPr>
    </w:p>
    <w:bookmarkEnd w:id="37"/>
    <w:p>
      <w:pPr>
        <w:pStyle w:val="3"/>
        <w:rPr>
          <w:rFonts w:ascii="仿宋" w:hAnsi="仿宋" w:eastAsia="仿宋"/>
          <w:color w:val="auto"/>
        </w:rPr>
      </w:pPr>
      <w:r>
        <w:rPr>
          <w:rFonts w:hint="eastAsia" w:ascii="仿宋" w:hAnsi="仿宋" w:eastAsia="仿宋"/>
          <w:color w:val="auto"/>
        </w:rPr>
        <w:t>等保测评服务</w:t>
      </w:r>
    </w:p>
    <w:p>
      <w:pPr>
        <w:pStyle w:val="4"/>
        <w:rPr>
          <w:color w:val="auto"/>
        </w:rPr>
      </w:pPr>
      <w:r>
        <w:rPr>
          <w:rFonts w:hint="eastAsia"/>
          <w:color w:val="auto"/>
        </w:rPr>
        <w:t>测评系统</w:t>
      </w:r>
    </w:p>
    <w:p>
      <w:pPr>
        <w:ind w:firstLine="420"/>
        <w:rPr>
          <w:rFonts w:ascii="仿宋" w:hAnsi="仿宋" w:eastAsia="仿宋" w:cs="宋体"/>
          <w:color w:val="auto"/>
          <w:szCs w:val="24"/>
        </w:rPr>
      </w:pPr>
      <w:r>
        <w:rPr>
          <w:rFonts w:hint="eastAsia" w:ascii="仿宋" w:hAnsi="仿宋" w:eastAsia="仿宋" w:cs="宋体"/>
          <w:color w:val="auto"/>
          <w:szCs w:val="24"/>
        </w:rPr>
        <w:t>供应商需提供确保甲方1个业务系统通过等级保护三级。</w:t>
      </w:r>
    </w:p>
    <w:p>
      <w:pPr>
        <w:ind w:firstLine="420"/>
        <w:rPr>
          <w:rFonts w:ascii="仿宋" w:hAnsi="仿宋" w:eastAsia="仿宋" w:cs="宋体"/>
          <w:color w:val="auto"/>
          <w:szCs w:val="24"/>
        </w:rPr>
      </w:pPr>
      <w:r>
        <w:rPr>
          <w:rFonts w:hint="eastAsia" w:ascii="仿宋" w:hAnsi="仿宋" w:eastAsia="仿宋" w:cs="宋体"/>
          <w:color w:val="auto"/>
          <w:szCs w:val="24"/>
        </w:rPr>
        <w:t>按照国家标准进行等级测评，发现和协助整改问题，确保信息系统取得公安机关备案证明和等级保护测评报告。</w:t>
      </w:r>
    </w:p>
    <w:p>
      <w:pPr>
        <w:pStyle w:val="4"/>
        <w:rPr>
          <w:color w:val="auto"/>
        </w:rPr>
      </w:pPr>
      <w:r>
        <w:rPr>
          <w:rFonts w:hint="eastAsia"/>
          <w:color w:val="auto"/>
        </w:rPr>
        <w:t>测评服务内容要求</w:t>
      </w:r>
    </w:p>
    <w:p>
      <w:pPr>
        <w:ind w:firstLine="420"/>
        <w:rPr>
          <w:rFonts w:ascii="仿宋" w:hAnsi="仿宋" w:eastAsia="仿宋" w:cs="宋体"/>
          <w:color w:val="auto"/>
          <w:szCs w:val="24"/>
        </w:rPr>
      </w:pPr>
      <w:r>
        <w:rPr>
          <w:rFonts w:hint="eastAsia" w:ascii="仿宋" w:hAnsi="仿宋" w:eastAsia="仿宋" w:cs="宋体"/>
          <w:color w:val="auto"/>
          <w:szCs w:val="24"/>
        </w:rPr>
        <w:t>1）根据国家相关标准，安全服务应包括以下内容：</w:t>
      </w:r>
    </w:p>
    <w:p>
      <w:pPr>
        <w:ind w:firstLine="420"/>
        <w:rPr>
          <w:rFonts w:ascii="仿宋" w:hAnsi="仿宋" w:eastAsia="仿宋" w:cs="宋体"/>
          <w:color w:val="auto"/>
          <w:szCs w:val="24"/>
        </w:rPr>
      </w:pPr>
      <w:r>
        <w:rPr>
          <w:rFonts w:hint="eastAsia" w:ascii="仿宋" w:hAnsi="仿宋" w:eastAsia="仿宋" w:cs="宋体"/>
          <w:color w:val="auto"/>
          <w:szCs w:val="24"/>
        </w:rPr>
        <w:t>安全技术测评：包括安全物理环境、安全通信网络、安全区域边界、安全计算环境和安全管理中心等五个方面的安全测评；</w:t>
      </w:r>
    </w:p>
    <w:p>
      <w:pPr>
        <w:ind w:firstLine="420"/>
        <w:rPr>
          <w:rFonts w:ascii="仿宋" w:hAnsi="仿宋" w:eastAsia="仿宋" w:cs="宋体"/>
          <w:color w:val="auto"/>
          <w:szCs w:val="24"/>
        </w:rPr>
      </w:pPr>
      <w:r>
        <w:rPr>
          <w:rFonts w:hint="eastAsia" w:ascii="仿宋" w:hAnsi="仿宋" w:eastAsia="仿宋" w:cs="宋体"/>
          <w:color w:val="auto"/>
          <w:szCs w:val="24"/>
        </w:rPr>
        <w:t>安全管理测评：包括安全管理机构、安全管理制度、安全管理人员、安全建设管理和安全运维管理等五个方面的安全测评。</w:t>
      </w:r>
    </w:p>
    <w:p>
      <w:pPr>
        <w:ind w:firstLine="420"/>
        <w:rPr>
          <w:rFonts w:ascii="仿宋" w:hAnsi="仿宋" w:eastAsia="仿宋" w:cs="宋体"/>
          <w:color w:val="auto"/>
          <w:szCs w:val="24"/>
        </w:rPr>
      </w:pPr>
      <w:r>
        <w:rPr>
          <w:rFonts w:hint="eastAsia" w:ascii="仿宋" w:hAnsi="仿宋" w:eastAsia="仿宋" w:cs="宋体"/>
          <w:color w:val="auto"/>
          <w:szCs w:val="24"/>
        </w:rPr>
        <w:t>2）服务内容</w:t>
      </w:r>
    </w:p>
    <w:p>
      <w:pPr>
        <w:ind w:firstLine="420"/>
        <w:rPr>
          <w:rFonts w:ascii="仿宋" w:hAnsi="仿宋" w:eastAsia="仿宋" w:cs="宋体"/>
          <w:color w:val="auto"/>
          <w:szCs w:val="24"/>
        </w:rPr>
      </w:pPr>
      <w:r>
        <w:rPr>
          <w:rFonts w:hint="eastAsia" w:ascii="仿宋" w:hAnsi="仿宋" w:eastAsia="仿宋" w:cs="宋体"/>
          <w:color w:val="auto"/>
          <w:szCs w:val="24"/>
        </w:rPr>
        <w:t>协助开展信息系统的自查自评估工作，对存在的风险隐患和安全问题及时提供有针对性的安全整改建议，保障整改措施的落实，指导完成信息系统的定级、备案等相关工作；</w:t>
      </w:r>
    </w:p>
    <w:p>
      <w:pPr>
        <w:ind w:firstLine="420"/>
        <w:rPr>
          <w:rFonts w:ascii="仿宋" w:hAnsi="仿宋" w:eastAsia="仿宋" w:cs="宋体"/>
          <w:color w:val="auto"/>
          <w:szCs w:val="24"/>
        </w:rPr>
      </w:pPr>
      <w:r>
        <w:rPr>
          <w:rFonts w:hint="eastAsia" w:ascii="仿宋" w:hAnsi="仿宋" w:eastAsia="仿宋" w:cs="宋体"/>
          <w:color w:val="auto"/>
          <w:szCs w:val="24"/>
        </w:rPr>
        <w:t>针对安全服务实施过程中发现的安全隐患和薄弱环节，提供安全建设整改和安全加固方面的咨询。</w:t>
      </w:r>
    </w:p>
    <w:p>
      <w:pPr>
        <w:pStyle w:val="4"/>
        <w:rPr>
          <w:color w:val="auto"/>
        </w:rPr>
      </w:pPr>
      <w:r>
        <w:rPr>
          <w:rFonts w:hint="eastAsia"/>
          <w:color w:val="auto"/>
        </w:rPr>
        <w:t>专用工具要求</w:t>
      </w:r>
    </w:p>
    <w:p>
      <w:pPr>
        <w:ind w:firstLine="420"/>
        <w:rPr>
          <w:rFonts w:ascii="仿宋" w:hAnsi="仿宋" w:eastAsia="仿宋" w:cs="宋体"/>
          <w:color w:val="auto"/>
          <w:szCs w:val="24"/>
        </w:rPr>
      </w:pPr>
      <w:r>
        <w:rPr>
          <w:rFonts w:hint="eastAsia" w:ascii="仿宋" w:hAnsi="仿宋" w:eastAsia="仿宋" w:cs="宋体"/>
          <w:color w:val="auto"/>
          <w:szCs w:val="24"/>
        </w:rPr>
        <w:t>用于测评服务的工具主要包括服务器安全工具、网络设备安全工具、终端计算机安全工具、网站等应用系统安全工具等。</w:t>
      </w:r>
    </w:p>
    <w:p>
      <w:pPr>
        <w:pStyle w:val="4"/>
        <w:rPr>
          <w:color w:val="auto"/>
        </w:rPr>
      </w:pPr>
      <w:r>
        <w:rPr>
          <w:rFonts w:hint="eastAsia"/>
          <w:color w:val="auto"/>
        </w:rPr>
        <w:t>安全管理要求</w:t>
      </w:r>
    </w:p>
    <w:p>
      <w:pPr>
        <w:ind w:firstLine="420"/>
        <w:rPr>
          <w:rFonts w:ascii="仿宋" w:hAnsi="仿宋" w:eastAsia="仿宋" w:cs="宋体"/>
          <w:color w:val="auto"/>
          <w:szCs w:val="24"/>
        </w:rPr>
      </w:pPr>
      <w:r>
        <w:rPr>
          <w:rFonts w:hint="eastAsia" w:ascii="仿宋" w:hAnsi="仿宋" w:eastAsia="仿宋" w:cs="宋体"/>
          <w:color w:val="auto"/>
          <w:szCs w:val="24"/>
        </w:rPr>
        <w:t>为做好全过程的安全保密工作，在安全测评服务前、中、后三个阶段都要做好安全保密工作。</w:t>
      </w:r>
    </w:p>
    <w:p>
      <w:pPr>
        <w:ind w:firstLine="420"/>
        <w:rPr>
          <w:rFonts w:ascii="仿宋" w:hAnsi="仿宋" w:eastAsia="仿宋" w:cs="宋体"/>
          <w:color w:val="auto"/>
          <w:szCs w:val="24"/>
        </w:rPr>
      </w:pPr>
      <w:r>
        <w:rPr>
          <w:rFonts w:hint="eastAsia" w:ascii="仿宋" w:hAnsi="仿宋" w:eastAsia="仿宋" w:cs="宋体"/>
          <w:color w:val="auto"/>
          <w:szCs w:val="24"/>
        </w:rPr>
        <w:t>1）安全测评服务前</w:t>
      </w:r>
    </w:p>
    <w:p>
      <w:pPr>
        <w:ind w:firstLine="420"/>
        <w:rPr>
          <w:rFonts w:ascii="仿宋" w:hAnsi="仿宋" w:eastAsia="仿宋" w:cs="宋体"/>
          <w:color w:val="auto"/>
          <w:szCs w:val="24"/>
        </w:rPr>
      </w:pPr>
      <w:r>
        <w:rPr>
          <w:rFonts w:hint="eastAsia" w:ascii="仿宋" w:hAnsi="仿宋" w:eastAsia="仿宋" w:cs="宋体"/>
          <w:color w:val="auto"/>
          <w:szCs w:val="24"/>
        </w:rPr>
        <w:t>（1）对安全服务人员要进行安全保密教育，制定安全保密措施；</w:t>
      </w:r>
    </w:p>
    <w:p>
      <w:pPr>
        <w:ind w:firstLine="420"/>
        <w:rPr>
          <w:rFonts w:ascii="仿宋" w:hAnsi="仿宋" w:eastAsia="仿宋" w:cs="宋体"/>
          <w:color w:val="auto"/>
          <w:szCs w:val="24"/>
        </w:rPr>
      </w:pPr>
      <w:r>
        <w:rPr>
          <w:rFonts w:hint="eastAsia" w:ascii="仿宋" w:hAnsi="仿宋" w:eastAsia="仿宋" w:cs="宋体"/>
          <w:color w:val="auto"/>
          <w:szCs w:val="24"/>
        </w:rPr>
        <w:t>（2）签订安全保密协议。</w:t>
      </w:r>
    </w:p>
    <w:p>
      <w:pPr>
        <w:ind w:firstLine="420"/>
        <w:rPr>
          <w:rFonts w:ascii="仿宋" w:hAnsi="仿宋" w:eastAsia="仿宋" w:cs="宋体"/>
          <w:color w:val="auto"/>
          <w:szCs w:val="24"/>
        </w:rPr>
      </w:pPr>
      <w:r>
        <w:rPr>
          <w:rFonts w:hint="eastAsia" w:ascii="仿宋" w:hAnsi="仿宋" w:eastAsia="仿宋" w:cs="宋体"/>
          <w:color w:val="auto"/>
          <w:szCs w:val="24"/>
        </w:rPr>
        <w:t>2）安全测评服务中</w:t>
      </w:r>
    </w:p>
    <w:p>
      <w:pPr>
        <w:ind w:firstLine="420"/>
        <w:rPr>
          <w:rFonts w:ascii="仿宋" w:hAnsi="仿宋" w:eastAsia="仿宋" w:cs="宋体"/>
          <w:color w:val="auto"/>
          <w:szCs w:val="24"/>
        </w:rPr>
      </w:pPr>
      <w:r>
        <w:rPr>
          <w:rFonts w:hint="eastAsia" w:ascii="仿宋" w:hAnsi="仿宋" w:eastAsia="仿宋" w:cs="宋体"/>
          <w:color w:val="auto"/>
          <w:szCs w:val="24"/>
        </w:rPr>
        <w:t>（1）对用户单位的性质、机房物理位置、网络与系统、应用与服务、资料与数据、人员与管理等方面的信息进行严格的安全保密管理；</w:t>
      </w:r>
    </w:p>
    <w:p>
      <w:pPr>
        <w:ind w:firstLine="420"/>
        <w:rPr>
          <w:rFonts w:ascii="仿宋" w:hAnsi="仿宋" w:eastAsia="仿宋" w:cs="宋体"/>
          <w:color w:val="auto"/>
          <w:szCs w:val="24"/>
        </w:rPr>
      </w:pPr>
      <w:r>
        <w:rPr>
          <w:rFonts w:hint="eastAsia" w:ascii="仿宋" w:hAnsi="仿宋" w:eastAsia="仿宋" w:cs="宋体"/>
          <w:color w:val="auto"/>
          <w:szCs w:val="24"/>
        </w:rPr>
        <w:t>（2）安全服务工具应经过严格测试和检验，确保不在检测过程中对系统安全造成损失，工作结束后不驻留任何程序；</w:t>
      </w:r>
    </w:p>
    <w:p>
      <w:pPr>
        <w:ind w:firstLine="420"/>
        <w:rPr>
          <w:rFonts w:ascii="仿宋" w:hAnsi="仿宋" w:eastAsia="仿宋" w:cs="宋体"/>
          <w:color w:val="auto"/>
          <w:szCs w:val="24"/>
        </w:rPr>
      </w:pPr>
      <w:r>
        <w:rPr>
          <w:rFonts w:hint="eastAsia" w:ascii="仿宋" w:hAnsi="仿宋" w:eastAsia="仿宋" w:cs="宋体"/>
          <w:color w:val="auto"/>
          <w:szCs w:val="24"/>
        </w:rPr>
        <w:t>（3）对被测单位信息系统的信息资产、发现的脆弱性和发生过的安全事件等威胁情况要控制知情范围；</w:t>
      </w:r>
    </w:p>
    <w:p>
      <w:pPr>
        <w:ind w:firstLine="420"/>
        <w:rPr>
          <w:rFonts w:ascii="仿宋" w:hAnsi="仿宋" w:eastAsia="仿宋" w:cs="宋体"/>
          <w:color w:val="auto"/>
          <w:szCs w:val="24"/>
        </w:rPr>
      </w:pPr>
      <w:r>
        <w:rPr>
          <w:rFonts w:hint="eastAsia" w:ascii="仿宋" w:hAnsi="仿宋" w:eastAsia="仿宋" w:cs="宋体"/>
          <w:color w:val="auto"/>
          <w:szCs w:val="24"/>
        </w:rPr>
        <w:t>（4）对测评设备、介质进行严格的保密管理；</w:t>
      </w:r>
    </w:p>
    <w:p>
      <w:pPr>
        <w:ind w:firstLine="420"/>
        <w:rPr>
          <w:rFonts w:ascii="仿宋" w:hAnsi="仿宋" w:eastAsia="仿宋" w:cs="宋体"/>
          <w:color w:val="auto"/>
          <w:szCs w:val="24"/>
        </w:rPr>
      </w:pPr>
      <w:r>
        <w:rPr>
          <w:rFonts w:hint="eastAsia" w:ascii="仿宋" w:hAnsi="仿宋" w:eastAsia="仿宋" w:cs="宋体"/>
          <w:color w:val="auto"/>
          <w:szCs w:val="24"/>
        </w:rPr>
        <w:t>（5）工作过程中对人员要实施封闭式集中管理；</w:t>
      </w:r>
    </w:p>
    <w:p>
      <w:pPr>
        <w:ind w:firstLine="420"/>
        <w:rPr>
          <w:rFonts w:ascii="仿宋" w:hAnsi="仿宋" w:eastAsia="仿宋" w:cs="宋体"/>
          <w:color w:val="auto"/>
          <w:szCs w:val="24"/>
        </w:rPr>
      </w:pPr>
      <w:r>
        <w:rPr>
          <w:rFonts w:hint="eastAsia" w:ascii="仿宋" w:hAnsi="仿宋" w:eastAsia="仿宋" w:cs="宋体"/>
          <w:color w:val="auto"/>
          <w:szCs w:val="24"/>
        </w:rPr>
        <w:t>（6）对进场人员遵守被测单位的相关管理规定。</w:t>
      </w:r>
    </w:p>
    <w:p>
      <w:pPr>
        <w:ind w:firstLine="420"/>
        <w:rPr>
          <w:rFonts w:ascii="仿宋" w:hAnsi="仿宋" w:eastAsia="仿宋" w:cs="宋体"/>
          <w:color w:val="auto"/>
          <w:szCs w:val="24"/>
        </w:rPr>
      </w:pPr>
      <w:r>
        <w:rPr>
          <w:rFonts w:hint="eastAsia" w:ascii="仿宋" w:hAnsi="仿宋" w:eastAsia="仿宋" w:cs="宋体"/>
          <w:color w:val="auto"/>
          <w:szCs w:val="24"/>
        </w:rPr>
        <w:t>3）安全测评服务后</w:t>
      </w:r>
    </w:p>
    <w:p>
      <w:pPr>
        <w:ind w:firstLine="420"/>
        <w:rPr>
          <w:rFonts w:ascii="仿宋" w:hAnsi="仿宋" w:eastAsia="仿宋" w:cs="宋体"/>
          <w:color w:val="auto"/>
          <w:szCs w:val="24"/>
        </w:rPr>
      </w:pPr>
      <w:r>
        <w:rPr>
          <w:rFonts w:hint="eastAsia" w:ascii="仿宋" w:hAnsi="仿宋" w:eastAsia="仿宋" w:cs="宋体"/>
          <w:color w:val="auto"/>
          <w:szCs w:val="24"/>
        </w:rPr>
        <w:t>（1）认真清退各种文档、资料和数据并予以销毁，确保工作过程中敏感数据不被泄漏；</w:t>
      </w:r>
    </w:p>
    <w:p>
      <w:pPr>
        <w:ind w:firstLine="420"/>
        <w:rPr>
          <w:rFonts w:ascii="仿宋" w:hAnsi="仿宋" w:eastAsia="仿宋" w:cs="宋体"/>
          <w:color w:val="auto"/>
          <w:szCs w:val="24"/>
        </w:rPr>
      </w:pPr>
      <w:r>
        <w:rPr>
          <w:rFonts w:hint="eastAsia" w:ascii="仿宋" w:hAnsi="仿宋" w:eastAsia="仿宋" w:cs="宋体"/>
          <w:color w:val="auto"/>
          <w:szCs w:val="24"/>
        </w:rPr>
        <w:t>（2）现场工作结束后，按被测单位的要求及时还原系统，确保系统中不遗留任何代码或可执行程序；</w:t>
      </w:r>
    </w:p>
    <w:p>
      <w:pPr>
        <w:ind w:firstLine="420"/>
        <w:rPr>
          <w:rFonts w:ascii="仿宋" w:hAnsi="仿宋" w:eastAsia="仿宋" w:cs="宋体"/>
          <w:color w:val="auto"/>
          <w:szCs w:val="24"/>
        </w:rPr>
      </w:pPr>
      <w:r>
        <w:rPr>
          <w:rFonts w:hint="eastAsia" w:ascii="仿宋" w:hAnsi="仿宋" w:eastAsia="仿宋" w:cs="宋体"/>
          <w:color w:val="auto"/>
          <w:szCs w:val="24"/>
        </w:rPr>
        <w:t>（3）在其他风险测评任务或宣传材料中不涉及用户单位的秘密、敏感情况。</w:t>
      </w:r>
    </w:p>
    <w:p>
      <w:pPr>
        <w:pStyle w:val="4"/>
        <w:rPr>
          <w:color w:val="auto"/>
        </w:rPr>
      </w:pPr>
      <w:r>
        <w:rPr>
          <w:rFonts w:hint="eastAsia"/>
          <w:color w:val="auto"/>
        </w:rPr>
        <w:t>文档要求</w:t>
      </w:r>
    </w:p>
    <w:p>
      <w:pPr>
        <w:ind w:firstLine="420"/>
        <w:rPr>
          <w:rFonts w:ascii="仿宋" w:hAnsi="仿宋" w:eastAsia="仿宋" w:cs="宋体"/>
          <w:color w:val="auto"/>
          <w:szCs w:val="24"/>
        </w:rPr>
      </w:pPr>
      <w:r>
        <w:rPr>
          <w:rFonts w:hint="eastAsia" w:ascii="仿宋" w:hAnsi="仿宋" w:eastAsia="仿宋" w:cs="宋体"/>
          <w:color w:val="auto"/>
          <w:szCs w:val="24"/>
        </w:rPr>
        <w:t>文档或报告的编写应完整清晰、用词规范、简明扼要，指出的问题应明确合理、符合逻辑、且有证据，出具的结论应公正客观、实事求是，提出的建议应符合国家标准规范、富有建设性和可操作性。</w:t>
      </w:r>
    </w:p>
    <w:p>
      <w:pPr>
        <w:pStyle w:val="3"/>
        <w:rPr>
          <w:rFonts w:ascii="仿宋" w:hAnsi="仿宋" w:eastAsia="仿宋"/>
          <w:color w:val="auto"/>
        </w:rPr>
      </w:pPr>
      <w:bookmarkStart w:id="38" w:name="_Hlk168323529"/>
      <w:r>
        <w:rPr>
          <w:rFonts w:hint="eastAsia" w:ascii="仿宋" w:hAnsi="仿宋" w:eastAsia="仿宋"/>
          <w:color w:val="auto"/>
        </w:rPr>
        <w:t>其它服务</w:t>
      </w:r>
    </w:p>
    <w:p>
      <w:pPr>
        <w:pStyle w:val="4"/>
        <w:rPr>
          <w:rFonts w:ascii="仿宋" w:hAnsi="仿宋" w:eastAsia="仿宋"/>
          <w:color w:val="auto"/>
        </w:rPr>
      </w:pPr>
      <w:bookmarkStart w:id="39" w:name="_Hlk168400405"/>
      <w:bookmarkStart w:id="40" w:name="_Hlk168399581"/>
      <w:r>
        <w:rPr>
          <w:rFonts w:hint="eastAsia" w:ascii="仿宋" w:hAnsi="仿宋" w:eastAsia="仿宋"/>
          <w:color w:val="auto"/>
        </w:rPr>
        <w:t>钉钉专业版技术服务需求</w:t>
      </w:r>
    </w:p>
    <w:p>
      <w:pPr>
        <w:ind w:left="420"/>
        <w:rPr>
          <w:rFonts w:ascii="仿宋" w:hAnsi="仿宋" w:eastAsia="仿宋"/>
          <w:color w:val="auto"/>
          <w:szCs w:val="24"/>
        </w:rPr>
      </w:pPr>
      <w:r>
        <w:rPr>
          <w:rFonts w:hint="eastAsia" w:ascii="仿宋" w:hAnsi="仿宋" w:eastAsia="仿宋"/>
          <w:color w:val="auto"/>
          <w:szCs w:val="24"/>
        </w:rPr>
        <w:t>供应商需提供钉钉专业版技术服务1年。</w:t>
      </w:r>
    </w:p>
    <w:p>
      <w:pPr>
        <w:ind w:left="420"/>
        <w:rPr>
          <w:rFonts w:ascii="仿宋" w:hAnsi="仿宋" w:eastAsia="仿宋"/>
          <w:color w:val="auto"/>
          <w:szCs w:val="24"/>
        </w:rPr>
      </w:pPr>
      <w:r>
        <w:rPr>
          <w:rFonts w:hint="eastAsia" w:ascii="仿宋" w:hAnsi="仿宋" w:eastAsia="仿宋"/>
          <w:color w:val="auto"/>
          <w:szCs w:val="24"/>
        </w:rPr>
        <w:t>组织人数增加至2000人</w:t>
      </w:r>
    </w:p>
    <w:p>
      <w:pPr>
        <w:ind w:left="420"/>
        <w:rPr>
          <w:rFonts w:ascii="仿宋" w:hAnsi="仿宋" w:eastAsia="仿宋"/>
          <w:color w:val="auto"/>
          <w:szCs w:val="24"/>
        </w:rPr>
      </w:pPr>
      <w:r>
        <w:rPr>
          <w:rFonts w:hint="eastAsia" w:ascii="仿宋" w:hAnsi="仿宋" w:eastAsia="仿宋"/>
          <w:color w:val="auto"/>
          <w:szCs w:val="24"/>
        </w:rPr>
        <w:t>聊天记录云端保存：提供更长的聊天记录保存时效，最长可延至3年，方便数据的长期留存和查询。</w:t>
      </w:r>
    </w:p>
    <w:p>
      <w:pPr>
        <w:ind w:left="420"/>
        <w:rPr>
          <w:rFonts w:ascii="仿宋" w:hAnsi="仿宋" w:eastAsia="仿宋"/>
          <w:color w:val="auto"/>
          <w:szCs w:val="24"/>
        </w:rPr>
      </w:pPr>
      <w:r>
        <w:rPr>
          <w:rFonts w:hint="eastAsia" w:ascii="仿宋" w:hAnsi="仿宋" w:eastAsia="仿宋"/>
          <w:color w:val="auto"/>
          <w:szCs w:val="24"/>
        </w:rPr>
        <w:t>视频会议专业版：支持25方高清视频会议，不限时长，配备智能会议管理系统，适合企业内部及跨企业的高效沟通。</w:t>
      </w:r>
    </w:p>
    <w:p>
      <w:pPr>
        <w:ind w:left="420"/>
        <w:rPr>
          <w:rFonts w:ascii="仿宋" w:hAnsi="仿宋" w:eastAsia="仿宋"/>
          <w:color w:val="auto"/>
          <w:szCs w:val="24"/>
        </w:rPr>
      </w:pPr>
      <w:r>
        <w:rPr>
          <w:rFonts w:hint="eastAsia" w:ascii="仿宋" w:hAnsi="仿宋" w:eastAsia="仿宋"/>
          <w:color w:val="auto"/>
          <w:szCs w:val="24"/>
        </w:rPr>
        <w:t>1TB云端存储：为企业提供1TB的统一存储空间，便于文件和数据的集中管理。</w:t>
      </w:r>
    </w:p>
    <w:p>
      <w:pPr>
        <w:ind w:left="420"/>
        <w:rPr>
          <w:rFonts w:ascii="仿宋" w:hAnsi="仿宋" w:eastAsia="仿宋"/>
          <w:color w:val="auto"/>
          <w:szCs w:val="24"/>
        </w:rPr>
      </w:pPr>
      <w:r>
        <w:rPr>
          <w:rFonts w:hint="eastAsia" w:ascii="仿宋" w:hAnsi="仿宋" w:eastAsia="仿宋"/>
          <w:color w:val="auto"/>
          <w:szCs w:val="24"/>
        </w:rPr>
        <w:t>OA审批专业版：包含审批流程的集成能力、动态流程和并行节点等高级审批功能，以及审批连接器，用于打造更专业的审批体验。</w:t>
      </w:r>
    </w:p>
    <w:p>
      <w:pPr>
        <w:ind w:left="420"/>
        <w:rPr>
          <w:rFonts w:ascii="仿宋" w:hAnsi="仿宋" w:eastAsia="仿宋"/>
          <w:color w:val="auto"/>
          <w:szCs w:val="24"/>
        </w:rPr>
      </w:pPr>
      <w:r>
        <w:rPr>
          <w:rFonts w:hint="eastAsia" w:ascii="仿宋" w:hAnsi="仿宋" w:eastAsia="仿宋"/>
          <w:color w:val="auto"/>
          <w:szCs w:val="24"/>
        </w:rPr>
        <w:t>考勤专业版：提供更为全面和专业的考勤管理功能，帮助企业更好地管理员工出勤情况。</w:t>
      </w:r>
    </w:p>
    <w:p>
      <w:pPr>
        <w:ind w:left="420"/>
        <w:rPr>
          <w:rFonts w:ascii="仿宋" w:hAnsi="仿宋" w:eastAsia="仿宋"/>
          <w:color w:val="auto"/>
          <w:szCs w:val="24"/>
        </w:rPr>
      </w:pPr>
      <w:r>
        <w:rPr>
          <w:rFonts w:hint="eastAsia" w:ascii="仿宋" w:hAnsi="仿宋" w:eastAsia="仿宋"/>
          <w:color w:val="auto"/>
          <w:szCs w:val="24"/>
        </w:rPr>
        <w:t>资产安全保障：确保企业数据的安全性，防止信息泄露和不当访问。</w:t>
      </w:r>
    </w:p>
    <w:p>
      <w:pPr>
        <w:ind w:left="420"/>
        <w:rPr>
          <w:rFonts w:ascii="仿宋" w:hAnsi="仿宋" w:eastAsia="仿宋"/>
          <w:color w:val="auto"/>
          <w:szCs w:val="24"/>
        </w:rPr>
      </w:pPr>
      <w:r>
        <w:rPr>
          <w:rFonts w:hint="eastAsia" w:ascii="仿宋" w:hAnsi="仿宋" w:eastAsia="仿宋"/>
          <w:color w:val="auto"/>
          <w:szCs w:val="24"/>
        </w:rPr>
        <w:t>自定义工作台：允许企业根据自身需求定制工作台，以提高工作效率和管理便捷性。</w:t>
      </w:r>
    </w:p>
    <w:p>
      <w:pPr>
        <w:ind w:left="420"/>
        <w:rPr>
          <w:rFonts w:ascii="仿宋" w:hAnsi="仿宋" w:eastAsia="仿宋"/>
          <w:color w:val="auto"/>
          <w:szCs w:val="24"/>
        </w:rPr>
      </w:pPr>
      <w:r>
        <w:rPr>
          <w:rFonts w:hint="eastAsia" w:ascii="仿宋" w:hAnsi="仿宋" w:eastAsia="仿宋"/>
          <w:color w:val="auto"/>
          <w:szCs w:val="24"/>
        </w:rPr>
        <w:t>多维表：支持50人同时在线编辑，提供表格、甘特图等多种视图，满足数据聚合、看板分析、任务管理等需求。</w:t>
      </w:r>
    </w:p>
    <w:p>
      <w:pPr>
        <w:ind w:left="420"/>
        <w:rPr>
          <w:rFonts w:ascii="仿宋" w:hAnsi="仿宋" w:eastAsia="仿宋"/>
          <w:color w:val="auto"/>
          <w:szCs w:val="24"/>
        </w:rPr>
      </w:pPr>
      <w:r>
        <w:rPr>
          <w:rFonts w:hint="eastAsia" w:ascii="仿宋" w:hAnsi="仿宋" w:eastAsia="仿宋"/>
          <w:color w:val="auto"/>
          <w:szCs w:val="24"/>
        </w:rPr>
        <w:t>知识资产管理：可以发布公开的知识库，搭建帮助手册、产品说明等，支持最大20GB文件的上传，方便管理大型文件和资料。</w:t>
      </w:r>
    </w:p>
    <w:p>
      <w:pPr>
        <w:pStyle w:val="4"/>
        <w:rPr>
          <w:color w:val="auto"/>
        </w:rPr>
      </w:pPr>
      <w:r>
        <w:rPr>
          <w:rFonts w:hint="eastAsia"/>
          <w:color w:val="auto"/>
          <w:lang w:eastAsia="zh-Hans"/>
        </w:rPr>
        <w:t>知识服务要求</w:t>
      </w:r>
    </w:p>
    <w:p>
      <w:pPr>
        <w:pStyle w:val="5"/>
        <w:rPr>
          <w:color w:val="auto"/>
        </w:rPr>
      </w:pPr>
      <w:r>
        <w:rPr>
          <w:rFonts w:hint="eastAsia"/>
          <w:color w:val="auto"/>
        </w:rPr>
        <w:t>云托管</w:t>
      </w:r>
    </w:p>
    <w:p>
      <w:pPr>
        <w:ind w:firstLine="420"/>
        <w:rPr>
          <w:rFonts w:asciiTheme="minorEastAsia" w:hAnsiTheme="minorEastAsia"/>
          <w:color w:val="auto"/>
        </w:rPr>
      </w:pPr>
      <w:r>
        <w:rPr>
          <w:rFonts w:hint="eastAsia" w:asciiTheme="minorEastAsia" w:hAnsiTheme="minorEastAsia"/>
          <w:color w:val="auto"/>
        </w:rPr>
        <w:t>供应商需提供公共卫生知识服务平台2.0数据库服务，含期刊,博士,硕士,国际会议,中国会议,报纸,年鉴,工具书,中国专利,国家标准,行业标准,科技成果,法律等内容。</w:t>
      </w:r>
    </w:p>
    <w:p>
      <w:pPr>
        <w:ind w:firstLine="420"/>
        <w:rPr>
          <w:rFonts w:asciiTheme="minorEastAsia" w:hAnsiTheme="minorEastAsia"/>
          <w:color w:val="auto"/>
        </w:rPr>
      </w:pPr>
      <w:r>
        <w:rPr>
          <w:rFonts w:hint="eastAsia" w:asciiTheme="minorEastAsia" w:hAnsiTheme="minorEastAsia"/>
          <w:color w:val="auto"/>
        </w:rPr>
        <w:t>供应商需提供中国医院知识资源总库（CHKD）数据库服务，含期刊、博士论文等内容。</w:t>
      </w:r>
    </w:p>
    <w:p>
      <w:pPr>
        <w:ind w:firstLine="420"/>
        <w:rPr>
          <w:rFonts w:asciiTheme="minorEastAsia" w:hAnsiTheme="minorEastAsia"/>
          <w:color w:val="auto"/>
        </w:rPr>
      </w:pPr>
      <w:r>
        <w:rPr>
          <w:rFonts w:hint="eastAsia" w:asciiTheme="minorEastAsia" w:hAnsiTheme="minorEastAsia"/>
          <w:color w:val="auto"/>
        </w:rPr>
        <w:t>供应商需提供数据库安装服务，数据库保存服务以及每个工作日在网站提供新增数据库内容。</w:t>
      </w:r>
    </w:p>
    <w:p>
      <w:pPr>
        <w:pStyle w:val="5"/>
        <w:rPr>
          <w:color w:val="auto"/>
        </w:rPr>
      </w:pPr>
      <w:r>
        <w:rPr>
          <w:rFonts w:hint="eastAsia"/>
          <w:color w:val="auto"/>
        </w:rPr>
        <w:t>云租用</w:t>
      </w:r>
    </w:p>
    <w:p>
      <w:pPr>
        <w:ind w:firstLine="420"/>
        <w:rPr>
          <w:rFonts w:asciiTheme="minorEastAsia" w:hAnsiTheme="minorEastAsia"/>
          <w:color w:val="auto"/>
        </w:rPr>
      </w:pPr>
      <w:r>
        <w:rPr>
          <w:rFonts w:hint="eastAsia" w:asciiTheme="minorEastAsia" w:hAnsiTheme="minorEastAsia"/>
          <w:color w:val="auto"/>
        </w:rPr>
        <w:t>供应商需提供研学平台服务，并提供研学平台账号20个。</w:t>
      </w:r>
    </w:p>
    <w:p>
      <w:pPr>
        <w:pStyle w:val="4"/>
        <w:rPr>
          <w:rFonts w:ascii="仿宋" w:hAnsi="仿宋" w:eastAsia="仿宋"/>
          <w:color w:val="auto"/>
        </w:rPr>
      </w:pPr>
      <w:r>
        <w:rPr>
          <w:rFonts w:hint="eastAsia" w:ascii="仿宋" w:hAnsi="仿宋" w:eastAsia="仿宋"/>
          <w:color w:val="auto"/>
        </w:rPr>
        <w:t>外送检医院端信息化对接技术服务需求</w:t>
      </w:r>
    </w:p>
    <w:p>
      <w:pPr>
        <w:ind w:firstLine="420"/>
        <w:rPr>
          <w:rFonts w:asciiTheme="minorEastAsia" w:hAnsiTheme="minorEastAsia"/>
          <w:color w:val="auto"/>
        </w:rPr>
      </w:pPr>
      <w:r>
        <w:rPr>
          <w:rFonts w:hint="eastAsia" w:asciiTheme="minorEastAsia" w:hAnsiTheme="minorEastAsia"/>
          <w:color w:val="auto"/>
        </w:rPr>
        <w:t>供应商需提供LIS 样本信息接收接口的调研、开发、测试服务；以及</w:t>
      </w:r>
      <w:r>
        <w:rPr>
          <w:rFonts w:asciiTheme="minorEastAsia" w:hAnsiTheme="minorEastAsia"/>
          <w:color w:val="auto"/>
        </w:rPr>
        <w:t xml:space="preserve">LIS </w:t>
      </w:r>
      <w:r>
        <w:rPr>
          <w:rFonts w:hint="eastAsia" w:asciiTheme="minorEastAsia" w:hAnsiTheme="minorEastAsia"/>
          <w:color w:val="auto"/>
        </w:rPr>
        <w:t>报告单及结果信息接收接口的相应报告文档。</w:t>
      </w:r>
    </w:p>
    <w:p>
      <w:pPr>
        <w:pStyle w:val="4"/>
        <w:rPr>
          <w:rFonts w:ascii="仿宋" w:hAnsi="仿宋" w:eastAsia="仿宋"/>
          <w:color w:val="auto"/>
        </w:rPr>
      </w:pPr>
      <w:r>
        <w:rPr>
          <w:rFonts w:hint="eastAsia" w:ascii="仿宋" w:hAnsi="仿宋" w:eastAsia="仿宋"/>
          <w:color w:val="auto"/>
        </w:rPr>
        <w:t>展示大屏测试需求</w:t>
      </w:r>
    </w:p>
    <w:p>
      <w:pPr>
        <w:ind w:firstLine="420"/>
        <w:rPr>
          <w:rFonts w:asciiTheme="minorEastAsia" w:hAnsiTheme="minorEastAsia"/>
          <w:color w:val="auto"/>
        </w:rPr>
      </w:pPr>
      <w:r>
        <w:rPr>
          <w:rFonts w:hint="eastAsia" w:asciiTheme="minorEastAsia" w:hAnsiTheme="minorEastAsia"/>
          <w:color w:val="auto"/>
        </w:rPr>
        <w:t>供应商需提供1套展示大屏设备，用于现场展示测试工作。</w:t>
      </w:r>
    </w:p>
    <w:p>
      <w:pPr>
        <w:pStyle w:val="4"/>
        <w:rPr>
          <w:rFonts w:ascii="仿宋" w:hAnsi="仿宋" w:eastAsia="仿宋"/>
          <w:color w:val="auto"/>
        </w:rPr>
      </w:pPr>
      <w:r>
        <w:rPr>
          <w:rFonts w:hint="eastAsia" w:ascii="仿宋" w:hAnsi="仿宋" w:eastAsia="仿宋"/>
          <w:color w:val="auto"/>
        </w:rPr>
        <w:t>备品备件服务需求</w:t>
      </w:r>
    </w:p>
    <w:p>
      <w:pPr>
        <w:ind w:firstLine="420"/>
        <w:rPr>
          <w:rFonts w:asciiTheme="minorEastAsia" w:hAnsiTheme="minorEastAsia"/>
          <w:color w:val="auto"/>
        </w:rPr>
      </w:pPr>
      <w:r>
        <w:rPr>
          <w:rFonts w:hint="eastAsia" w:asciiTheme="minorEastAsia" w:hAnsiTheme="minorEastAsia"/>
          <w:color w:val="auto"/>
        </w:rPr>
        <w:t>供应商需提供备品备件更换服务，用于数据中心日常维护。</w:t>
      </w:r>
    </w:p>
    <w:bookmarkEnd w:id="38"/>
    <w:bookmarkEnd w:id="39"/>
    <w:bookmarkEnd w:id="40"/>
    <w:p>
      <w:pPr>
        <w:pStyle w:val="3"/>
        <w:rPr>
          <w:rFonts w:ascii="仿宋" w:hAnsi="仿宋" w:eastAsia="仿宋"/>
          <w:color w:val="auto"/>
        </w:rPr>
      </w:pPr>
      <w:bookmarkStart w:id="41" w:name="_Hlk168323732"/>
      <w:r>
        <w:rPr>
          <w:rFonts w:hint="eastAsia" w:ascii="仿宋" w:hAnsi="仿宋" w:eastAsia="仿宋"/>
          <w:color w:val="auto"/>
        </w:rPr>
        <w:t>二线技术团队要求</w:t>
      </w:r>
    </w:p>
    <w:p>
      <w:pPr>
        <w:pStyle w:val="4"/>
        <w:rPr>
          <w:rFonts w:ascii="仿宋" w:hAnsi="仿宋" w:eastAsia="仿宋"/>
          <w:color w:val="auto"/>
        </w:rPr>
      </w:pPr>
      <w:r>
        <w:rPr>
          <w:rFonts w:hint="eastAsia" w:ascii="仿宋" w:hAnsi="仿宋" w:eastAsia="仿宋"/>
          <w:color w:val="auto"/>
        </w:rPr>
        <w:t>能力要求</w:t>
      </w:r>
      <w:bookmarkStart w:id="42" w:name="_GoBack"/>
      <w:bookmarkEnd w:id="42"/>
    </w:p>
    <w:p>
      <w:pPr>
        <w:ind w:firstLine="480" w:firstLineChars="200"/>
        <w:rPr>
          <w:rFonts w:ascii="仿宋" w:hAnsi="仿宋" w:eastAsia="仿宋"/>
          <w:color w:val="auto"/>
          <w:szCs w:val="24"/>
        </w:rPr>
      </w:pPr>
      <w:r>
        <w:rPr>
          <w:rFonts w:hint="eastAsia" w:ascii="仿宋" w:hAnsi="仿宋" w:eastAsia="仿宋"/>
          <w:color w:val="auto"/>
          <w:szCs w:val="24"/>
        </w:rPr>
        <w:t>供应商需为本项目组建专业运维团队，项目经理 1 名（未经允许不得变更）并配备专业的二线专家团队，其团队人员熟悉Linux 操作系统、SAN 存储系统、VMWARE vSphere 虚拟化系统、SAN 光纤交换机等，并具备相关实施及维护经验，负责设备巡检、故障响应及应急情况处理，确保障业务安全、稳定的运行。</w:t>
      </w:r>
    </w:p>
    <w:p>
      <w:pPr>
        <w:ind w:firstLine="420"/>
        <w:rPr>
          <w:rFonts w:ascii="仿宋" w:hAnsi="仿宋" w:eastAsia="仿宋"/>
          <w:color w:val="auto"/>
          <w:szCs w:val="24"/>
        </w:rPr>
      </w:pPr>
      <w:r>
        <w:rPr>
          <w:rFonts w:hint="eastAsia" w:ascii="仿宋" w:hAnsi="仿宋" w:eastAsia="仿宋"/>
          <w:color w:val="auto"/>
          <w:szCs w:val="24"/>
        </w:rPr>
        <w:t xml:space="preserve">项目经理应具备运维服务工作经验 </w:t>
      </w:r>
      <w:r>
        <w:rPr>
          <w:rFonts w:ascii="仿宋" w:hAnsi="仿宋" w:eastAsia="仿宋"/>
          <w:color w:val="auto"/>
          <w:szCs w:val="24"/>
        </w:rPr>
        <w:t>5</w:t>
      </w:r>
      <w:r>
        <w:rPr>
          <w:rFonts w:hint="eastAsia" w:ascii="仿宋" w:hAnsi="仿宋" w:eastAsia="仿宋"/>
          <w:color w:val="auto"/>
          <w:szCs w:val="24"/>
        </w:rPr>
        <w:t>年以上，并具备信息系统项目管理师认证证书。</w:t>
      </w:r>
    </w:p>
    <w:p>
      <w:pPr>
        <w:ind w:firstLine="360"/>
        <w:rPr>
          <w:rFonts w:ascii="仿宋" w:hAnsi="仿宋" w:eastAsia="仿宋"/>
          <w:color w:val="auto"/>
          <w:szCs w:val="24"/>
        </w:rPr>
      </w:pPr>
      <w:r>
        <w:rPr>
          <w:rFonts w:hint="eastAsia" w:ascii="仿宋" w:hAnsi="仿宋" w:eastAsia="仿宋"/>
          <w:color w:val="auto"/>
          <w:szCs w:val="24"/>
        </w:rPr>
        <w:t>维护团队提供巡检保障服务，内容包括机房环境检查、硬件设备检查、虚拟化平台检查、数据库平台检查，网络检查等并提供相应的巡检报告。</w:t>
      </w:r>
      <w:r>
        <w:rPr>
          <w:rFonts w:ascii="仿宋" w:hAnsi="仿宋" w:eastAsia="仿宋"/>
          <w:color w:val="auto"/>
          <w:szCs w:val="24"/>
        </w:rPr>
        <w:t xml:space="preserve"> </w:t>
      </w:r>
    </w:p>
    <w:p>
      <w:pPr>
        <w:pStyle w:val="4"/>
        <w:rPr>
          <w:rFonts w:ascii="仿宋" w:hAnsi="仿宋" w:eastAsia="仿宋"/>
          <w:color w:val="auto"/>
        </w:rPr>
      </w:pPr>
      <w:r>
        <w:rPr>
          <w:rFonts w:ascii="仿宋" w:hAnsi="仿宋" w:eastAsia="仿宋"/>
          <w:color w:val="auto"/>
        </w:rPr>
        <w:t>工作要求</w:t>
      </w:r>
    </w:p>
    <w:p>
      <w:pPr>
        <w:tabs>
          <w:tab w:val="left" w:pos="523"/>
        </w:tabs>
        <w:autoSpaceDE w:val="0"/>
        <w:autoSpaceDN w:val="0"/>
        <w:spacing w:before="31" w:line="350" w:lineRule="auto"/>
        <w:ind w:right="220"/>
        <w:jc w:val="left"/>
        <w:rPr>
          <w:rFonts w:ascii="仿宋" w:hAnsi="仿宋" w:eastAsia="仿宋"/>
          <w:color w:val="auto"/>
          <w:spacing w:val="5"/>
          <w:szCs w:val="24"/>
        </w:rPr>
      </w:pPr>
      <w:r>
        <w:rPr>
          <w:rFonts w:ascii="仿宋" w:hAnsi="仿宋" w:eastAsia="仿宋"/>
          <w:color w:val="auto"/>
          <w:spacing w:val="5"/>
          <w:szCs w:val="24"/>
        </w:rPr>
        <w:tab/>
      </w:r>
      <w:r>
        <w:rPr>
          <w:rFonts w:ascii="仿宋" w:hAnsi="仿宋" w:eastAsia="仿宋"/>
          <w:color w:val="auto"/>
          <w:spacing w:val="5"/>
          <w:szCs w:val="24"/>
        </w:rPr>
        <w:t>供应商</w:t>
      </w:r>
      <w:r>
        <w:rPr>
          <w:rFonts w:hint="eastAsia" w:ascii="仿宋" w:hAnsi="仿宋" w:eastAsia="仿宋"/>
          <w:color w:val="auto"/>
          <w:spacing w:val="5"/>
          <w:szCs w:val="24"/>
        </w:rPr>
        <w:t>运维人员在</w:t>
      </w:r>
      <w:r>
        <w:rPr>
          <w:rFonts w:ascii="仿宋" w:hAnsi="仿宋" w:eastAsia="仿宋"/>
          <w:color w:val="auto"/>
          <w:spacing w:val="5"/>
          <w:szCs w:val="24"/>
        </w:rPr>
        <w:t>进行更换备件、软件升级等操作时，必须重点考虑数据的安全性、完整性。供应商必须进行可行性分析、数据备份等相关措施，以保证数据安全</w:t>
      </w:r>
      <w:r>
        <w:rPr>
          <w:rFonts w:hint="eastAsia" w:ascii="仿宋" w:hAnsi="仿宋" w:eastAsia="仿宋"/>
          <w:color w:val="auto"/>
          <w:spacing w:val="5"/>
          <w:szCs w:val="24"/>
        </w:rPr>
        <w:t>。</w:t>
      </w:r>
    </w:p>
    <w:p>
      <w:pPr>
        <w:pStyle w:val="62"/>
        <w:numPr>
          <w:ilvl w:val="0"/>
          <w:numId w:val="16"/>
        </w:numPr>
        <w:tabs>
          <w:tab w:val="left" w:pos="1020"/>
        </w:tabs>
        <w:autoSpaceDE w:val="0"/>
        <w:autoSpaceDN w:val="0"/>
        <w:spacing w:before="31" w:line="350" w:lineRule="auto"/>
        <w:ind w:left="851" w:right="220" w:hanging="425" w:firstLineChars="0"/>
        <w:jc w:val="left"/>
        <w:rPr>
          <w:rFonts w:ascii="仿宋" w:hAnsi="仿宋" w:eastAsia="仿宋"/>
          <w:color w:val="auto"/>
          <w:spacing w:val="5"/>
          <w:szCs w:val="24"/>
        </w:rPr>
      </w:pPr>
      <w:r>
        <w:rPr>
          <w:rFonts w:hint="eastAsia" w:ascii="仿宋" w:hAnsi="仿宋" w:eastAsia="仿宋"/>
          <w:color w:val="auto"/>
          <w:spacing w:val="5"/>
          <w:szCs w:val="24"/>
        </w:rPr>
        <w:t>进行</w:t>
      </w:r>
      <w:r>
        <w:rPr>
          <w:rFonts w:ascii="仿宋" w:hAnsi="仿宋" w:eastAsia="仿宋"/>
          <w:color w:val="auto"/>
          <w:spacing w:val="5"/>
          <w:szCs w:val="24"/>
        </w:rPr>
        <w:t>充分沟通，清晰了解各类要求；建立内部管理制度，加强内部管理，认真做好各项工作；</w:t>
      </w:r>
    </w:p>
    <w:p>
      <w:pPr>
        <w:pStyle w:val="62"/>
        <w:numPr>
          <w:ilvl w:val="0"/>
          <w:numId w:val="16"/>
        </w:numPr>
        <w:tabs>
          <w:tab w:val="left" w:pos="1020"/>
        </w:tabs>
        <w:autoSpaceDE w:val="0"/>
        <w:autoSpaceDN w:val="0"/>
        <w:spacing w:before="31" w:line="350" w:lineRule="auto"/>
        <w:ind w:left="851" w:right="220" w:hanging="425" w:firstLineChars="0"/>
        <w:jc w:val="left"/>
        <w:rPr>
          <w:rFonts w:ascii="仿宋" w:hAnsi="仿宋" w:eastAsia="仿宋"/>
          <w:color w:val="auto"/>
          <w:spacing w:val="5"/>
          <w:szCs w:val="24"/>
        </w:rPr>
      </w:pPr>
      <w:r>
        <w:rPr>
          <w:rFonts w:ascii="仿宋" w:hAnsi="仿宋" w:eastAsia="仿宋"/>
          <w:color w:val="auto"/>
          <w:spacing w:val="5"/>
          <w:szCs w:val="24"/>
        </w:rPr>
        <w:t>按照要求提交各类方案、报告等文档，文档在提交前须经项目负责人审阅，关键文档需加盖公章；</w:t>
      </w:r>
    </w:p>
    <w:p>
      <w:pPr>
        <w:pStyle w:val="62"/>
        <w:numPr>
          <w:ilvl w:val="0"/>
          <w:numId w:val="16"/>
        </w:numPr>
        <w:tabs>
          <w:tab w:val="left" w:pos="1020"/>
        </w:tabs>
        <w:autoSpaceDE w:val="0"/>
        <w:autoSpaceDN w:val="0"/>
        <w:spacing w:before="31" w:line="350" w:lineRule="auto"/>
        <w:ind w:left="851" w:right="220" w:hanging="425" w:firstLineChars="0"/>
        <w:jc w:val="left"/>
        <w:rPr>
          <w:rFonts w:ascii="仿宋" w:hAnsi="仿宋" w:eastAsia="仿宋"/>
          <w:color w:val="auto"/>
          <w:spacing w:val="5"/>
          <w:szCs w:val="24"/>
        </w:rPr>
      </w:pPr>
      <w:r>
        <w:rPr>
          <w:rFonts w:ascii="仿宋" w:hAnsi="仿宋" w:eastAsia="仿宋"/>
          <w:color w:val="auto"/>
          <w:spacing w:val="5"/>
          <w:szCs w:val="24"/>
        </w:rPr>
        <w:t>注意经验积累，记录工作日志，及时总结归纳运维经验，放到共享文档服务器上；</w:t>
      </w:r>
    </w:p>
    <w:p>
      <w:pPr>
        <w:pStyle w:val="62"/>
        <w:tabs>
          <w:tab w:val="left" w:pos="1020"/>
        </w:tabs>
        <w:autoSpaceDE w:val="0"/>
        <w:autoSpaceDN w:val="0"/>
        <w:spacing w:before="31" w:line="350" w:lineRule="auto"/>
        <w:ind w:left="849" w:leftChars="208" w:right="38" w:hanging="350" w:hangingChars="140"/>
        <w:jc w:val="left"/>
        <w:rPr>
          <w:rFonts w:ascii="仿宋" w:hAnsi="仿宋" w:eastAsia="仿宋"/>
          <w:color w:val="auto"/>
          <w:spacing w:val="5"/>
          <w:szCs w:val="24"/>
        </w:rPr>
      </w:pPr>
      <w:r>
        <w:rPr>
          <w:rFonts w:hint="eastAsia" w:ascii="仿宋" w:hAnsi="仿宋" w:eastAsia="仿宋"/>
          <w:color w:val="auto"/>
          <w:spacing w:val="5"/>
          <w:szCs w:val="24"/>
        </w:rPr>
        <w:t>4）</w:t>
      </w:r>
      <w:r>
        <w:rPr>
          <w:rFonts w:ascii="仿宋" w:hAnsi="仿宋" w:eastAsia="仿宋"/>
          <w:color w:val="auto"/>
          <w:spacing w:val="5"/>
          <w:szCs w:val="24"/>
        </w:rPr>
        <w:t>注意信息的保密，不得在任何场合向第三方之透露</w:t>
      </w:r>
      <w:r>
        <w:rPr>
          <w:rFonts w:hint="eastAsia" w:ascii="仿宋" w:hAnsi="仿宋" w:eastAsia="仿宋"/>
          <w:color w:val="auto"/>
          <w:spacing w:val="5"/>
          <w:szCs w:val="24"/>
        </w:rPr>
        <w:t>甲方</w:t>
      </w:r>
      <w:r>
        <w:rPr>
          <w:rFonts w:ascii="仿宋" w:hAnsi="仿宋" w:eastAsia="仿宋"/>
          <w:color w:val="auto"/>
          <w:spacing w:val="5"/>
          <w:szCs w:val="24"/>
        </w:rPr>
        <w:t>内部信息。维护人员应与</w:t>
      </w:r>
      <w:r>
        <w:rPr>
          <w:rFonts w:hint="eastAsia" w:ascii="仿宋" w:hAnsi="仿宋" w:eastAsia="仿宋"/>
          <w:color w:val="auto"/>
          <w:spacing w:val="5"/>
          <w:szCs w:val="24"/>
        </w:rPr>
        <w:t>甲方</w:t>
      </w:r>
      <w:r>
        <w:rPr>
          <w:rFonts w:ascii="仿宋" w:hAnsi="仿宋" w:eastAsia="仿宋"/>
          <w:color w:val="auto"/>
          <w:spacing w:val="5"/>
          <w:szCs w:val="24"/>
        </w:rPr>
        <w:t>签署保密协议</w:t>
      </w:r>
      <w:r>
        <w:rPr>
          <w:rFonts w:hint="eastAsia" w:ascii="仿宋" w:hAnsi="仿宋" w:eastAsia="仿宋"/>
          <w:color w:val="auto"/>
          <w:spacing w:val="5"/>
          <w:szCs w:val="24"/>
        </w:rPr>
        <w:t>。</w:t>
      </w:r>
      <w:bookmarkEnd w:id="41"/>
    </w:p>
    <w:p>
      <w:pPr>
        <w:pStyle w:val="3"/>
        <w:rPr>
          <w:rFonts w:ascii="仿宋" w:hAnsi="仿宋" w:eastAsia="仿宋"/>
          <w:color w:val="auto"/>
        </w:rPr>
      </w:pPr>
      <w:r>
        <w:rPr>
          <w:rFonts w:hint="eastAsia" w:ascii="仿宋" w:hAnsi="仿宋" w:eastAsia="仿宋"/>
          <w:color w:val="auto"/>
        </w:rPr>
        <w:t>项目验收要求</w:t>
      </w:r>
    </w:p>
    <w:p>
      <w:pPr>
        <w:ind w:firstLine="360"/>
        <w:rPr>
          <w:rFonts w:ascii="仿宋" w:hAnsi="仿宋" w:eastAsia="仿宋"/>
          <w:color w:val="auto"/>
          <w:szCs w:val="24"/>
        </w:rPr>
      </w:pPr>
      <w:r>
        <w:rPr>
          <w:rFonts w:hint="eastAsia" w:ascii="仿宋" w:hAnsi="仿宋" w:eastAsia="仿宋"/>
          <w:color w:val="auto"/>
          <w:szCs w:val="24"/>
        </w:rPr>
        <w:t>运维服务期满后，供应商需提交运维服务台账，服务台账需反映阶段服务概况、系统运行情况、响应支持情况、故障处置情况等。招标人对整体运维工作和台账组织审查，审查认定合格即为通过验收，同时出具运维服务验收合格确认单，并由双方签字。</w:t>
      </w:r>
    </w:p>
    <w:p>
      <w:pPr>
        <w:ind w:firstLine="360"/>
        <w:rPr>
          <w:rFonts w:ascii="仿宋" w:hAnsi="仿宋" w:eastAsia="仿宋"/>
          <w:color w:val="auto"/>
          <w:szCs w:val="24"/>
        </w:rPr>
      </w:pPr>
      <w:r>
        <w:rPr>
          <w:rFonts w:hint="eastAsia" w:ascii="仿宋" w:hAnsi="仿宋" w:eastAsia="仿宋"/>
          <w:color w:val="auto"/>
          <w:szCs w:val="24"/>
        </w:rPr>
        <w:t>服务台账包含：《资产登记表》、《巡检报告》、《故障处理报告》、《日常维护报告》、《服务事件清单》。</w:t>
      </w:r>
    </w:p>
    <w:sectPr>
      <w:footerReference r:id="rId5" w:type="first"/>
      <w:pgSz w:w="11850" w:h="16790"/>
      <w:pgMar w:top="1440" w:right="1800" w:bottom="1440" w:left="1800" w:header="605" w:footer="980" w:gutter="0"/>
      <w:pgNumType w:start="37"/>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Denshan CSEG">
    <w:altName w:val="宋体"/>
    <w:panose1 w:val="00000000000000000000"/>
    <w:charset w:val="86"/>
    <w:family w:val="roma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wordWrap w:val="0"/>
      <w:spacing w:line="276" w:lineRule="auto"/>
      <w:ind w:left="0"/>
      <w:jc w:val="right"/>
      <w:rPr>
        <w:rFonts w:ascii="宋体" w:hAnsi="宋体"/>
      </w:rPr>
    </w:pPr>
    <w:r>
      <w:rPr>
        <w:rFonts w:hint="eastAsia" w:ascii="宋体" w:hAnsi="宋体"/>
      </w:rPr>
      <w:t xml:space="preserve">                                              </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17</w:t>
    </w:r>
    <w:r>
      <w:rPr>
        <w:rFonts w:ascii="宋体" w:hAnsi="宋体"/>
      </w:rP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2"/>
      <w:lvlText w:val=""/>
      <w:lvlJc w:val="left"/>
      <w:pPr>
        <w:tabs>
          <w:tab w:val="left" w:pos="1620"/>
        </w:tabs>
        <w:ind w:left="1620" w:leftChars="600" w:hanging="360" w:hangingChars="200"/>
      </w:pPr>
      <w:rPr>
        <w:rFonts w:hint="default" w:ascii="Wingdings" w:hAnsi="Wingdings"/>
      </w:rPr>
    </w:lvl>
  </w:abstractNum>
  <w:abstractNum w:abstractNumId="1">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2">
    <w:nsid w:val="07742544"/>
    <w:multiLevelType w:val="multilevel"/>
    <w:tmpl w:val="07742544"/>
    <w:lvl w:ilvl="0" w:tentative="0">
      <w:start w:val="1"/>
      <w:numFmt w:val="bullet"/>
      <w:lvlText w:val=""/>
      <w:lvlJc w:val="left"/>
      <w:pPr>
        <w:ind w:left="1201" w:hanging="420"/>
      </w:pPr>
      <w:rPr>
        <w:rFonts w:hint="default" w:ascii="Wingdings" w:hAnsi="Wingdings"/>
      </w:rPr>
    </w:lvl>
    <w:lvl w:ilvl="1" w:tentative="0">
      <w:start w:val="1"/>
      <w:numFmt w:val="bullet"/>
      <w:lvlText w:val=""/>
      <w:lvlJc w:val="left"/>
      <w:pPr>
        <w:ind w:left="1621" w:hanging="420"/>
      </w:pPr>
      <w:rPr>
        <w:rFonts w:hint="default" w:ascii="Wingdings" w:hAnsi="Wingdings"/>
      </w:rPr>
    </w:lvl>
    <w:lvl w:ilvl="2" w:tentative="0">
      <w:start w:val="1"/>
      <w:numFmt w:val="bullet"/>
      <w:lvlText w:val=""/>
      <w:lvlJc w:val="left"/>
      <w:pPr>
        <w:ind w:left="2041" w:hanging="420"/>
      </w:pPr>
      <w:rPr>
        <w:rFonts w:hint="default" w:ascii="Wingdings" w:hAnsi="Wingdings"/>
      </w:rPr>
    </w:lvl>
    <w:lvl w:ilvl="3" w:tentative="0">
      <w:start w:val="1"/>
      <w:numFmt w:val="bullet"/>
      <w:lvlText w:val=""/>
      <w:lvlJc w:val="left"/>
      <w:pPr>
        <w:ind w:left="2461" w:hanging="420"/>
      </w:pPr>
      <w:rPr>
        <w:rFonts w:hint="default" w:ascii="Wingdings" w:hAnsi="Wingdings"/>
      </w:rPr>
    </w:lvl>
    <w:lvl w:ilvl="4" w:tentative="0">
      <w:start w:val="1"/>
      <w:numFmt w:val="bullet"/>
      <w:lvlText w:val=""/>
      <w:lvlJc w:val="left"/>
      <w:pPr>
        <w:ind w:left="2881" w:hanging="420"/>
      </w:pPr>
      <w:rPr>
        <w:rFonts w:hint="default" w:ascii="Wingdings" w:hAnsi="Wingdings"/>
      </w:rPr>
    </w:lvl>
    <w:lvl w:ilvl="5" w:tentative="0">
      <w:start w:val="1"/>
      <w:numFmt w:val="bullet"/>
      <w:lvlText w:val=""/>
      <w:lvlJc w:val="left"/>
      <w:pPr>
        <w:ind w:left="3301" w:hanging="420"/>
      </w:pPr>
      <w:rPr>
        <w:rFonts w:hint="default" w:ascii="Wingdings" w:hAnsi="Wingdings"/>
      </w:rPr>
    </w:lvl>
    <w:lvl w:ilvl="6" w:tentative="0">
      <w:start w:val="1"/>
      <w:numFmt w:val="bullet"/>
      <w:lvlText w:val=""/>
      <w:lvlJc w:val="left"/>
      <w:pPr>
        <w:ind w:left="3721" w:hanging="420"/>
      </w:pPr>
      <w:rPr>
        <w:rFonts w:hint="default" w:ascii="Wingdings" w:hAnsi="Wingdings"/>
      </w:rPr>
    </w:lvl>
    <w:lvl w:ilvl="7" w:tentative="0">
      <w:start w:val="1"/>
      <w:numFmt w:val="bullet"/>
      <w:lvlText w:val=""/>
      <w:lvlJc w:val="left"/>
      <w:pPr>
        <w:ind w:left="4141" w:hanging="420"/>
      </w:pPr>
      <w:rPr>
        <w:rFonts w:hint="default" w:ascii="Wingdings" w:hAnsi="Wingdings"/>
      </w:rPr>
    </w:lvl>
    <w:lvl w:ilvl="8" w:tentative="0">
      <w:start w:val="1"/>
      <w:numFmt w:val="bullet"/>
      <w:lvlText w:val=""/>
      <w:lvlJc w:val="left"/>
      <w:pPr>
        <w:ind w:left="4561" w:hanging="420"/>
      </w:pPr>
      <w:rPr>
        <w:rFonts w:hint="default" w:ascii="Wingdings" w:hAnsi="Wingdings"/>
      </w:rPr>
    </w:lvl>
  </w:abstractNum>
  <w:abstractNum w:abstractNumId="3">
    <w:nsid w:val="1B9557DD"/>
    <w:multiLevelType w:val="multilevel"/>
    <w:tmpl w:val="1B9557DD"/>
    <w:lvl w:ilvl="0" w:tentative="0">
      <w:start w:val="1"/>
      <w:numFmt w:val="bullet"/>
      <w:lvlText w:val=""/>
      <w:lvlJc w:val="left"/>
      <w:pPr>
        <w:ind w:left="920" w:hanging="420"/>
      </w:pPr>
      <w:rPr>
        <w:rFonts w:hint="default" w:ascii="Wingdings" w:hAnsi="Wingdings"/>
        <w:sz w:val="16"/>
        <w:szCs w:val="16"/>
      </w:rPr>
    </w:lvl>
    <w:lvl w:ilvl="1" w:tentative="0">
      <w:start w:val="1"/>
      <w:numFmt w:val="bullet"/>
      <w:lvlText w:val=""/>
      <w:lvlJc w:val="left"/>
      <w:pPr>
        <w:ind w:left="1340" w:hanging="420"/>
      </w:pPr>
      <w:rPr>
        <w:rFonts w:hint="default" w:ascii="Wingdings" w:hAnsi="Wingdings"/>
      </w:rPr>
    </w:lvl>
    <w:lvl w:ilvl="2" w:tentative="0">
      <w:start w:val="1"/>
      <w:numFmt w:val="bullet"/>
      <w:lvlText w:val=""/>
      <w:lvlJc w:val="left"/>
      <w:pPr>
        <w:ind w:left="1760" w:hanging="420"/>
      </w:pPr>
      <w:rPr>
        <w:rFonts w:hint="default" w:ascii="Wingdings" w:hAnsi="Wingdings"/>
      </w:rPr>
    </w:lvl>
    <w:lvl w:ilvl="3" w:tentative="0">
      <w:start w:val="1"/>
      <w:numFmt w:val="bullet"/>
      <w:lvlText w:val=""/>
      <w:lvlJc w:val="left"/>
      <w:pPr>
        <w:ind w:left="2180" w:hanging="420"/>
      </w:pPr>
      <w:rPr>
        <w:rFonts w:hint="default" w:ascii="Wingdings" w:hAnsi="Wingdings"/>
      </w:rPr>
    </w:lvl>
    <w:lvl w:ilvl="4" w:tentative="0">
      <w:start w:val="1"/>
      <w:numFmt w:val="bullet"/>
      <w:lvlText w:val=""/>
      <w:lvlJc w:val="left"/>
      <w:pPr>
        <w:ind w:left="2600" w:hanging="420"/>
      </w:pPr>
      <w:rPr>
        <w:rFonts w:hint="default" w:ascii="Wingdings" w:hAnsi="Wingdings"/>
      </w:rPr>
    </w:lvl>
    <w:lvl w:ilvl="5" w:tentative="0">
      <w:start w:val="1"/>
      <w:numFmt w:val="bullet"/>
      <w:lvlText w:val=""/>
      <w:lvlJc w:val="left"/>
      <w:pPr>
        <w:ind w:left="3020" w:hanging="420"/>
      </w:pPr>
      <w:rPr>
        <w:rFonts w:hint="default" w:ascii="Wingdings" w:hAnsi="Wingdings"/>
      </w:rPr>
    </w:lvl>
    <w:lvl w:ilvl="6" w:tentative="0">
      <w:start w:val="1"/>
      <w:numFmt w:val="bullet"/>
      <w:lvlText w:val=""/>
      <w:lvlJc w:val="left"/>
      <w:pPr>
        <w:ind w:left="3440" w:hanging="420"/>
      </w:pPr>
      <w:rPr>
        <w:rFonts w:hint="default" w:ascii="Wingdings" w:hAnsi="Wingdings"/>
      </w:rPr>
    </w:lvl>
    <w:lvl w:ilvl="7" w:tentative="0">
      <w:start w:val="1"/>
      <w:numFmt w:val="bullet"/>
      <w:lvlText w:val=""/>
      <w:lvlJc w:val="left"/>
      <w:pPr>
        <w:ind w:left="3860" w:hanging="420"/>
      </w:pPr>
      <w:rPr>
        <w:rFonts w:hint="default" w:ascii="Wingdings" w:hAnsi="Wingdings"/>
      </w:rPr>
    </w:lvl>
    <w:lvl w:ilvl="8" w:tentative="0">
      <w:start w:val="1"/>
      <w:numFmt w:val="bullet"/>
      <w:lvlText w:val=""/>
      <w:lvlJc w:val="left"/>
      <w:pPr>
        <w:ind w:left="4280" w:hanging="420"/>
      </w:pPr>
      <w:rPr>
        <w:rFonts w:hint="default" w:ascii="Wingdings" w:hAnsi="Wingdings"/>
      </w:rPr>
    </w:lvl>
  </w:abstractNum>
  <w:abstractNum w:abstractNumId="4">
    <w:nsid w:val="21F5661E"/>
    <w:multiLevelType w:val="multilevel"/>
    <w:tmpl w:val="21F5661E"/>
    <w:lvl w:ilvl="0" w:tentative="0">
      <w:start w:val="1"/>
      <w:numFmt w:val="bullet"/>
      <w:lvlText w:val=""/>
      <w:lvlJc w:val="left"/>
      <w:pPr>
        <w:ind w:left="1201" w:hanging="420"/>
      </w:pPr>
      <w:rPr>
        <w:rFonts w:hint="default" w:ascii="Wingdings" w:hAnsi="Wingdings"/>
      </w:rPr>
    </w:lvl>
    <w:lvl w:ilvl="1" w:tentative="0">
      <w:start w:val="1"/>
      <w:numFmt w:val="bullet"/>
      <w:lvlText w:val=""/>
      <w:lvlJc w:val="left"/>
      <w:pPr>
        <w:ind w:left="1621" w:hanging="420"/>
      </w:pPr>
      <w:rPr>
        <w:rFonts w:hint="default" w:ascii="Wingdings" w:hAnsi="Wingdings"/>
      </w:rPr>
    </w:lvl>
    <w:lvl w:ilvl="2" w:tentative="0">
      <w:start w:val="1"/>
      <w:numFmt w:val="bullet"/>
      <w:lvlText w:val=""/>
      <w:lvlJc w:val="left"/>
      <w:pPr>
        <w:ind w:left="2041" w:hanging="420"/>
      </w:pPr>
      <w:rPr>
        <w:rFonts w:hint="default" w:ascii="Wingdings" w:hAnsi="Wingdings"/>
      </w:rPr>
    </w:lvl>
    <w:lvl w:ilvl="3" w:tentative="0">
      <w:start w:val="1"/>
      <w:numFmt w:val="bullet"/>
      <w:lvlText w:val=""/>
      <w:lvlJc w:val="left"/>
      <w:pPr>
        <w:ind w:left="2461" w:hanging="420"/>
      </w:pPr>
      <w:rPr>
        <w:rFonts w:hint="default" w:ascii="Wingdings" w:hAnsi="Wingdings"/>
      </w:rPr>
    </w:lvl>
    <w:lvl w:ilvl="4" w:tentative="0">
      <w:start w:val="1"/>
      <w:numFmt w:val="bullet"/>
      <w:lvlText w:val=""/>
      <w:lvlJc w:val="left"/>
      <w:pPr>
        <w:ind w:left="2881" w:hanging="420"/>
      </w:pPr>
      <w:rPr>
        <w:rFonts w:hint="default" w:ascii="Wingdings" w:hAnsi="Wingdings"/>
      </w:rPr>
    </w:lvl>
    <w:lvl w:ilvl="5" w:tentative="0">
      <w:start w:val="1"/>
      <w:numFmt w:val="bullet"/>
      <w:lvlText w:val=""/>
      <w:lvlJc w:val="left"/>
      <w:pPr>
        <w:ind w:left="3301" w:hanging="420"/>
      </w:pPr>
      <w:rPr>
        <w:rFonts w:hint="default" w:ascii="Wingdings" w:hAnsi="Wingdings"/>
      </w:rPr>
    </w:lvl>
    <w:lvl w:ilvl="6" w:tentative="0">
      <w:start w:val="1"/>
      <w:numFmt w:val="bullet"/>
      <w:lvlText w:val=""/>
      <w:lvlJc w:val="left"/>
      <w:pPr>
        <w:ind w:left="3721" w:hanging="420"/>
      </w:pPr>
      <w:rPr>
        <w:rFonts w:hint="default" w:ascii="Wingdings" w:hAnsi="Wingdings"/>
      </w:rPr>
    </w:lvl>
    <w:lvl w:ilvl="7" w:tentative="0">
      <w:start w:val="1"/>
      <w:numFmt w:val="bullet"/>
      <w:lvlText w:val=""/>
      <w:lvlJc w:val="left"/>
      <w:pPr>
        <w:ind w:left="4141" w:hanging="420"/>
      </w:pPr>
      <w:rPr>
        <w:rFonts w:hint="default" w:ascii="Wingdings" w:hAnsi="Wingdings"/>
      </w:rPr>
    </w:lvl>
    <w:lvl w:ilvl="8" w:tentative="0">
      <w:start w:val="1"/>
      <w:numFmt w:val="bullet"/>
      <w:lvlText w:val=""/>
      <w:lvlJc w:val="left"/>
      <w:pPr>
        <w:ind w:left="4561" w:hanging="420"/>
      </w:pPr>
      <w:rPr>
        <w:rFonts w:hint="default" w:ascii="Wingdings" w:hAnsi="Wingdings"/>
      </w:rPr>
    </w:lvl>
  </w:abstractNum>
  <w:abstractNum w:abstractNumId="5">
    <w:nsid w:val="22C10D9D"/>
    <w:multiLevelType w:val="multilevel"/>
    <w:tmpl w:val="22C10D9D"/>
    <w:lvl w:ilvl="0" w:tentative="0">
      <w:start w:val="1"/>
      <w:numFmt w:val="bullet"/>
      <w:lvlText w:val=""/>
      <w:lvlJc w:val="left"/>
      <w:pPr>
        <w:ind w:left="781" w:hanging="420"/>
      </w:pPr>
      <w:rPr>
        <w:rFonts w:hint="default" w:ascii="Wingdings" w:hAnsi="Wingdings"/>
        <w:sz w:val="16"/>
        <w:szCs w:val="16"/>
      </w:rPr>
    </w:lvl>
    <w:lvl w:ilvl="1" w:tentative="0">
      <w:start w:val="1"/>
      <w:numFmt w:val="bullet"/>
      <w:lvlText w:val=""/>
      <w:lvlJc w:val="left"/>
      <w:pPr>
        <w:ind w:left="1201" w:hanging="420"/>
      </w:pPr>
      <w:rPr>
        <w:rFonts w:hint="default" w:ascii="Wingdings" w:hAnsi="Wingdings"/>
      </w:rPr>
    </w:lvl>
    <w:lvl w:ilvl="2" w:tentative="0">
      <w:start w:val="1"/>
      <w:numFmt w:val="bullet"/>
      <w:lvlText w:val=""/>
      <w:lvlJc w:val="left"/>
      <w:pPr>
        <w:ind w:left="1621" w:hanging="420"/>
      </w:pPr>
      <w:rPr>
        <w:rFonts w:hint="default" w:ascii="Wingdings" w:hAnsi="Wingdings"/>
      </w:rPr>
    </w:lvl>
    <w:lvl w:ilvl="3" w:tentative="0">
      <w:start w:val="1"/>
      <w:numFmt w:val="bullet"/>
      <w:lvlText w:val=""/>
      <w:lvlJc w:val="left"/>
      <w:pPr>
        <w:ind w:left="2041" w:hanging="420"/>
      </w:pPr>
      <w:rPr>
        <w:rFonts w:hint="default" w:ascii="Wingdings" w:hAnsi="Wingdings"/>
      </w:rPr>
    </w:lvl>
    <w:lvl w:ilvl="4" w:tentative="0">
      <w:start w:val="1"/>
      <w:numFmt w:val="bullet"/>
      <w:lvlText w:val=""/>
      <w:lvlJc w:val="left"/>
      <w:pPr>
        <w:ind w:left="2461" w:hanging="420"/>
      </w:pPr>
      <w:rPr>
        <w:rFonts w:hint="default" w:ascii="Wingdings" w:hAnsi="Wingdings"/>
      </w:rPr>
    </w:lvl>
    <w:lvl w:ilvl="5" w:tentative="0">
      <w:start w:val="1"/>
      <w:numFmt w:val="bullet"/>
      <w:lvlText w:val=""/>
      <w:lvlJc w:val="left"/>
      <w:pPr>
        <w:ind w:left="2881" w:hanging="420"/>
      </w:pPr>
      <w:rPr>
        <w:rFonts w:hint="default" w:ascii="Wingdings" w:hAnsi="Wingdings"/>
      </w:rPr>
    </w:lvl>
    <w:lvl w:ilvl="6" w:tentative="0">
      <w:start w:val="1"/>
      <w:numFmt w:val="bullet"/>
      <w:lvlText w:val=""/>
      <w:lvlJc w:val="left"/>
      <w:pPr>
        <w:ind w:left="3301" w:hanging="420"/>
      </w:pPr>
      <w:rPr>
        <w:rFonts w:hint="default" w:ascii="Wingdings" w:hAnsi="Wingdings"/>
      </w:rPr>
    </w:lvl>
    <w:lvl w:ilvl="7" w:tentative="0">
      <w:start w:val="1"/>
      <w:numFmt w:val="bullet"/>
      <w:lvlText w:val=""/>
      <w:lvlJc w:val="left"/>
      <w:pPr>
        <w:ind w:left="3721" w:hanging="420"/>
      </w:pPr>
      <w:rPr>
        <w:rFonts w:hint="default" w:ascii="Wingdings" w:hAnsi="Wingdings"/>
      </w:rPr>
    </w:lvl>
    <w:lvl w:ilvl="8" w:tentative="0">
      <w:start w:val="1"/>
      <w:numFmt w:val="bullet"/>
      <w:lvlText w:val=""/>
      <w:lvlJc w:val="left"/>
      <w:pPr>
        <w:ind w:left="4141" w:hanging="420"/>
      </w:pPr>
      <w:rPr>
        <w:rFonts w:hint="default" w:ascii="Wingdings" w:hAnsi="Wingdings"/>
      </w:rPr>
    </w:lvl>
  </w:abstractNum>
  <w:abstractNum w:abstractNumId="6">
    <w:nsid w:val="24D713D6"/>
    <w:multiLevelType w:val="multilevel"/>
    <w:tmpl w:val="24D713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71039FE"/>
    <w:multiLevelType w:val="multilevel"/>
    <w:tmpl w:val="271039FE"/>
    <w:lvl w:ilvl="0" w:tentative="0">
      <w:start w:val="1"/>
      <w:numFmt w:val="decimal"/>
      <w:lvlText w:val="%1)"/>
      <w:lvlJc w:val="left"/>
      <w:pPr>
        <w:ind w:left="675" w:hanging="36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8">
    <w:nsid w:val="4E0D0DBC"/>
    <w:multiLevelType w:val="multilevel"/>
    <w:tmpl w:val="4E0D0DB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5A1B6AE8"/>
    <w:multiLevelType w:val="singleLevel"/>
    <w:tmpl w:val="5A1B6AE8"/>
    <w:lvl w:ilvl="0" w:tentative="0">
      <w:start w:val="1"/>
      <w:numFmt w:val="decimal"/>
      <w:lvlText w:val="(%1)"/>
      <w:lvlJc w:val="left"/>
      <w:pPr>
        <w:ind w:left="425" w:hanging="425"/>
      </w:pPr>
      <w:rPr>
        <w:rFonts w:hint="default"/>
      </w:rPr>
    </w:lvl>
  </w:abstractNum>
  <w:abstractNum w:abstractNumId="10">
    <w:nsid w:val="5B1F7960"/>
    <w:multiLevelType w:val="multilevel"/>
    <w:tmpl w:val="5B1F7960"/>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15F430D"/>
    <w:multiLevelType w:val="multilevel"/>
    <w:tmpl w:val="615F430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6BAD15A9"/>
    <w:multiLevelType w:val="multilevel"/>
    <w:tmpl w:val="6BAD15A9"/>
    <w:lvl w:ilvl="0" w:tentative="0">
      <w:start w:val="1"/>
      <w:numFmt w:val="bullet"/>
      <w:lvlText w:val=""/>
      <w:lvlJc w:val="left"/>
      <w:pPr>
        <w:ind w:left="1201" w:hanging="420"/>
      </w:pPr>
      <w:rPr>
        <w:rFonts w:hint="default" w:ascii="Wingdings" w:hAnsi="Wingdings"/>
      </w:rPr>
    </w:lvl>
    <w:lvl w:ilvl="1" w:tentative="0">
      <w:start w:val="1"/>
      <w:numFmt w:val="bullet"/>
      <w:lvlText w:val=""/>
      <w:lvlJc w:val="left"/>
      <w:pPr>
        <w:ind w:left="1621" w:hanging="420"/>
      </w:pPr>
      <w:rPr>
        <w:rFonts w:hint="default" w:ascii="Wingdings" w:hAnsi="Wingdings"/>
      </w:rPr>
    </w:lvl>
    <w:lvl w:ilvl="2" w:tentative="0">
      <w:start w:val="1"/>
      <w:numFmt w:val="bullet"/>
      <w:lvlText w:val=""/>
      <w:lvlJc w:val="left"/>
      <w:pPr>
        <w:ind w:left="2041" w:hanging="420"/>
      </w:pPr>
      <w:rPr>
        <w:rFonts w:hint="default" w:ascii="Wingdings" w:hAnsi="Wingdings"/>
      </w:rPr>
    </w:lvl>
    <w:lvl w:ilvl="3" w:tentative="0">
      <w:start w:val="1"/>
      <w:numFmt w:val="bullet"/>
      <w:lvlText w:val=""/>
      <w:lvlJc w:val="left"/>
      <w:pPr>
        <w:ind w:left="2461" w:hanging="420"/>
      </w:pPr>
      <w:rPr>
        <w:rFonts w:hint="default" w:ascii="Wingdings" w:hAnsi="Wingdings"/>
      </w:rPr>
    </w:lvl>
    <w:lvl w:ilvl="4" w:tentative="0">
      <w:start w:val="1"/>
      <w:numFmt w:val="bullet"/>
      <w:lvlText w:val=""/>
      <w:lvlJc w:val="left"/>
      <w:pPr>
        <w:ind w:left="2881" w:hanging="420"/>
      </w:pPr>
      <w:rPr>
        <w:rFonts w:hint="default" w:ascii="Wingdings" w:hAnsi="Wingdings"/>
      </w:rPr>
    </w:lvl>
    <w:lvl w:ilvl="5" w:tentative="0">
      <w:start w:val="1"/>
      <w:numFmt w:val="bullet"/>
      <w:lvlText w:val=""/>
      <w:lvlJc w:val="left"/>
      <w:pPr>
        <w:ind w:left="3301" w:hanging="420"/>
      </w:pPr>
      <w:rPr>
        <w:rFonts w:hint="default" w:ascii="Wingdings" w:hAnsi="Wingdings"/>
      </w:rPr>
    </w:lvl>
    <w:lvl w:ilvl="6" w:tentative="0">
      <w:start w:val="1"/>
      <w:numFmt w:val="bullet"/>
      <w:lvlText w:val=""/>
      <w:lvlJc w:val="left"/>
      <w:pPr>
        <w:ind w:left="3721" w:hanging="420"/>
      </w:pPr>
      <w:rPr>
        <w:rFonts w:hint="default" w:ascii="Wingdings" w:hAnsi="Wingdings"/>
      </w:rPr>
    </w:lvl>
    <w:lvl w:ilvl="7" w:tentative="0">
      <w:start w:val="1"/>
      <w:numFmt w:val="bullet"/>
      <w:lvlText w:val=""/>
      <w:lvlJc w:val="left"/>
      <w:pPr>
        <w:ind w:left="4141" w:hanging="420"/>
      </w:pPr>
      <w:rPr>
        <w:rFonts w:hint="default" w:ascii="Wingdings" w:hAnsi="Wingdings"/>
      </w:rPr>
    </w:lvl>
    <w:lvl w:ilvl="8" w:tentative="0">
      <w:start w:val="1"/>
      <w:numFmt w:val="bullet"/>
      <w:lvlText w:val=""/>
      <w:lvlJc w:val="left"/>
      <w:pPr>
        <w:ind w:left="4561" w:hanging="420"/>
      </w:pPr>
      <w:rPr>
        <w:rFonts w:hint="default" w:ascii="Wingdings" w:hAnsi="Wingdings"/>
      </w:rPr>
    </w:lvl>
  </w:abstractNum>
  <w:abstractNum w:abstractNumId="13">
    <w:nsid w:val="6E615F2A"/>
    <w:multiLevelType w:val="multilevel"/>
    <w:tmpl w:val="6E615F2A"/>
    <w:lvl w:ilvl="0" w:tentative="0">
      <w:start w:val="3"/>
      <w:numFmt w:val="chineseCountingThousand"/>
      <w:pStyle w:val="7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7CF1151"/>
    <w:multiLevelType w:val="multilevel"/>
    <w:tmpl w:val="77CF1151"/>
    <w:lvl w:ilvl="0" w:tentative="0">
      <w:start w:val="1"/>
      <w:numFmt w:val="decimal"/>
      <w:pStyle w:val="2"/>
      <w:lvlText w:val="%1."/>
      <w:lvlJc w:val="left"/>
      <w:pPr>
        <w:ind w:left="425" w:hanging="425"/>
      </w:pPr>
      <w:rPr>
        <w:rFonts w:hint="eastAsia" w:ascii="宋体" w:eastAsia="宋体"/>
        <w:b/>
        <w:i w:val="0"/>
        <w:sz w:val="32"/>
      </w:rPr>
    </w:lvl>
    <w:lvl w:ilvl="1" w:tentative="0">
      <w:start w:val="1"/>
      <w:numFmt w:val="decimal"/>
      <w:pStyle w:val="3"/>
      <w:lvlText w:val="%1.%2."/>
      <w:lvlJc w:val="left"/>
      <w:pPr>
        <w:ind w:left="567" w:hanging="567"/>
      </w:pPr>
      <w:rPr>
        <w:rFonts w:hint="eastAsia" w:ascii="宋体" w:eastAsia="宋体"/>
        <w:b/>
        <w:i w:val="0"/>
        <w:sz w:val="30"/>
      </w:rPr>
    </w:lvl>
    <w:lvl w:ilvl="2" w:tentative="0">
      <w:start w:val="1"/>
      <w:numFmt w:val="decimal"/>
      <w:pStyle w:val="4"/>
      <w:lvlText w:val="%1.%2.%3."/>
      <w:lvlJc w:val="left"/>
      <w:pPr>
        <w:ind w:left="709" w:hanging="709"/>
      </w:pPr>
      <w:rPr>
        <w:rFonts w:hint="eastAsia" w:ascii="宋体" w:eastAsia="宋体"/>
        <w:b/>
        <w:i w:val="0"/>
        <w:sz w:val="28"/>
      </w:rPr>
    </w:lvl>
    <w:lvl w:ilvl="3" w:tentative="0">
      <w:start w:val="1"/>
      <w:numFmt w:val="decimal"/>
      <w:pStyle w:val="5"/>
      <w:lvlText w:val="%1.%2.%3.%4."/>
      <w:lvlJc w:val="left"/>
      <w:pPr>
        <w:ind w:left="851" w:hanging="851"/>
      </w:pPr>
      <w:rPr>
        <w:rFonts w:hint="eastAsia" w:ascii="宋体" w:eastAsia="宋体"/>
        <w:b/>
        <w:i w:val="0"/>
        <w:sz w:val="24"/>
      </w:rPr>
    </w:lvl>
    <w:lvl w:ilvl="4" w:tentative="0">
      <w:start w:val="1"/>
      <w:numFmt w:val="decimal"/>
      <w:pStyle w:val="6"/>
      <w:lvlText w:val="%1.%2.%3.%4.%5."/>
      <w:lvlJc w:val="left"/>
      <w:pPr>
        <w:ind w:left="992" w:hanging="992"/>
      </w:pPr>
      <w:rPr>
        <w:rFonts w:hint="eastAsia" w:ascii="宋体" w:eastAsia="宋体"/>
        <w:sz w:val="24"/>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5">
    <w:nsid w:val="77F126AF"/>
    <w:multiLevelType w:val="multilevel"/>
    <w:tmpl w:val="77F126AF"/>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4"/>
  </w:num>
  <w:num w:numId="2">
    <w:abstractNumId w:val="0"/>
  </w:num>
  <w:num w:numId="3">
    <w:abstractNumId w:val="1"/>
  </w:num>
  <w:num w:numId="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2"/>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8D4"/>
    <w:rsid w:val="0002151F"/>
    <w:rsid w:val="000315C7"/>
    <w:rsid w:val="000316D4"/>
    <w:rsid w:val="000371C2"/>
    <w:rsid w:val="00041AD2"/>
    <w:rsid w:val="00045E25"/>
    <w:rsid w:val="0006417E"/>
    <w:rsid w:val="000646F0"/>
    <w:rsid w:val="00071480"/>
    <w:rsid w:val="00071BFA"/>
    <w:rsid w:val="000727E3"/>
    <w:rsid w:val="00075B38"/>
    <w:rsid w:val="00080291"/>
    <w:rsid w:val="00082E16"/>
    <w:rsid w:val="00083716"/>
    <w:rsid w:val="00086011"/>
    <w:rsid w:val="000B455E"/>
    <w:rsid w:val="000C241C"/>
    <w:rsid w:val="000C3574"/>
    <w:rsid w:val="000C41FB"/>
    <w:rsid w:val="000D76E0"/>
    <w:rsid w:val="000F5364"/>
    <w:rsid w:val="001019FA"/>
    <w:rsid w:val="001042AA"/>
    <w:rsid w:val="00111C72"/>
    <w:rsid w:val="00135FCD"/>
    <w:rsid w:val="001A37BB"/>
    <w:rsid w:val="001A5DF7"/>
    <w:rsid w:val="001B76C2"/>
    <w:rsid w:val="001C2DF4"/>
    <w:rsid w:val="001F2002"/>
    <w:rsid w:val="001F3973"/>
    <w:rsid w:val="001F4175"/>
    <w:rsid w:val="001F437F"/>
    <w:rsid w:val="001F7857"/>
    <w:rsid w:val="00203D1A"/>
    <w:rsid w:val="00207317"/>
    <w:rsid w:val="00207EDB"/>
    <w:rsid w:val="002219A7"/>
    <w:rsid w:val="002221F1"/>
    <w:rsid w:val="00232FBC"/>
    <w:rsid w:val="00235CEC"/>
    <w:rsid w:val="00251DFB"/>
    <w:rsid w:val="002564A3"/>
    <w:rsid w:val="00277872"/>
    <w:rsid w:val="002A457F"/>
    <w:rsid w:val="002A6180"/>
    <w:rsid w:val="002A75B2"/>
    <w:rsid w:val="002B1B24"/>
    <w:rsid w:val="002D4DBB"/>
    <w:rsid w:val="002D5BCD"/>
    <w:rsid w:val="002F1CEE"/>
    <w:rsid w:val="002F4195"/>
    <w:rsid w:val="00330F59"/>
    <w:rsid w:val="00345ECE"/>
    <w:rsid w:val="003B4FF9"/>
    <w:rsid w:val="003B654F"/>
    <w:rsid w:val="003B78B1"/>
    <w:rsid w:val="003C7737"/>
    <w:rsid w:val="003D4274"/>
    <w:rsid w:val="003E4F2F"/>
    <w:rsid w:val="003F5439"/>
    <w:rsid w:val="003F7697"/>
    <w:rsid w:val="00412E9C"/>
    <w:rsid w:val="00433FF5"/>
    <w:rsid w:val="00434FA5"/>
    <w:rsid w:val="00441E00"/>
    <w:rsid w:val="004652B8"/>
    <w:rsid w:val="00472579"/>
    <w:rsid w:val="00472EF0"/>
    <w:rsid w:val="004747AE"/>
    <w:rsid w:val="00475B44"/>
    <w:rsid w:val="00491BA7"/>
    <w:rsid w:val="004C132E"/>
    <w:rsid w:val="004C3D09"/>
    <w:rsid w:val="004C7A05"/>
    <w:rsid w:val="004C7EE9"/>
    <w:rsid w:val="004D41C4"/>
    <w:rsid w:val="00523231"/>
    <w:rsid w:val="00534594"/>
    <w:rsid w:val="00563E03"/>
    <w:rsid w:val="00564132"/>
    <w:rsid w:val="00567D59"/>
    <w:rsid w:val="00567E80"/>
    <w:rsid w:val="0058655F"/>
    <w:rsid w:val="00586F06"/>
    <w:rsid w:val="0059352B"/>
    <w:rsid w:val="005A7300"/>
    <w:rsid w:val="005B33B4"/>
    <w:rsid w:val="005B7B86"/>
    <w:rsid w:val="005C5820"/>
    <w:rsid w:val="005C7C30"/>
    <w:rsid w:val="005E370C"/>
    <w:rsid w:val="005F6440"/>
    <w:rsid w:val="0060019B"/>
    <w:rsid w:val="00621BE5"/>
    <w:rsid w:val="006265BA"/>
    <w:rsid w:val="00635285"/>
    <w:rsid w:val="006813C9"/>
    <w:rsid w:val="0068589D"/>
    <w:rsid w:val="00692CE6"/>
    <w:rsid w:val="006B7975"/>
    <w:rsid w:val="00705EAF"/>
    <w:rsid w:val="00724BAE"/>
    <w:rsid w:val="007263A4"/>
    <w:rsid w:val="00732E37"/>
    <w:rsid w:val="0074540B"/>
    <w:rsid w:val="00746014"/>
    <w:rsid w:val="007556C5"/>
    <w:rsid w:val="007575BF"/>
    <w:rsid w:val="00760DF3"/>
    <w:rsid w:val="007A266B"/>
    <w:rsid w:val="007C1DFD"/>
    <w:rsid w:val="007C4CD3"/>
    <w:rsid w:val="007C4D63"/>
    <w:rsid w:val="007C5046"/>
    <w:rsid w:val="007C69B7"/>
    <w:rsid w:val="007C7007"/>
    <w:rsid w:val="007D1760"/>
    <w:rsid w:val="008050BC"/>
    <w:rsid w:val="008067C8"/>
    <w:rsid w:val="00814666"/>
    <w:rsid w:val="00824E37"/>
    <w:rsid w:val="00830FE6"/>
    <w:rsid w:val="008352EC"/>
    <w:rsid w:val="00871912"/>
    <w:rsid w:val="008772F6"/>
    <w:rsid w:val="00885C58"/>
    <w:rsid w:val="008A0C78"/>
    <w:rsid w:val="008A45E3"/>
    <w:rsid w:val="008A4748"/>
    <w:rsid w:val="008B3DA8"/>
    <w:rsid w:val="008B454E"/>
    <w:rsid w:val="008B7FF1"/>
    <w:rsid w:val="008E012A"/>
    <w:rsid w:val="009160F4"/>
    <w:rsid w:val="00926F3A"/>
    <w:rsid w:val="00934920"/>
    <w:rsid w:val="00940520"/>
    <w:rsid w:val="0094117B"/>
    <w:rsid w:val="00954212"/>
    <w:rsid w:val="009605AC"/>
    <w:rsid w:val="0096119E"/>
    <w:rsid w:val="0096231C"/>
    <w:rsid w:val="00965370"/>
    <w:rsid w:val="009718DE"/>
    <w:rsid w:val="00982EED"/>
    <w:rsid w:val="009A437F"/>
    <w:rsid w:val="009B6D0A"/>
    <w:rsid w:val="009C1645"/>
    <w:rsid w:val="009D5255"/>
    <w:rsid w:val="009E5D62"/>
    <w:rsid w:val="00A11426"/>
    <w:rsid w:val="00A1317F"/>
    <w:rsid w:val="00A13A2D"/>
    <w:rsid w:val="00A146DB"/>
    <w:rsid w:val="00A21C82"/>
    <w:rsid w:val="00A43FAA"/>
    <w:rsid w:val="00A5126C"/>
    <w:rsid w:val="00A60CFF"/>
    <w:rsid w:val="00A718D4"/>
    <w:rsid w:val="00A727ED"/>
    <w:rsid w:val="00A76BA4"/>
    <w:rsid w:val="00A87AE4"/>
    <w:rsid w:val="00AA381D"/>
    <w:rsid w:val="00AA717F"/>
    <w:rsid w:val="00AC66AA"/>
    <w:rsid w:val="00AD6881"/>
    <w:rsid w:val="00AE231D"/>
    <w:rsid w:val="00AE2C39"/>
    <w:rsid w:val="00AF59A6"/>
    <w:rsid w:val="00B065EC"/>
    <w:rsid w:val="00B106AE"/>
    <w:rsid w:val="00B2195F"/>
    <w:rsid w:val="00B33193"/>
    <w:rsid w:val="00B64563"/>
    <w:rsid w:val="00BA2ED0"/>
    <w:rsid w:val="00BB1719"/>
    <w:rsid w:val="00BB64C9"/>
    <w:rsid w:val="00BC1473"/>
    <w:rsid w:val="00BC6067"/>
    <w:rsid w:val="00BD2914"/>
    <w:rsid w:val="00C101FA"/>
    <w:rsid w:val="00C102CB"/>
    <w:rsid w:val="00C25872"/>
    <w:rsid w:val="00C268B4"/>
    <w:rsid w:val="00C32B9B"/>
    <w:rsid w:val="00C60D8F"/>
    <w:rsid w:val="00C75934"/>
    <w:rsid w:val="00C80876"/>
    <w:rsid w:val="00C96E90"/>
    <w:rsid w:val="00CB2680"/>
    <w:rsid w:val="00CC059B"/>
    <w:rsid w:val="00CD482E"/>
    <w:rsid w:val="00CD64FA"/>
    <w:rsid w:val="00CE1421"/>
    <w:rsid w:val="00CE1B3D"/>
    <w:rsid w:val="00CE33D0"/>
    <w:rsid w:val="00CE5796"/>
    <w:rsid w:val="00D22A87"/>
    <w:rsid w:val="00D37FA8"/>
    <w:rsid w:val="00D40EFB"/>
    <w:rsid w:val="00D44F5D"/>
    <w:rsid w:val="00D577A2"/>
    <w:rsid w:val="00D64E42"/>
    <w:rsid w:val="00D823AD"/>
    <w:rsid w:val="00D84579"/>
    <w:rsid w:val="00D96A88"/>
    <w:rsid w:val="00DA02C3"/>
    <w:rsid w:val="00DC107B"/>
    <w:rsid w:val="00DC3535"/>
    <w:rsid w:val="00DE06E0"/>
    <w:rsid w:val="00DE6815"/>
    <w:rsid w:val="00DF5157"/>
    <w:rsid w:val="00E16975"/>
    <w:rsid w:val="00E2018A"/>
    <w:rsid w:val="00E2448F"/>
    <w:rsid w:val="00E3355F"/>
    <w:rsid w:val="00E33FC8"/>
    <w:rsid w:val="00E53592"/>
    <w:rsid w:val="00E54A94"/>
    <w:rsid w:val="00E54EB6"/>
    <w:rsid w:val="00E64EB9"/>
    <w:rsid w:val="00E813FE"/>
    <w:rsid w:val="00EC0DCE"/>
    <w:rsid w:val="00EC1908"/>
    <w:rsid w:val="00EC3D7D"/>
    <w:rsid w:val="00EC5F5B"/>
    <w:rsid w:val="00ED4A5C"/>
    <w:rsid w:val="00EE0509"/>
    <w:rsid w:val="00EE20BE"/>
    <w:rsid w:val="00EE2DC9"/>
    <w:rsid w:val="00EE7547"/>
    <w:rsid w:val="00F0106D"/>
    <w:rsid w:val="00F17645"/>
    <w:rsid w:val="00F1764D"/>
    <w:rsid w:val="00F20F1A"/>
    <w:rsid w:val="00F215C0"/>
    <w:rsid w:val="00F23B29"/>
    <w:rsid w:val="00F30BDB"/>
    <w:rsid w:val="00F508F7"/>
    <w:rsid w:val="00F70A3D"/>
    <w:rsid w:val="00F70C93"/>
    <w:rsid w:val="00F74DEA"/>
    <w:rsid w:val="00F83C36"/>
    <w:rsid w:val="00F84F73"/>
    <w:rsid w:val="00FA0F19"/>
    <w:rsid w:val="00FA5E36"/>
    <w:rsid w:val="00FC4CA9"/>
    <w:rsid w:val="00FD2DF5"/>
    <w:rsid w:val="00FD39CD"/>
    <w:rsid w:val="00FE3698"/>
    <w:rsid w:val="00FE7040"/>
    <w:rsid w:val="00FE7957"/>
    <w:rsid w:val="00FE7EAF"/>
    <w:rsid w:val="00FF1760"/>
    <w:rsid w:val="00FF198B"/>
    <w:rsid w:val="00FF230B"/>
    <w:rsid w:val="00FF37A7"/>
    <w:rsid w:val="03035935"/>
    <w:rsid w:val="05B758FE"/>
    <w:rsid w:val="0F1C6887"/>
    <w:rsid w:val="1AA44A44"/>
    <w:rsid w:val="279C0E9C"/>
    <w:rsid w:val="2B876666"/>
    <w:rsid w:val="2CD10272"/>
    <w:rsid w:val="3DBE07DB"/>
    <w:rsid w:val="3F593C0C"/>
    <w:rsid w:val="4DA92202"/>
    <w:rsid w:val="4F212EB0"/>
    <w:rsid w:val="540A3EEE"/>
    <w:rsid w:val="554D3E70"/>
    <w:rsid w:val="5D272950"/>
    <w:rsid w:val="61483DB4"/>
    <w:rsid w:val="65403773"/>
    <w:rsid w:val="6E80410B"/>
    <w:rsid w:val="704760C2"/>
    <w:rsid w:val="70C46D11"/>
    <w:rsid w:val="7D6611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1" w:semiHidden="0" w:name="toc 1"/>
    <w:lsdException w:qFormat="1" w:uiPriority="1"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49"/>
    <w:qFormat/>
    <w:uiPriority w:val="9"/>
    <w:pPr>
      <w:keepNext/>
      <w:keepLines/>
      <w:numPr>
        <w:ilvl w:val="0"/>
        <w:numId w:val="1"/>
      </w:numPr>
      <w:spacing w:before="340" w:after="330"/>
      <w:jc w:val="center"/>
      <w:outlineLvl w:val="0"/>
    </w:pPr>
    <w:rPr>
      <w:rFonts w:ascii="Times New Roman" w:hAnsi="Times New Roman" w:eastAsia="宋体" w:cs="Times New Roman"/>
      <w:b/>
      <w:bCs/>
      <w:kern w:val="44"/>
      <w:sz w:val="32"/>
      <w:szCs w:val="44"/>
    </w:rPr>
  </w:style>
  <w:style w:type="paragraph" w:styleId="3">
    <w:name w:val="heading 2"/>
    <w:basedOn w:val="1"/>
    <w:next w:val="1"/>
    <w:link w:val="50"/>
    <w:unhideWhenUsed/>
    <w:qFormat/>
    <w:uiPriority w:val="9"/>
    <w:pPr>
      <w:keepNext/>
      <w:keepLines/>
      <w:numPr>
        <w:ilvl w:val="1"/>
        <w:numId w:val="1"/>
      </w:numPr>
      <w:spacing w:before="260" w:after="260"/>
      <w:outlineLvl w:val="1"/>
    </w:pPr>
    <w:rPr>
      <w:rFonts w:asciiTheme="majorHAnsi" w:hAnsiTheme="majorHAnsi" w:eastAsiaTheme="majorEastAsia" w:cstheme="majorBidi"/>
      <w:b/>
      <w:bCs/>
      <w:sz w:val="30"/>
      <w:szCs w:val="32"/>
    </w:rPr>
  </w:style>
  <w:style w:type="paragraph" w:styleId="4">
    <w:name w:val="heading 3"/>
    <w:basedOn w:val="1"/>
    <w:next w:val="1"/>
    <w:link w:val="51"/>
    <w:unhideWhenUsed/>
    <w:qFormat/>
    <w:uiPriority w:val="0"/>
    <w:pPr>
      <w:keepNext/>
      <w:keepLines/>
      <w:numPr>
        <w:ilvl w:val="2"/>
        <w:numId w:val="1"/>
      </w:numPr>
      <w:spacing w:before="260" w:after="260"/>
      <w:outlineLvl w:val="2"/>
    </w:pPr>
    <w:rPr>
      <w:rFonts w:ascii="Times New Roman" w:hAnsi="Times New Roman" w:eastAsia="宋体" w:cs="Times New Roman"/>
      <w:b/>
      <w:bCs/>
      <w:sz w:val="28"/>
      <w:szCs w:val="32"/>
    </w:rPr>
  </w:style>
  <w:style w:type="paragraph" w:styleId="5">
    <w:name w:val="heading 4"/>
    <w:basedOn w:val="1"/>
    <w:next w:val="1"/>
    <w:link w:val="52"/>
    <w:unhideWhenUsed/>
    <w:qFormat/>
    <w:uiPriority w:val="0"/>
    <w:pPr>
      <w:keepNext/>
      <w:keepLines/>
      <w:numPr>
        <w:ilvl w:val="3"/>
        <w:numId w:val="1"/>
      </w:numPr>
      <w:spacing w:before="280" w:after="290"/>
      <w:outlineLvl w:val="3"/>
    </w:pPr>
    <w:rPr>
      <w:rFonts w:asciiTheme="majorHAnsi" w:hAnsiTheme="majorHAnsi" w:eastAsiaTheme="majorEastAsia" w:cstheme="majorBidi"/>
      <w:b/>
      <w:bCs/>
      <w:szCs w:val="28"/>
    </w:rPr>
  </w:style>
  <w:style w:type="paragraph" w:styleId="6">
    <w:name w:val="heading 5"/>
    <w:basedOn w:val="1"/>
    <w:next w:val="1"/>
    <w:link w:val="53"/>
    <w:unhideWhenUsed/>
    <w:qFormat/>
    <w:uiPriority w:val="0"/>
    <w:pPr>
      <w:keepNext/>
      <w:keepLines/>
      <w:numPr>
        <w:ilvl w:val="4"/>
        <w:numId w:val="1"/>
      </w:numPr>
      <w:spacing w:before="280" w:after="290" w:line="376" w:lineRule="auto"/>
      <w:outlineLvl w:val="4"/>
    </w:pPr>
    <w:rPr>
      <w:rFonts w:ascii="Times New Roman" w:hAnsi="Times New Roman" w:eastAsia="宋体" w:cs="Times New Roman"/>
      <w:bCs/>
      <w:szCs w:val="28"/>
    </w:rPr>
  </w:style>
  <w:style w:type="paragraph" w:styleId="7">
    <w:name w:val="heading 6"/>
    <w:basedOn w:val="1"/>
    <w:next w:val="1"/>
    <w:link w:val="56"/>
    <w:unhideWhenUsed/>
    <w:qFormat/>
    <w:uiPriority w:val="0"/>
    <w:pPr>
      <w:keepNext/>
      <w:keepLines/>
      <w:spacing w:before="240" w:after="64" w:line="319" w:lineRule="auto"/>
      <w:outlineLvl w:val="5"/>
    </w:pPr>
    <w:rPr>
      <w:rFonts w:asciiTheme="majorHAnsi" w:hAnsiTheme="majorHAnsi" w:eastAsiaTheme="majorEastAsia" w:cstheme="majorBidi"/>
      <w:b/>
      <w:bCs/>
      <w:szCs w:val="24"/>
    </w:rPr>
  </w:style>
  <w:style w:type="paragraph" w:styleId="8">
    <w:name w:val="heading 7"/>
    <w:basedOn w:val="1"/>
    <w:next w:val="1"/>
    <w:link w:val="57"/>
    <w:unhideWhenUsed/>
    <w:qFormat/>
    <w:uiPriority w:val="0"/>
    <w:pPr>
      <w:autoSpaceDE w:val="0"/>
      <w:autoSpaceDN w:val="0"/>
      <w:spacing w:line="240" w:lineRule="auto"/>
      <w:ind w:left="114"/>
      <w:jc w:val="left"/>
      <w:outlineLvl w:val="6"/>
    </w:pPr>
    <w:rPr>
      <w:rFonts w:ascii="宋体" w:hAnsi="宋体" w:eastAsia="宋体" w:cs="宋体"/>
      <w:kern w:val="0"/>
      <w:szCs w:val="24"/>
      <w:lang w:eastAsia="en-US"/>
    </w:rPr>
  </w:style>
  <w:style w:type="paragraph" w:styleId="9">
    <w:name w:val="heading 8"/>
    <w:basedOn w:val="1"/>
    <w:next w:val="1"/>
    <w:link w:val="58"/>
    <w:unhideWhenUsed/>
    <w:qFormat/>
    <w:uiPriority w:val="0"/>
    <w:pPr>
      <w:keepNext/>
      <w:keepLines/>
      <w:spacing w:before="240" w:after="64" w:line="320" w:lineRule="auto"/>
      <w:outlineLvl w:val="7"/>
    </w:pPr>
    <w:rPr>
      <w:rFonts w:asciiTheme="majorHAnsi" w:hAnsiTheme="majorHAnsi" w:eastAsiaTheme="majorEastAsia" w:cstheme="majorBidi"/>
      <w:szCs w:val="24"/>
    </w:rPr>
  </w:style>
  <w:style w:type="paragraph" w:styleId="10">
    <w:name w:val="heading 9"/>
    <w:basedOn w:val="1"/>
    <w:next w:val="1"/>
    <w:link w:val="59"/>
    <w:unhideWhenUsed/>
    <w:qFormat/>
    <w:uiPriority w:val="0"/>
    <w:pPr>
      <w:keepNext/>
      <w:keepLines/>
      <w:spacing w:beforeLines="50" w:after="64" w:line="319" w:lineRule="auto"/>
      <w:ind w:left="1584" w:hanging="1584"/>
      <w:outlineLvl w:val="8"/>
    </w:pPr>
    <w:rPr>
      <w:rFonts w:ascii="Cambria" w:hAnsi="Cambria" w:eastAsia="宋体" w:cs="Times New Roman"/>
      <w:sz w:val="21"/>
      <w:szCs w:val="21"/>
    </w:rPr>
  </w:style>
  <w:style w:type="character" w:default="1" w:styleId="42">
    <w:name w:val="Default Paragraph Font"/>
    <w:semiHidden/>
    <w:unhideWhenUsed/>
    <w:uiPriority w:val="1"/>
  </w:style>
  <w:style w:type="table" w:default="1" w:styleId="40">
    <w:name w:val="Normal Table"/>
    <w:semiHidden/>
    <w:unhideWhenUsed/>
    <w:uiPriority w:val="99"/>
    <w:tblPr>
      <w:tblCellMar>
        <w:top w:w="0" w:type="dxa"/>
        <w:left w:w="108" w:type="dxa"/>
        <w:bottom w:w="0" w:type="dxa"/>
        <w:right w:w="108" w:type="dxa"/>
      </w:tblCellMar>
    </w:tblPr>
  </w:style>
  <w:style w:type="paragraph" w:styleId="11">
    <w:name w:val="toc 7"/>
    <w:basedOn w:val="1"/>
    <w:next w:val="1"/>
    <w:qFormat/>
    <w:uiPriority w:val="39"/>
    <w:pPr>
      <w:spacing w:line="240" w:lineRule="auto"/>
      <w:ind w:left="1260"/>
      <w:jc w:val="left"/>
    </w:pPr>
    <w:rPr>
      <w:rFonts w:ascii="Calibri" w:hAnsi="Calibri" w:eastAsia="宋体" w:cs="Calibri"/>
      <w:sz w:val="18"/>
      <w:szCs w:val="18"/>
    </w:rPr>
  </w:style>
  <w:style w:type="paragraph" w:styleId="12">
    <w:name w:val="List Bullet 4"/>
    <w:basedOn w:val="1"/>
    <w:semiHidden/>
    <w:unhideWhenUsed/>
    <w:qFormat/>
    <w:uiPriority w:val="99"/>
    <w:pPr>
      <w:numPr>
        <w:ilvl w:val="0"/>
        <w:numId w:val="2"/>
      </w:numPr>
      <w:contextualSpacing/>
    </w:pPr>
    <w:rPr>
      <w:rFonts w:ascii="Times New Roman" w:hAnsi="Times New Roman" w:eastAsia="宋体" w:cs="Times New Roman"/>
      <w:szCs w:val="24"/>
    </w:rPr>
  </w:style>
  <w:style w:type="paragraph" w:styleId="13">
    <w:name w:val="Normal Indent"/>
    <w:basedOn w:val="1"/>
    <w:link w:val="67"/>
    <w:qFormat/>
    <w:uiPriority w:val="0"/>
    <w:pPr>
      <w:spacing w:line="240" w:lineRule="auto"/>
      <w:ind w:firstLine="420" w:firstLineChars="200"/>
    </w:pPr>
    <w:rPr>
      <w:rFonts w:ascii="Times New Roman" w:hAnsi="Times New Roman" w:eastAsia="宋体" w:cs="Times New Roman"/>
      <w:sz w:val="21"/>
      <w:szCs w:val="24"/>
    </w:rPr>
  </w:style>
  <w:style w:type="paragraph" w:styleId="14">
    <w:name w:val="List Bullet"/>
    <w:basedOn w:val="1"/>
    <w:semiHidden/>
    <w:unhideWhenUsed/>
    <w:qFormat/>
    <w:uiPriority w:val="99"/>
    <w:pPr>
      <w:numPr>
        <w:ilvl w:val="0"/>
        <w:numId w:val="3"/>
      </w:numPr>
      <w:contextualSpacing/>
    </w:pPr>
  </w:style>
  <w:style w:type="paragraph" w:styleId="15">
    <w:name w:val="Document Map"/>
    <w:basedOn w:val="1"/>
    <w:link w:val="66"/>
    <w:semiHidden/>
    <w:qFormat/>
    <w:uiPriority w:val="0"/>
    <w:pPr>
      <w:shd w:val="clear" w:color="auto" w:fill="000080"/>
      <w:spacing w:line="240" w:lineRule="auto"/>
    </w:pPr>
    <w:rPr>
      <w:rFonts w:ascii="Times New Roman" w:hAnsi="Times New Roman" w:eastAsia="宋体" w:cs="Times New Roman"/>
      <w:sz w:val="21"/>
      <w:szCs w:val="24"/>
    </w:rPr>
  </w:style>
  <w:style w:type="paragraph" w:styleId="16">
    <w:name w:val="annotation text"/>
    <w:basedOn w:val="1"/>
    <w:link w:val="187"/>
    <w:qFormat/>
    <w:uiPriority w:val="0"/>
    <w:pPr>
      <w:spacing w:line="240" w:lineRule="auto"/>
      <w:jc w:val="left"/>
    </w:pPr>
    <w:rPr>
      <w:rFonts w:ascii="Times New Roman" w:hAnsi="Times New Roman" w:eastAsia="宋体" w:cs="Times New Roman"/>
      <w:sz w:val="21"/>
      <w:szCs w:val="24"/>
    </w:rPr>
  </w:style>
  <w:style w:type="paragraph" w:styleId="17">
    <w:name w:val="Salutation"/>
    <w:basedOn w:val="1"/>
    <w:next w:val="1"/>
    <w:link w:val="72"/>
    <w:qFormat/>
    <w:uiPriority w:val="0"/>
    <w:pPr>
      <w:spacing w:line="240" w:lineRule="auto"/>
    </w:pPr>
    <w:rPr>
      <w:rFonts w:ascii="Times New Roman" w:hAnsi="Times New Roman" w:eastAsia="宋体" w:cs="Times New Roman"/>
      <w:szCs w:val="20"/>
    </w:rPr>
  </w:style>
  <w:style w:type="paragraph" w:styleId="18">
    <w:name w:val="Body Text"/>
    <w:basedOn w:val="1"/>
    <w:link w:val="73"/>
    <w:qFormat/>
    <w:uiPriority w:val="1"/>
    <w:pPr>
      <w:spacing w:after="120" w:line="240" w:lineRule="auto"/>
    </w:pPr>
    <w:rPr>
      <w:rFonts w:ascii="Times New Roman" w:hAnsi="Times New Roman" w:eastAsia="宋体" w:cs="Times New Roman"/>
      <w:sz w:val="21"/>
      <w:szCs w:val="24"/>
    </w:rPr>
  </w:style>
  <w:style w:type="paragraph" w:styleId="19">
    <w:name w:val="Body Text Indent"/>
    <w:basedOn w:val="1"/>
    <w:link w:val="64"/>
    <w:qFormat/>
    <w:uiPriority w:val="0"/>
    <w:pPr>
      <w:spacing w:after="120" w:line="240" w:lineRule="auto"/>
      <w:ind w:left="420" w:leftChars="200"/>
    </w:pPr>
    <w:rPr>
      <w:rFonts w:ascii="Times New Roman" w:hAnsi="Times New Roman" w:eastAsia="宋体" w:cs="Times New Roman"/>
      <w:sz w:val="21"/>
      <w:szCs w:val="24"/>
    </w:rPr>
  </w:style>
  <w:style w:type="paragraph" w:styleId="20">
    <w:name w:val="toc 5"/>
    <w:basedOn w:val="1"/>
    <w:next w:val="1"/>
    <w:unhideWhenUsed/>
    <w:qFormat/>
    <w:uiPriority w:val="39"/>
    <w:pPr>
      <w:spacing w:line="240" w:lineRule="auto"/>
      <w:ind w:left="840"/>
      <w:jc w:val="left"/>
    </w:pPr>
    <w:rPr>
      <w:rFonts w:ascii="Calibri" w:hAnsi="Calibri" w:eastAsia="宋体" w:cs="Calibri"/>
      <w:sz w:val="18"/>
      <w:szCs w:val="18"/>
    </w:rPr>
  </w:style>
  <w:style w:type="paragraph" w:styleId="21">
    <w:name w:val="toc 3"/>
    <w:basedOn w:val="1"/>
    <w:next w:val="1"/>
    <w:unhideWhenUsed/>
    <w:qFormat/>
    <w:uiPriority w:val="39"/>
    <w:pPr>
      <w:spacing w:line="240" w:lineRule="auto"/>
      <w:ind w:left="420"/>
      <w:jc w:val="left"/>
    </w:pPr>
    <w:rPr>
      <w:rFonts w:ascii="Calibri" w:hAnsi="Calibri" w:eastAsia="宋体" w:cs="Calibri"/>
      <w:i/>
      <w:iCs/>
      <w:sz w:val="20"/>
      <w:szCs w:val="20"/>
    </w:rPr>
  </w:style>
  <w:style w:type="paragraph" w:styleId="22">
    <w:name w:val="Plain Text"/>
    <w:basedOn w:val="1"/>
    <w:link w:val="79"/>
    <w:qFormat/>
    <w:uiPriority w:val="0"/>
    <w:pPr>
      <w:tabs>
        <w:tab w:val="left" w:pos="840"/>
      </w:tabs>
      <w:spacing w:after="120" w:line="240" w:lineRule="atLeast"/>
      <w:ind w:left="840" w:hanging="420"/>
    </w:pPr>
    <w:rPr>
      <w:rFonts w:ascii="宋体" w:hAnsi="Courier New" w:eastAsia="宋体" w:cs="Courier New"/>
      <w:kern w:val="0"/>
      <w:sz w:val="21"/>
      <w:szCs w:val="21"/>
      <w:lang w:val="en-GB"/>
    </w:rPr>
  </w:style>
  <w:style w:type="paragraph" w:styleId="23">
    <w:name w:val="toc 8"/>
    <w:basedOn w:val="1"/>
    <w:next w:val="1"/>
    <w:qFormat/>
    <w:uiPriority w:val="39"/>
    <w:pPr>
      <w:spacing w:line="240" w:lineRule="auto"/>
      <w:ind w:left="1470"/>
      <w:jc w:val="left"/>
    </w:pPr>
    <w:rPr>
      <w:rFonts w:ascii="Calibri" w:hAnsi="Calibri" w:eastAsia="宋体" w:cs="Calibri"/>
      <w:sz w:val="18"/>
      <w:szCs w:val="18"/>
    </w:rPr>
  </w:style>
  <w:style w:type="paragraph" w:styleId="24">
    <w:name w:val="Date"/>
    <w:basedOn w:val="1"/>
    <w:next w:val="1"/>
    <w:link w:val="214"/>
    <w:qFormat/>
    <w:uiPriority w:val="0"/>
    <w:pPr>
      <w:widowControl/>
      <w:spacing w:line="240" w:lineRule="auto"/>
      <w:ind w:left="100" w:leftChars="2500"/>
      <w:jc w:val="left"/>
    </w:pPr>
    <w:rPr>
      <w:rFonts w:ascii="Times New Roman" w:hAnsi="Times New Roman" w:eastAsia="宋体" w:cs="Times New Roman"/>
      <w:kern w:val="0"/>
      <w:szCs w:val="24"/>
      <w:lang w:eastAsia="en-US"/>
    </w:rPr>
  </w:style>
  <w:style w:type="paragraph" w:styleId="25">
    <w:name w:val="Body Text Indent 2"/>
    <w:basedOn w:val="1"/>
    <w:link w:val="216"/>
    <w:qFormat/>
    <w:uiPriority w:val="0"/>
    <w:pPr>
      <w:spacing w:after="120" w:line="480" w:lineRule="auto"/>
      <w:ind w:left="420" w:leftChars="200"/>
    </w:pPr>
    <w:rPr>
      <w:rFonts w:ascii="Times New Roman" w:hAnsi="Times New Roman" w:eastAsia="宋体" w:cs="Times New Roman"/>
      <w:sz w:val="21"/>
      <w:szCs w:val="24"/>
    </w:rPr>
  </w:style>
  <w:style w:type="paragraph" w:styleId="26">
    <w:name w:val="Balloon Text"/>
    <w:basedOn w:val="1"/>
    <w:link w:val="60"/>
    <w:semiHidden/>
    <w:unhideWhenUsed/>
    <w:qFormat/>
    <w:uiPriority w:val="99"/>
    <w:pPr>
      <w:spacing w:line="240" w:lineRule="auto"/>
    </w:pPr>
    <w:rPr>
      <w:sz w:val="18"/>
      <w:szCs w:val="18"/>
    </w:rPr>
  </w:style>
  <w:style w:type="paragraph" w:styleId="27">
    <w:name w:val="footer"/>
    <w:basedOn w:val="1"/>
    <w:link w:val="55"/>
    <w:unhideWhenUsed/>
    <w:qFormat/>
    <w:uiPriority w:val="99"/>
    <w:pPr>
      <w:tabs>
        <w:tab w:val="center" w:pos="4153"/>
        <w:tab w:val="right" w:pos="8306"/>
      </w:tabs>
      <w:snapToGrid w:val="0"/>
      <w:spacing w:line="240" w:lineRule="auto"/>
      <w:jc w:val="left"/>
    </w:pPr>
    <w:rPr>
      <w:sz w:val="18"/>
      <w:szCs w:val="18"/>
    </w:rPr>
  </w:style>
  <w:style w:type="paragraph" w:styleId="28">
    <w:name w:val="header"/>
    <w:basedOn w:val="1"/>
    <w:link w:val="54"/>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9">
    <w:name w:val="toc 1"/>
    <w:basedOn w:val="1"/>
    <w:next w:val="1"/>
    <w:unhideWhenUsed/>
    <w:qFormat/>
    <w:uiPriority w:val="1"/>
    <w:pPr>
      <w:tabs>
        <w:tab w:val="left" w:pos="420"/>
        <w:tab w:val="right" w:leader="dot" w:pos="8920"/>
      </w:tabs>
      <w:spacing w:before="120" w:after="120"/>
      <w:jc w:val="left"/>
    </w:pPr>
    <w:rPr>
      <w:rFonts w:ascii="Cambria" w:hAnsi="Cambria" w:eastAsia="宋体" w:cs="Calibri"/>
      <w:bCs/>
      <w:caps/>
      <w:szCs w:val="24"/>
    </w:rPr>
  </w:style>
  <w:style w:type="paragraph" w:styleId="30">
    <w:name w:val="toc 4"/>
    <w:basedOn w:val="1"/>
    <w:next w:val="1"/>
    <w:unhideWhenUsed/>
    <w:qFormat/>
    <w:uiPriority w:val="39"/>
    <w:pPr>
      <w:tabs>
        <w:tab w:val="left" w:pos="1470"/>
        <w:tab w:val="right" w:leader="dot" w:pos="8920"/>
      </w:tabs>
      <w:spacing w:line="240" w:lineRule="auto"/>
      <w:ind w:left="630"/>
      <w:jc w:val="left"/>
    </w:pPr>
    <w:rPr>
      <w:rFonts w:ascii="Calibri" w:hAnsi="Calibri" w:eastAsia="宋体" w:cs="Arial"/>
      <w:sz w:val="18"/>
      <w:szCs w:val="18"/>
    </w:rPr>
  </w:style>
  <w:style w:type="paragraph" w:styleId="31">
    <w:name w:val="Subtitle"/>
    <w:basedOn w:val="1"/>
    <w:link w:val="184"/>
    <w:qFormat/>
    <w:uiPriority w:val="11"/>
    <w:pPr>
      <w:spacing w:before="240" w:after="60" w:line="312" w:lineRule="auto"/>
      <w:jc w:val="center"/>
      <w:outlineLvl w:val="1"/>
    </w:pPr>
    <w:rPr>
      <w:rFonts w:ascii="Arial" w:hAnsi="Arial" w:eastAsia="宋体" w:cs="Arial"/>
      <w:b/>
      <w:bCs/>
      <w:kern w:val="28"/>
      <w:sz w:val="32"/>
      <w:szCs w:val="32"/>
    </w:rPr>
  </w:style>
  <w:style w:type="paragraph" w:styleId="32">
    <w:name w:val="toc 6"/>
    <w:basedOn w:val="1"/>
    <w:next w:val="1"/>
    <w:qFormat/>
    <w:uiPriority w:val="39"/>
    <w:pPr>
      <w:spacing w:line="240" w:lineRule="auto"/>
      <w:ind w:left="1050"/>
      <w:jc w:val="left"/>
    </w:pPr>
    <w:rPr>
      <w:rFonts w:ascii="Calibri" w:hAnsi="Calibri" w:eastAsia="宋体" w:cs="Calibri"/>
      <w:sz w:val="18"/>
      <w:szCs w:val="18"/>
    </w:rPr>
  </w:style>
  <w:style w:type="paragraph" w:styleId="33">
    <w:name w:val="Body Text Indent 3"/>
    <w:basedOn w:val="1"/>
    <w:link w:val="90"/>
    <w:qFormat/>
    <w:uiPriority w:val="0"/>
    <w:pPr>
      <w:autoSpaceDE w:val="0"/>
      <w:autoSpaceDN w:val="0"/>
      <w:adjustRightInd w:val="0"/>
      <w:spacing w:beforeLines="50" w:line="300" w:lineRule="auto"/>
      <w:ind w:firstLine="510"/>
      <w:jc w:val="left"/>
    </w:pPr>
    <w:rPr>
      <w:rFonts w:ascii="宋体" w:hAnsi="Times New Roman" w:eastAsia="宋体" w:cs="Times New Roman"/>
      <w:color w:val="000000"/>
      <w:kern w:val="0"/>
      <w:szCs w:val="24"/>
    </w:rPr>
  </w:style>
  <w:style w:type="paragraph" w:styleId="34">
    <w:name w:val="toc 2"/>
    <w:basedOn w:val="1"/>
    <w:next w:val="1"/>
    <w:unhideWhenUsed/>
    <w:qFormat/>
    <w:uiPriority w:val="1"/>
    <w:pPr>
      <w:spacing w:line="240" w:lineRule="auto"/>
      <w:ind w:left="210"/>
      <w:jc w:val="left"/>
    </w:pPr>
    <w:rPr>
      <w:rFonts w:ascii="Calibri" w:hAnsi="Calibri" w:eastAsia="宋体" w:cs="Calibri"/>
      <w:smallCaps/>
      <w:sz w:val="20"/>
      <w:szCs w:val="20"/>
    </w:rPr>
  </w:style>
  <w:style w:type="paragraph" w:styleId="35">
    <w:name w:val="toc 9"/>
    <w:basedOn w:val="1"/>
    <w:next w:val="1"/>
    <w:qFormat/>
    <w:uiPriority w:val="39"/>
    <w:pPr>
      <w:spacing w:line="240" w:lineRule="auto"/>
      <w:ind w:left="1680"/>
      <w:jc w:val="left"/>
    </w:pPr>
    <w:rPr>
      <w:rFonts w:ascii="Calibri" w:hAnsi="Calibri" w:eastAsia="宋体" w:cs="Calibri"/>
      <w:sz w:val="18"/>
      <w:szCs w:val="18"/>
    </w:rPr>
  </w:style>
  <w:style w:type="paragraph" w:styleId="36">
    <w:name w:val="Normal (Web)"/>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styleId="37">
    <w:name w:val="annotation subject"/>
    <w:basedOn w:val="16"/>
    <w:next w:val="16"/>
    <w:link w:val="188"/>
    <w:qFormat/>
    <w:uiPriority w:val="0"/>
    <w:rPr>
      <w:b/>
      <w:bCs/>
    </w:rPr>
  </w:style>
  <w:style w:type="paragraph" w:styleId="38">
    <w:name w:val="Body Text First Indent"/>
    <w:basedOn w:val="18"/>
    <w:link w:val="186"/>
    <w:qFormat/>
    <w:uiPriority w:val="0"/>
    <w:pPr>
      <w:ind w:firstLine="420" w:firstLineChars="100"/>
    </w:pPr>
  </w:style>
  <w:style w:type="paragraph" w:styleId="39">
    <w:name w:val="Body Text First Indent 2"/>
    <w:basedOn w:val="19"/>
    <w:link w:val="65"/>
    <w:qFormat/>
    <w:uiPriority w:val="0"/>
    <w:pPr>
      <w:ind w:firstLine="420" w:firstLineChars="200"/>
    </w:pPr>
  </w:style>
  <w:style w:type="table" w:styleId="41">
    <w:name w:val="Table Grid"/>
    <w:basedOn w:val="40"/>
    <w:qFormat/>
    <w:uiPriority w:val="0"/>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bCs/>
    </w:rPr>
  </w:style>
  <w:style w:type="character" w:styleId="44">
    <w:name w:val="endnote reference"/>
    <w:semiHidden/>
    <w:qFormat/>
    <w:uiPriority w:val="0"/>
    <w:rPr>
      <w:sz w:val="20"/>
      <w:vertAlign w:val="superscript"/>
    </w:rPr>
  </w:style>
  <w:style w:type="character" w:styleId="45">
    <w:name w:val="page number"/>
    <w:qFormat/>
    <w:uiPriority w:val="0"/>
  </w:style>
  <w:style w:type="character" w:styleId="46">
    <w:name w:val="FollowedHyperlink"/>
    <w:basedOn w:val="42"/>
    <w:unhideWhenUsed/>
    <w:qFormat/>
    <w:uiPriority w:val="99"/>
    <w:rPr>
      <w:color w:val="800080"/>
      <w:u w:val="single"/>
    </w:rPr>
  </w:style>
  <w:style w:type="character" w:styleId="47">
    <w:name w:val="Hyperlink"/>
    <w:unhideWhenUsed/>
    <w:qFormat/>
    <w:uiPriority w:val="99"/>
    <w:rPr>
      <w:color w:val="0000FF"/>
      <w:u w:val="single"/>
    </w:rPr>
  </w:style>
  <w:style w:type="character" w:styleId="48">
    <w:name w:val="annotation reference"/>
    <w:basedOn w:val="42"/>
    <w:qFormat/>
    <w:uiPriority w:val="0"/>
    <w:rPr>
      <w:sz w:val="21"/>
      <w:szCs w:val="21"/>
    </w:rPr>
  </w:style>
  <w:style w:type="character" w:customStyle="1" w:styleId="49">
    <w:name w:val="标题 1 字符"/>
    <w:basedOn w:val="42"/>
    <w:link w:val="2"/>
    <w:qFormat/>
    <w:uiPriority w:val="0"/>
    <w:rPr>
      <w:rFonts w:ascii="Times New Roman" w:hAnsi="Times New Roman" w:eastAsia="宋体" w:cs="Times New Roman"/>
      <w:b/>
      <w:bCs/>
      <w:kern w:val="44"/>
      <w:sz w:val="32"/>
      <w:szCs w:val="44"/>
    </w:rPr>
  </w:style>
  <w:style w:type="character" w:customStyle="1" w:styleId="50">
    <w:name w:val="标题 2 字符"/>
    <w:basedOn w:val="42"/>
    <w:link w:val="3"/>
    <w:qFormat/>
    <w:uiPriority w:val="9"/>
    <w:rPr>
      <w:rFonts w:asciiTheme="majorHAnsi" w:hAnsiTheme="majorHAnsi" w:eastAsiaTheme="majorEastAsia" w:cstheme="majorBidi"/>
      <w:b/>
      <w:bCs/>
      <w:sz w:val="30"/>
      <w:szCs w:val="32"/>
    </w:rPr>
  </w:style>
  <w:style w:type="character" w:customStyle="1" w:styleId="51">
    <w:name w:val="标题 3 字符"/>
    <w:basedOn w:val="42"/>
    <w:link w:val="4"/>
    <w:qFormat/>
    <w:uiPriority w:val="0"/>
    <w:rPr>
      <w:rFonts w:ascii="Times New Roman" w:hAnsi="Times New Roman" w:eastAsia="宋体" w:cs="Times New Roman"/>
      <w:b/>
      <w:bCs/>
      <w:sz w:val="28"/>
      <w:szCs w:val="32"/>
    </w:rPr>
  </w:style>
  <w:style w:type="character" w:customStyle="1" w:styleId="52">
    <w:name w:val="标题 4 字符"/>
    <w:basedOn w:val="42"/>
    <w:link w:val="5"/>
    <w:qFormat/>
    <w:uiPriority w:val="0"/>
    <w:rPr>
      <w:rFonts w:asciiTheme="majorHAnsi" w:hAnsiTheme="majorHAnsi" w:eastAsiaTheme="majorEastAsia" w:cstheme="majorBidi"/>
      <w:b/>
      <w:bCs/>
      <w:sz w:val="24"/>
      <w:szCs w:val="28"/>
    </w:rPr>
  </w:style>
  <w:style w:type="character" w:customStyle="1" w:styleId="53">
    <w:name w:val="标题 5 字符"/>
    <w:basedOn w:val="42"/>
    <w:link w:val="6"/>
    <w:qFormat/>
    <w:uiPriority w:val="0"/>
    <w:rPr>
      <w:rFonts w:ascii="Times New Roman" w:hAnsi="Times New Roman" w:eastAsia="宋体" w:cs="Times New Roman"/>
      <w:bCs/>
      <w:sz w:val="24"/>
      <w:szCs w:val="28"/>
    </w:rPr>
  </w:style>
  <w:style w:type="character" w:customStyle="1" w:styleId="54">
    <w:name w:val="页眉 字符"/>
    <w:basedOn w:val="42"/>
    <w:link w:val="28"/>
    <w:qFormat/>
    <w:uiPriority w:val="99"/>
    <w:rPr>
      <w:sz w:val="18"/>
      <w:szCs w:val="18"/>
    </w:rPr>
  </w:style>
  <w:style w:type="character" w:customStyle="1" w:styleId="55">
    <w:name w:val="页脚 字符"/>
    <w:basedOn w:val="42"/>
    <w:link w:val="27"/>
    <w:qFormat/>
    <w:uiPriority w:val="99"/>
    <w:rPr>
      <w:sz w:val="18"/>
      <w:szCs w:val="18"/>
    </w:rPr>
  </w:style>
  <w:style w:type="character" w:customStyle="1" w:styleId="56">
    <w:name w:val="标题 6 字符"/>
    <w:basedOn w:val="42"/>
    <w:link w:val="7"/>
    <w:qFormat/>
    <w:uiPriority w:val="0"/>
    <w:rPr>
      <w:rFonts w:asciiTheme="majorHAnsi" w:hAnsiTheme="majorHAnsi" w:eastAsiaTheme="majorEastAsia" w:cstheme="majorBidi"/>
      <w:b/>
      <w:bCs/>
      <w:sz w:val="24"/>
      <w:szCs w:val="24"/>
    </w:rPr>
  </w:style>
  <w:style w:type="character" w:customStyle="1" w:styleId="57">
    <w:name w:val="标题 7 字符"/>
    <w:basedOn w:val="42"/>
    <w:link w:val="8"/>
    <w:qFormat/>
    <w:uiPriority w:val="0"/>
    <w:rPr>
      <w:rFonts w:ascii="宋体" w:hAnsi="宋体" w:eastAsia="宋体" w:cs="宋体"/>
      <w:kern w:val="0"/>
      <w:sz w:val="24"/>
      <w:szCs w:val="24"/>
      <w:lang w:eastAsia="en-US"/>
    </w:rPr>
  </w:style>
  <w:style w:type="character" w:customStyle="1" w:styleId="58">
    <w:name w:val="标题 8 字符"/>
    <w:basedOn w:val="42"/>
    <w:link w:val="9"/>
    <w:qFormat/>
    <w:uiPriority w:val="0"/>
    <w:rPr>
      <w:rFonts w:asciiTheme="majorHAnsi" w:hAnsiTheme="majorHAnsi" w:eastAsiaTheme="majorEastAsia" w:cstheme="majorBidi"/>
      <w:sz w:val="24"/>
      <w:szCs w:val="24"/>
    </w:rPr>
  </w:style>
  <w:style w:type="character" w:customStyle="1" w:styleId="59">
    <w:name w:val="标题 9 字符"/>
    <w:basedOn w:val="42"/>
    <w:link w:val="10"/>
    <w:qFormat/>
    <w:uiPriority w:val="0"/>
    <w:rPr>
      <w:rFonts w:ascii="Cambria" w:hAnsi="Cambria" w:eastAsia="宋体" w:cs="Times New Roman"/>
      <w:szCs w:val="21"/>
    </w:rPr>
  </w:style>
  <w:style w:type="character" w:customStyle="1" w:styleId="60">
    <w:name w:val="批注框文本 字符"/>
    <w:basedOn w:val="42"/>
    <w:link w:val="26"/>
    <w:semiHidden/>
    <w:qFormat/>
    <w:uiPriority w:val="99"/>
    <w:rPr>
      <w:sz w:val="18"/>
      <w:szCs w:val="18"/>
    </w:rPr>
  </w:style>
  <w:style w:type="character" w:customStyle="1" w:styleId="61">
    <w:name w:val="副标题 Char1"/>
    <w:basedOn w:val="42"/>
    <w:qFormat/>
    <w:uiPriority w:val="11"/>
    <w:rPr>
      <w:rFonts w:eastAsia="宋体" w:asciiTheme="majorHAnsi" w:hAnsiTheme="majorHAnsi" w:cstheme="majorBidi"/>
      <w:b/>
      <w:bCs/>
      <w:kern w:val="28"/>
      <w:sz w:val="32"/>
      <w:szCs w:val="32"/>
    </w:rPr>
  </w:style>
  <w:style w:type="paragraph" w:styleId="62">
    <w:name w:val="List Paragraph"/>
    <w:basedOn w:val="1"/>
    <w:link w:val="63"/>
    <w:qFormat/>
    <w:uiPriority w:val="99"/>
    <w:pPr>
      <w:ind w:firstLine="420" w:firstLineChars="200"/>
    </w:pPr>
  </w:style>
  <w:style w:type="character" w:customStyle="1" w:styleId="63">
    <w:name w:val="列表段落 字符"/>
    <w:link w:val="62"/>
    <w:qFormat/>
    <w:uiPriority w:val="34"/>
    <w:rPr>
      <w:sz w:val="24"/>
    </w:rPr>
  </w:style>
  <w:style w:type="character" w:customStyle="1" w:styleId="64">
    <w:name w:val="正文文本缩进 字符"/>
    <w:basedOn w:val="42"/>
    <w:link w:val="19"/>
    <w:qFormat/>
    <w:uiPriority w:val="0"/>
    <w:rPr>
      <w:rFonts w:ascii="Times New Roman" w:hAnsi="Times New Roman" w:eastAsia="宋体" w:cs="Times New Roman"/>
      <w:szCs w:val="24"/>
    </w:rPr>
  </w:style>
  <w:style w:type="character" w:customStyle="1" w:styleId="65">
    <w:name w:val="正文文本首行缩进 2 字符"/>
    <w:basedOn w:val="64"/>
    <w:link w:val="39"/>
    <w:qFormat/>
    <w:uiPriority w:val="0"/>
    <w:rPr>
      <w:rFonts w:ascii="Times New Roman" w:hAnsi="Times New Roman" w:eastAsia="宋体" w:cs="Times New Roman"/>
      <w:szCs w:val="24"/>
    </w:rPr>
  </w:style>
  <w:style w:type="character" w:customStyle="1" w:styleId="66">
    <w:name w:val="文档结构图 字符"/>
    <w:basedOn w:val="42"/>
    <w:link w:val="15"/>
    <w:semiHidden/>
    <w:qFormat/>
    <w:uiPriority w:val="0"/>
    <w:rPr>
      <w:rFonts w:ascii="Times New Roman" w:hAnsi="Times New Roman" w:eastAsia="宋体" w:cs="Times New Roman"/>
      <w:szCs w:val="24"/>
      <w:shd w:val="clear" w:color="auto" w:fill="000080"/>
    </w:rPr>
  </w:style>
  <w:style w:type="character" w:customStyle="1" w:styleId="67">
    <w:name w:val="正文缩进 字符"/>
    <w:link w:val="13"/>
    <w:qFormat/>
    <w:uiPriority w:val="0"/>
    <w:rPr>
      <w:rFonts w:ascii="Times New Roman" w:hAnsi="Times New Roman" w:eastAsia="宋体" w:cs="Times New Roman"/>
      <w:szCs w:val="24"/>
    </w:rPr>
  </w:style>
  <w:style w:type="paragraph" w:customStyle="1" w:styleId="68">
    <w:name w:val="Default"/>
    <w:qFormat/>
    <w:uiPriority w:val="0"/>
    <w:pPr>
      <w:widowControl w:val="0"/>
      <w:autoSpaceDE w:val="0"/>
      <w:autoSpaceDN w:val="0"/>
      <w:adjustRightInd w:val="0"/>
    </w:pPr>
    <w:rPr>
      <w:rFonts w:ascii="Denshan CSEG" w:hAnsi="Times New Roman" w:eastAsia="Denshan CSEG" w:cs="Denshan CSEG"/>
      <w:color w:val="000000"/>
      <w:sz w:val="24"/>
      <w:szCs w:val="24"/>
      <w:lang w:val="en-US" w:eastAsia="zh-CN" w:bidi="ar-SA"/>
    </w:rPr>
  </w:style>
  <w:style w:type="paragraph" w:customStyle="1" w:styleId="69">
    <w:name w:val="Char Char1 Char Char Char Char Char Char Char Char Char Char Char Char Char Char Char Char Char Char Char Char Char Char Char Char Char Char Char"/>
    <w:basedOn w:val="1"/>
    <w:qFormat/>
    <w:uiPriority w:val="0"/>
    <w:pPr>
      <w:widowControl/>
      <w:jc w:val="left"/>
    </w:pPr>
    <w:rPr>
      <w:rFonts w:ascii="Verdana" w:hAnsi="Verdana" w:eastAsia="宋体" w:cs="Times New Roman"/>
      <w:kern w:val="0"/>
      <w:sz w:val="20"/>
      <w:szCs w:val="20"/>
      <w:lang w:eastAsia="en-US"/>
    </w:rPr>
  </w:style>
  <w:style w:type="paragraph" w:customStyle="1" w:styleId="70">
    <w:name w:val="z1"/>
    <w:basedOn w:val="1"/>
    <w:qFormat/>
    <w:uiPriority w:val="0"/>
    <w:pPr>
      <w:widowControl/>
      <w:wordWrap w:val="0"/>
      <w:adjustRightInd w:val="0"/>
      <w:snapToGrid w:val="0"/>
      <w:spacing w:beforeLines="50" w:afterLines="50" w:line="300" w:lineRule="auto"/>
      <w:ind w:left="359" w:leftChars="171" w:firstLine="480" w:firstLineChars="200"/>
    </w:pPr>
    <w:rPr>
      <w:rFonts w:ascii="Arial" w:hAnsi="Arial" w:eastAsia="宋体" w:cs="Times New Roman"/>
      <w:szCs w:val="21"/>
    </w:rPr>
  </w:style>
  <w:style w:type="character" w:customStyle="1" w:styleId="71">
    <w:name w:val="样式 二号 加粗"/>
    <w:qFormat/>
    <w:uiPriority w:val="0"/>
    <w:rPr>
      <w:b/>
      <w:bCs/>
      <w:sz w:val="48"/>
    </w:rPr>
  </w:style>
  <w:style w:type="character" w:customStyle="1" w:styleId="72">
    <w:name w:val="称呼 字符"/>
    <w:basedOn w:val="42"/>
    <w:link w:val="17"/>
    <w:qFormat/>
    <w:uiPriority w:val="0"/>
    <w:rPr>
      <w:rFonts w:ascii="Times New Roman" w:hAnsi="Times New Roman" w:eastAsia="宋体" w:cs="Times New Roman"/>
      <w:sz w:val="24"/>
      <w:szCs w:val="20"/>
    </w:rPr>
  </w:style>
  <w:style w:type="character" w:customStyle="1" w:styleId="73">
    <w:name w:val="正文文本 字符"/>
    <w:basedOn w:val="42"/>
    <w:link w:val="18"/>
    <w:qFormat/>
    <w:uiPriority w:val="0"/>
    <w:rPr>
      <w:rFonts w:ascii="Times New Roman" w:hAnsi="Times New Roman" w:eastAsia="宋体" w:cs="Times New Roman"/>
      <w:szCs w:val="24"/>
    </w:rPr>
  </w:style>
  <w:style w:type="paragraph" w:customStyle="1" w:styleId="74">
    <w:name w:val="正文 缩进1"/>
    <w:basedOn w:val="1"/>
    <w:link w:val="75"/>
    <w:qFormat/>
    <w:uiPriority w:val="0"/>
    <w:pPr>
      <w:ind w:firstLine="420"/>
    </w:pPr>
    <w:rPr>
      <w:rFonts w:ascii="Times New Roman" w:hAnsi="Times New Roman" w:eastAsia="宋体" w:cs="宋体"/>
      <w:szCs w:val="20"/>
    </w:rPr>
  </w:style>
  <w:style w:type="character" w:customStyle="1" w:styleId="75">
    <w:name w:val="正文 缩进1 Char"/>
    <w:link w:val="74"/>
    <w:qFormat/>
    <w:uiPriority w:val="0"/>
    <w:rPr>
      <w:rFonts w:ascii="Times New Roman" w:hAnsi="Times New Roman" w:eastAsia="宋体" w:cs="宋体"/>
      <w:sz w:val="24"/>
      <w:szCs w:val="20"/>
    </w:rPr>
  </w:style>
  <w:style w:type="character" w:customStyle="1" w:styleId="76">
    <w:name w:val="标题 3 Char1"/>
    <w:qFormat/>
    <w:uiPriority w:val="0"/>
    <w:rPr>
      <w:rFonts w:ascii="Calibri" w:hAnsi="Calibri" w:eastAsia="宋体" w:cs="Times New Roman"/>
      <w:b/>
      <w:bCs/>
      <w:sz w:val="32"/>
      <w:szCs w:val="32"/>
    </w:rPr>
  </w:style>
  <w:style w:type="paragraph" w:customStyle="1" w:styleId="77">
    <w:name w:val="TOC 标题1"/>
    <w:basedOn w:val="2"/>
    <w:next w:val="1"/>
    <w:qFormat/>
    <w:uiPriority w:val="0"/>
    <w:pPr>
      <w:widowControl/>
      <w:numPr>
        <w:numId w:val="4"/>
      </w:numPr>
      <w:spacing w:before="480" w:after="0" w:line="276" w:lineRule="auto"/>
      <w:jc w:val="left"/>
      <w:outlineLvl w:val="9"/>
    </w:pPr>
    <w:rPr>
      <w:rFonts w:ascii="Cambria" w:hAnsi="Cambria"/>
      <w:color w:val="365F91"/>
      <w:kern w:val="0"/>
      <w:sz w:val="28"/>
      <w:szCs w:val="28"/>
    </w:rPr>
  </w:style>
  <w:style w:type="paragraph" w:customStyle="1" w:styleId="78">
    <w:name w:val="Char"/>
    <w:basedOn w:val="1"/>
    <w:qFormat/>
    <w:uiPriority w:val="0"/>
    <w:pPr>
      <w:tabs>
        <w:tab w:val="left" w:pos="425"/>
      </w:tabs>
      <w:spacing w:line="240" w:lineRule="auto"/>
      <w:ind w:left="425" w:hanging="425"/>
    </w:pPr>
    <w:rPr>
      <w:rFonts w:ascii="Times New Roman" w:hAnsi="Times New Roman" w:eastAsia="宋体" w:cs="Times New Roman"/>
      <w:szCs w:val="24"/>
    </w:rPr>
  </w:style>
  <w:style w:type="character" w:customStyle="1" w:styleId="79">
    <w:name w:val="纯文本 字符"/>
    <w:basedOn w:val="42"/>
    <w:link w:val="22"/>
    <w:qFormat/>
    <w:uiPriority w:val="0"/>
    <w:rPr>
      <w:rFonts w:ascii="宋体" w:hAnsi="Courier New" w:eastAsia="宋体" w:cs="Courier New"/>
      <w:kern w:val="0"/>
      <w:szCs w:val="21"/>
      <w:lang w:val="en-GB"/>
    </w:rPr>
  </w:style>
  <w:style w:type="character" w:customStyle="1" w:styleId="80">
    <w:name w:val="apple-style-span"/>
    <w:basedOn w:val="42"/>
    <w:qFormat/>
    <w:uiPriority w:val="0"/>
  </w:style>
  <w:style w:type="paragraph" w:customStyle="1" w:styleId="81">
    <w:name w:val="Char1"/>
    <w:basedOn w:val="1"/>
    <w:qFormat/>
    <w:uiPriority w:val="0"/>
    <w:pPr>
      <w:tabs>
        <w:tab w:val="left" w:pos="425"/>
        <w:tab w:val="left" w:pos="900"/>
      </w:tabs>
      <w:spacing w:line="240" w:lineRule="auto"/>
      <w:ind w:left="900" w:hanging="420"/>
    </w:pPr>
    <w:rPr>
      <w:rFonts w:ascii="Times New Roman" w:hAnsi="Times New Roman" w:eastAsia="宋体" w:cs="Times New Roman"/>
      <w:szCs w:val="20"/>
    </w:rPr>
  </w:style>
  <w:style w:type="paragraph" w:customStyle="1" w:styleId="82">
    <w:name w:val="Table"/>
    <w:basedOn w:val="1"/>
    <w:qFormat/>
    <w:uiPriority w:val="0"/>
    <w:pPr>
      <w:widowControl/>
      <w:spacing w:before="40" w:after="40" w:line="240" w:lineRule="auto"/>
    </w:pPr>
    <w:rPr>
      <w:rFonts w:ascii="Arial" w:hAnsi="Arial" w:eastAsia="宋体" w:cs="Times New Roman"/>
      <w:kern w:val="0"/>
      <w:sz w:val="20"/>
      <w:szCs w:val="20"/>
    </w:rPr>
  </w:style>
  <w:style w:type="paragraph" w:customStyle="1" w:styleId="83">
    <w:name w:val="文档正文"/>
    <w:basedOn w:val="1"/>
    <w:link w:val="84"/>
    <w:qFormat/>
    <w:uiPriority w:val="0"/>
    <w:pPr>
      <w:adjustRightInd w:val="0"/>
      <w:spacing w:line="460" w:lineRule="exact"/>
      <w:ind w:firstLine="567"/>
      <w:textAlignment w:val="baseline"/>
    </w:pPr>
    <w:rPr>
      <w:rFonts w:ascii="Arial" w:hAnsi="Arial" w:eastAsia="宋体" w:cs="Times New Roman"/>
      <w:kern w:val="0"/>
      <w:szCs w:val="24"/>
    </w:rPr>
  </w:style>
  <w:style w:type="character" w:customStyle="1" w:styleId="84">
    <w:name w:val="文档正文 Char1"/>
    <w:link w:val="83"/>
    <w:qFormat/>
    <w:uiPriority w:val="0"/>
    <w:rPr>
      <w:rFonts w:ascii="Arial" w:hAnsi="Arial" w:eastAsia="宋体" w:cs="Times New Roman"/>
      <w:kern w:val="0"/>
      <w:sz w:val="24"/>
      <w:szCs w:val="24"/>
    </w:rPr>
  </w:style>
  <w:style w:type="paragraph" w:customStyle="1" w:styleId="85">
    <w:name w:val="Char Char1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6">
    <w:name w:val="Header 2"/>
    <w:basedOn w:val="1"/>
    <w:next w:val="1"/>
    <w:qFormat/>
    <w:uiPriority w:val="0"/>
    <w:pPr>
      <w:keepLines/>
      <w:widowControl/>
      <w:spacing w:before="80" w:after="80" w:line="240" w:lineRule="auto"/>
      <w:jc w:val="right"/>
    </w:pPr>
    <w:rPr>
      <w:rFonts w:ascii="Arial" w:hAnsi="Arial" w:eastAsia="宋体" w:cs="Times New Roman"/>
      <w:kern w:val="0"/>
      <w:sz w:val="20"/>
      <w:szCs w:val="20"/>
    </w:rPr>
  </w:style>
  <w:style w:type="character" w:customStyle="1" w:styleId="87">
    <w:name w:val="纯文本 Char"/>
    <w:qFormat/>
    <w:locked/>
    <w:uiPriority w:val="0"/>
    <w:rPr>
      <w:rFonts w:ascii="Courier New" w:hAnsi="Courier New"/>
      <w:lang w:val="en-US" w:eastAsia="en-US" w:bidi="ar-SA"/>
    </w:rPr>
  </w:style>
  <w:style w:type="paragraph" w:customStyle="1" w:styleId="88">
    <w:name w:val="flName"/>
    <w:basedOn w:val="1"/>
    <w:qFormat/>
    <w:uiPriority w:val="0"/>
    <w:pPr>
      <w:adjustRightInd w:val="0"/>
      <w:spacing w:before="320" w:after="160" w:line="360" w:lineRule="atLeast"/>
      <w:jc w:val="center"/>
      <w:textAlignment w:val="baseline"/>
    </w:pPr>
    <w:rPr>
      <w:rFonts w:ascii="Arial" w:hAnsi="Times New Roman" w:eastAsia="黑体" w:cs="Times New Roman"/>
      <w:kern w:val="0"/>
      <w:sz w:val="32"/>
      <w:szCs w:val="20"/>
    </w:rPr>
  </w:style>
  <w:style w:type="character" w:customStyle="1" w:styleId="89">
    <w:name w:val="Char Char9"/>
    <w:qFormat/>
    <w:uiPriority w:val="0"/>
    <w:rPr>
      <w:rFonts w:ascii="Courier New" w:hAnsi="Courier New" w:eastAsia="Times New Roman" w:cs="Times New Roman"/>
      <w:kern w:val="0"/>
      <w:sz w:val="20"/>
      <w:szCs w:val="20"/>
      <w:lang w:eastAsia="en-US"/>
    </w:rPr>
  </w:style>
  <w:style w:type="character" w:customStyle="1" w:styleId="90">
    <w:name w:val="正文文本缩进 3 字符"/>
    <w:basedOn w:val="42"/>
    <w:link w:val="33"/>
    <w:qFormat/>
    <w:uiPriority w:val="0"/>
    <w:rPr>
      <w:rFonts w:ascii="宋体" w:hAnsi="Times New Roman" w:eastAsia="宋体" w:cs="Times New Roman"/>
      <w:color w:val="000000"/>
      <w:kern w:val="0"/>
      <w:sz w:val="24"/>
      <w:szCs w:val="24"/>
    </w:rPr>
  </w:style>
  <w:style w:type="paragraph" w:customStyle="1" w:styleId="91">
    <w:name w:val="TitlePage_Header"/>
    <w:basedOn w:val="1"/>
    <w:qFormat/>
    <w:uiPriority w:val="0"/>
    <w:pPr>
      <w:widowControl/>
      <w:spacing w:before="240" w:after="240" w:line="240" w:lineRule="auto"/>
      <w:ind w:left="3240"/>
    </w:pPr>
    <w:rPr>
      <w:rFonts w:ascii="Arial" w:hAnsi="Arial" w:eastAsia="宋体" w:cs="Times New Roman"/>
      <w:b/>
      <w:kern w:val="0"/>
      <w:sz w:val="32"/>
      <w:szCs w:val="20"/>
    </w:rPr>
  </w:style>
  <w:style w:type="paragraph" w:customStyle="1" w:styleId="92">
    <w:name w:val="Table_Small"/>
    <w:basedOn w:val="82"/>
    <w:qFormat/>
    <w:uiPriority w:val="0"/>
    <w:rPr>
      <w:sz w:val="16"/>
    </w:rPr>
  </w:style>
  <w:style w:type="character" w:customStyle="1" w:styleId="93">
    <w:name w:val="Character UserEntry"/>
    <w:qFormat/>
    <w:uiPriority w:val="0"/>
    <w:rPr>
      <w:color w:val="FF0000"/>
    </w:rPr>
  </w:style>
  <w:style w:type="character" w:customStyle="1" w:styleId="94">
    <w:name w:val="访问过的超链接1"/>
    <w:qFormat/>
    <w:uiPriority w:val="0"/>
    <w:rPr>
      <w:color w:val="800080"/>
      <w:u w:val="single"/>
    </w:rPr>
  </w:style>
  <w:style w:type="paragraph" w:customStyle="1" w:styleId="95">
    <w:name w:val="font0"/>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customStyle="1" w:styleId="96">
    <w:name w:val="font5"/>
    <w:basedOn w:val="1"/>
    <w:qFormat/>
    <w:uiPriority w:val="0"/>
    <w:pPr>
      <w:widowControl/>
      <w:spacing w:before="100" w:beforeAutospacing="1" w:after="100" w:afterAutospacing="1" w:line="240" w:lineRule="auto"/>
      <w:jc w:val="left"/>
    </w:pPr>
    <w:rPr>
      <w:rFonts w:ascii="宋体" w:hAnsi="宋体" w:eastAsia="宋体" w:cs="宋体"/>
      <w:kern w:val="0"/>
      <w:sz w:val="18"/>
      <w:szCs w:val="18"/>
    </w:rPr>
  </w:style>
  <w:style w:type="paragraph" w:customStyle="1" w:styleId="97">
    <w:name w:val="font6"/>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customStyle="1" w:styleId="98">
    <w:name w:val="font7"/>
    <w:basedOn w:val="1"/>
    <w:qFormat/>
    <w:uiPriority w:val="0"/>
    <w:pPr>
      <w:widowControl/>
      <w:spacing w:before="100" w:beforeAutospacing="1" w:after="100" w:afterAutospacing="1" w:line="240" w:lineRule="auto"/>
      <w:jc w:val="left"/>
    </w:pPr>
    <w:rPr>
      <w:rFonts w:ascii="Calibri" w:hAnsi="Calibri" w:eastAsia="宋体" w:cs="宋体"/>
      <w:kern w:val="0"/>
      <w:sz w:val="18"/>
      <w:szCs w:val="18"/>
    </w:rPr>
  </w:style>
  <w:style w:type="paragraph" w:customStyle="1" w:styleId="99">
    <w:name w:val="font8"/>
    <w:basedOn w:val="1"/>
    <w:qFormat/>
    <w:uiPriority w:val="0"/>
    <w:pPr>
      <w:widowControl/>
      <w:spacing w:before="100" w:beforeAutospacing="1" w:after="100" w:afterAutospacing="1" w:line="240" w:lineRule="auto"/>
      <w:jc w:val="left"/>
    </w:pPr>
    <w:rPr>
      <w:rFonts w:ascii="宋体" w:hAnsi="宋体" w:eastAsia="宋体" w:cs="宋体"/>
      <w:kern w:val="0"/>
      <w:sz w:val="20"/>
      <w:szCs w:val="20"/>
    </w:rPr>
  </w:style>
  <w:style w:type="paragraph" w:customStyle="1" w:styleId="100">
    <w:name w:val="font9"/>
    <w:basedOn w:val="1"/>
    <w:qFormat/>
    <w:uiPriority w:val="0"/>
    <w:pPr>
      <w:widowControl/>
      <w:spacing w:before="100" w:beforeAutospacing="1" w:after="100" w:afterAutospacing="1" w:line="240" w:lineRule="auto"/>
      <w:jc w:val="left"/>
    </w:pPr>
    <w:rPr>
      <w:rFonts w:ascii="Times New Roman" w:hAnsi="Times New Roman" w:eastAsia="宋体" w:cs="Times New Roman"/>
      <w:kern w:val="0"/>
      <w:sz w:val="16"/>
      <w:szCs w:val="16"/>
    </w:rPr>
  </w:style>
  <w:style w:type="paragraph" w:customStyle="1" w:styleId="101">
    <w:name w:val="font10"/>
    <w:basedOn w:val="1"/>
    <w:qFormat/>
    <w:uiPriority w:val="0"/>
    <w:pPr>
      <w:widowControl/>
      <w:spacing w:before="100" w:beforeAutospacing="1" w:after="100" w:afterAutospacing="1" w:line="240" w:lineRule="auto"/>
      <w:jc w:val="left"/>
    </w:pPr>
    <w:rPr>
      <w:rFonts w:ascii="Times New Roman" w:hAnsi="Times New Roman" w:eastAsia="宋体" w:cs="Times New Roman"/>
      <w:kern w:val="0"/>
      <w:sz w:val="20"/>
      <w:szCs w:val="20"/>
    </w:rPr>
  </w:style>
  <w:style w:type="paragraph" w:customStyle="1" w:styleId="102">
    <w:name w:val="font11"/>
    <w:basedOn w:val="1"/>
    <w:qFormat/>
    <w:uiPriority w:val="0"/>
    <w:pPr>
      <w:widowControl/>
      <w:spacing w:before="100" w:beforeAutospacing="1" w:after="100" w:afterAutospacing="1" w:line="240" w:lineRule="auto"/>
      <w:jc w:val="left"/>
    </w:pPr>
    <w:rPr>
      <w:rFonts w:ascii="宋体" w:hAnsi="宋体" w:eastAsia="宋体" w:cs="宋体"/>
      <w:kern w:val="0"/>
      <w:sz w:val="16"/>
      <w:szCs w:val="16"/>
    </w:rPr>
  </w:style>
  <w:style w:type="paragraph" w:customStyle="1" w:styleId="103">
    <w:name w:val="font12"/>
    <w:basedOn w:val="1"/>
    <w:qFormat/>
    <w:uiPriority w:val="0"/>
    <w:pPr>
      <w:widowControl/>
      <w:spacing w:before="100" w:beforeAutospacing="1" w:after="100" w:afterAutospacing="1" w:line="240" w:lineRule="auto"/>
      <w:jc w:val="left"/>
    </w:pPr>
    <w:rPr>
      <w:rFonts w:ascii="宋体" w:hAnsi="宋体" w:eastAsia="宋体" w:cs="宋体"/>
      <w:b/>
      <w:bCs/>
      <w:color w:val="000000"/>
      <w:kern w:val="0"/>
      <w:sz w:val="18"/>
      <w:szCs w:val="18"/>
    </w:rPr>
  </w:style>
  <w:style w:type="paragraph" w:customStyle="1" w:styleId="104">
    <w:name w:val="font13"/>
    <w:basedOn w:val="1"/>
    <w:qFormat/>
    <w:uiPriority w:val="0"/>
    <w:pPr>
      <w:widowControl/>
      <w:spacing w:before="100" w:beforeAutospacing="1" w:after="100" w:afterAutospacing="1" w:line="240" w:lineRule="auto"/>
      <w:jc w:val="left"/>
    </w:pPr>
    <w:rPr>
      <w:rFonts w:ascii="宋体" w:hAnsi="宋体" w:eastAsia="宋体" w:cs="宋体"/>
      <w:color w:val="000000"/>
      <w:kern w:val="0"/>
      <w:sz w:val="18"/>
      <w:szCs w:val="18"/>
    </w:rPr>
  </w:style>
  <w:style w:type="paragraph" w:customStyle="1" w:styleId="105">
    <w:name w:val="font14"/>
    <w:basedOn w:val="1"/>
    <w:qFormat/>
    <w:uiPriority w:val="0"/>
    <w:pPr>
      <w:widowControl/>
      <w:spacing w:before="100" w:beforeAutospacing="1" w:after="100" w:afterAutospacing="1" w:line="240" w:lineRule="auto"/>
      <w:jc w:val="left"/>
    </w:pPr>
    <w:rPr>
      <w:rFonts w:ascii="Times New Roman" w:hAnsi="Times New Roman" w:eastAsia="宋体" w:cs="Times New Roman"/>
      <w:kern w:val="0"/>
      <w:sz w:val="21"/>
      <w:szCs w:val="21"/>
    </w:rPr>
  </w:style>
  <w:style w:type="paragraph" w:customStyle="1" w:styleId="10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0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0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0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ascii="宋体" w:hAnsi="宋体" w:eastAsia="宋体" w:cs="宋体"/>
      <w:kern w:val="0"/>
      <w:sz w:val="20"/>
      <w:szCs w:val="20"/>
    </w:rPr>
  </w:style>
  <w:style w:type="paragraph" w:customStyle="1" w:styleId="11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2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2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2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23">
    <w:name w:val="xl8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4">
    <w:name w:val="xl8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5">
    <w:name w:val="xl8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6">
    <w:name w:val="xl8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7">
    <w:name w:val="xl9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28">
    <w:name w:val="xl91"/>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29">
    <w:name w:val="xl92"/>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3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31">
    <w:name w:val="xl9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3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5">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3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4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4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ascii="宋体" w:hAnsi="宋体" w:eastAsia="宋体" w:cs="宋体"/>
      <w:kern w:val="0"/>
      <w:sz w:val="20"/>
      <w:szCs w:val="20"/>
    </w:rPr>
  </w:style>
  <w:style w:type="paragraph" w:customStyle="1" w:styleId="142">
    <w:name w:val="xl105"/>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43">
    <w:name w:val="xl10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4">
    <w:name w:val="xl10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5">
    <w:name w:val="xl10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6">
    <w:name w:val="xl10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7">
    <w:name w:val="xl11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48">
    <w:name w:val="xl111"/>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49">
    <w:name w:val="xl11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5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18"/>
      <w:szCs w:val="18"/>
    </w:rPr>
  </w:style>
  <w:style w:type="paragraph" w:customStyle="1" w:styleId="15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18"/>
      <w:szCs w:val="18"/>
    </w:rPr>
  </w:style>
  <w:style w:type="paragraph" w:customStyle="1" w:styleId="15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18"/>
      <w:szCs w:val="18"/>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宋体" w:cs="Times New Roman"/>
      <w:kern w:val="0"/>
      <w:sz w:val="18"/>
      <w:szCs w:val="18"/>
    </w:rPr>
  </w:style>
  <w:style w:type="paragraph" w:customStyle="1" w:styleId="15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5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5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黑体" w:hAnsi="宋体" w:eastAsia="黑体" w:cs="宋体"/>
      <w:kern w:val="0"/>
      <w:sz w:val="18"/>
      <w:szCs w:val="18"/>
    </w:rPr>
  </w:style>
  <w:style w:type="paragraph" w:customStyle="1" w:styleId="15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5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宋体" w:cs="Times New Roman"/>
      <w:kern w:val="0"/>
      <w:sz w:val="18"/>
      <w:szCs w:val="18"/>
    </w:rPr>
  </w:style>
  <w:style w:type="paragraph" w:customStyle="1" w:styleId="16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6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宋体" w:cs="Times New Roman"/>
      <w:kern w:val="0"/>
      <w:sz w:val="18"/>
      <w:szCs w:val="18"/>
    </w:rPr>
  </w:style>
  <w:style w:type="paragraph" w:customStyle="1" w:styleId="16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eastAsia="宋体" w:cs="宋体"/>
      <w:kern w:val="0"/>
      <w:sz w:val="18"/>
      <w:szCs w:val="18"/>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6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6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6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Verdana" w:hAnsi="Verdana" w:eastAsia="宋体" w:cs="宋体"/>
      <w:kern w:val="0"/>
      <w:sz w:val="18"/>
      <w:szCs w:val="18"/>
    </w:rPr>
  </w:style>
  <w:style w:type="paragraph" w:customStyle="1" w:styleId="16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68">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6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Times New Roman" w:hAnsi="Times New Roman" w:eastAsia="宋体" w:cs="Times New Roman"/>
      <w:kern w:val="0"/>
      <w:sz w:val="18"/>
      <w:szCs w:val="18"/>
    </w:rPr>
  </w:style>
  <w:style w:type="paragraph" w:customStyle="1" w:styleId="170">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eastAsia="宋体" w:cs="宋体"/>
      <w:kern w:val="0"/>
      <w:sz w:val="18"/>
      <w:szCs w:val="18"/>
    </w:rPr>
  </w:style>
  <w:style w:type="paragraph" w:customStyle="1" w:styleId="171">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Times New Roman" w:hAnsi="Times New Roman" w:eastAsia="宋体" w:cs="Times New Roman"/>
      <w:kern w:val="0"/>
      <w:sz w:val="18"/>
      <w:szCs w:val="18"/>
    </w:rPr>
  </w:style>
  <w:style w:type="paragraph" w:customStyle="1" w:styleId="17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eastAsia="宋体" w:cs="宋体"/>
      <w:kern w:val="0"/>
      <w:sz w:val="18"/>
      <w:szCs w:val="18"/>
    </w:rPr>
  </w:style>
  <w:style w:type="paragraph" w:customStyle="1" w:styleId="17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7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bottom"/>
    </w:pPr>
    <w:rPr>
      <w:rFonts w:ascii="宋体" w:hAnsi="宋体" w:eastAsia="宋体" w:cs="宋体"/>
      <w:kern w:val="0"/>
      <w:sz w:val="18"/>
      <w:szCs w:val="18"/>
    </w:rPr>
  </w:style>
  <w:style w:type="paragraph" w:customStyle="1" w:styleId="17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宋体" w:hAnsi="宋体" w:eastAsia="宋体" w:cs="宋体"/>
      <w:kern w:val="0"/>
      <w:sz w:val="18"/>
      <w:szCs w:val="18"/>
    </w:rPr>
  </w:style>
  <w:style w:type="paragraph" w:customStyle="1" w:styleId="17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bottom"/>
    </w:pPr>
    <w:rPr>
      <w:rFonts w:ascii="宋体" w:hAnsi="宋体" w:eastAsia="宋体" w:cs="宋体"/>
      <w:kern w:val="0"/>
      <w:sz w:val="18"/>
      <w:szCs w:val="18"/>
    </w:rPr>
  </w:style>
  <w:style w:type="paragraph" w:styleId="177">
    <w:name w:val="No Spacing"/>
    <w:link w:val="178"/>
    <w:qFormat/>
    <w:uiPriority w:val="1"/>
    <w:rPr>
      <w:rFonts w:ascii="Calibri" w:hAnsi="Calibri" w:eastAsia="宋体" w:cs="Times New Roman"/>
      <w:sz w:val="22"/>
      <w:szCs w:val="22"/>
      <w:lang w:val="en-US" w:eastAsia="zh-CN" w:bidi="ar-SA"/>
    </w:rPr>
  </w:style>
  <w:style w:type="character" w:customStyle="1" w:styleId="178">
    <w:name w:val="无间隔 字符"/>
    <w:link w:val="177"/>
    <w:qFormat/>
    <w:uiPriority w:val="1"/>
    <w:rPr>
      <w:rFonts w:ascii="Calibri" w:hAnsi="Calibri" w:eastAsia="宋体" w:cs="Times New Roman"/>
      <w:kern w:val="0"/>
      <w:sz w:val="22"/>
    </w:rPr>
  </w:style>
  <w:style w:type="paragraph" w:customStyle="1" w:styleId="179">
    <w:name w:val="ZB5"/>
    <w:basedOn w:val="1"/>
    <w:link w:val="180"/>
    <w:qFormat/>
    <w:uiPriority w:val="0"/>
    <w:pPr>
      <w:spacing w:line="400" w:lineRule="exact"/>
      <w:ind w:firstLine="200" w:firstLineChars="200"/>
    </w:pPr>
    <w:rPr>
      <w:rFonts w:ascii="Consolas" w:hAnsi="Consolas" w:eastAsia="方正中等线简体" w:cs="Times New Roman"/>
      <w:kern w:val="0"/>
      <w:sz w:val="22"/>
      <w:szCs w:val="20"/>
    </w:rPr>
  </w:style>
  <w:style w:type="character" w:customStyle="1" w:styleId="180">
    <w:name w:val="ZB5 Char"/>
    <w:link w:val="179"/>
    <w:qFormat/>
    <w:uiPriority w:val="0"/>
    <w:rPr>
      <w:rFonts w:ascii="Consolas" w:hAnsi="Consolas" w:eastAsia="方正中等线简体" w:cs="Times New Roman"/>
      <w:kern w:val="0"/>
      <w:sz w:val="22"/>
      <w:szCs w:val="20"/>
    </w:rPr>
  </w:style>
  <w:style w:type="character" w:customStyle="1" w:styleId="181">
    <w:name w:val="headline-content2"/>
    <w:basedOn w:val="42"/>
    <w:qFormat/>
    <w:uiPriority w:val="0"/>
  </w:style>
  <w:style w:type="paragraph" w:customStyle="1" w:styleId="182">
    <w:name w:val="正文（1）"/>
    <w:basedOn w:val="1"/>
    <w:link w:val="183"/>
    <w:qFormat/>
    <w:uiPriority w:val="0"/>
    <w:pPr>
      <w:ind w:firstLine="420" w:firstLineChars="200"/>
      <w:jc w:val="left"/>
    </w:pPr>
    <w:rPr>
      <w:rFonts w:ascii="Calibri" w:hAnsi="Calibri" w:eastAsia="宋体" w:cs="Times New Roman"/>
      <w:kern w:val="0"/>
      <w:sz w:val="20"/>
      <w:szCs w:val="21"/>
    </w:rPr>
  </w:style>
  <w:style w:type="character" w:customStyle="1" w:styleId="183">
    <w:name w:val="正文（1） Char"/>
    <w:link w:val="182"/>
    <w:qFormat/>
    <w:locked/>
    <w:uiPriority w:val="0"/>
    <w:rPr>
      <w:rFonts w:ascii="Calibri" w:hAnsi="Calibri" w:eastAsia="宋体" w:cs="Times New Roman"/>
      <w:kern w:val="0"/>
      <w:sz w:val="20"/>
      <w:szCs w:val="21"/>
    </w:rPr>
  </w:style>
  <w:style w:type="character" w:customStyle="1" w:styleId="184">
    <w:name w:val="副标题 字符"/>
    <w:basedOn w:val="42"/>
    <w:link w:val="31"/>
    <w:qFormat/>
    <w:uiPriority w:val="11"/>
    <w:rPr>
      <w:rFonts w:ascii="Arial" w:hAnsi="Arial" w:eastAsia="宋体" w:cs="Arial"/>
      <w:b/>
      <w:bCs/>
      <w:kern w:val="28"/>
      <w:sz w:val="32"/>
      <w:szCs w:val="32"/>
    </w:rPr>
  </w:style>
  <w:style w:type="paragraph" w:customStyle="1" w:styleId="185">
    <w:name w:val="默认段落字体 Para Char"/>
    <w:basedOn w:val="1"/>
    <w:qFormat/>
    <w:uiPriority w:val="0"/>
    <w:pPr>
      <w:tabs>
        <w:tab w:val="left" w:pos="720"/>
        <w:tab w:val="left" w:pos="900"/>
      </w:tabs>
      <w:spacing w:line="240" w:lineRule="auto"/>
      <w:ind w:left="900" w:hanging="420"/>
    </w:pPr>
    <w:rPr>
      <w:rFonts w:ascii="Times New Roman" w:hAnsi="Times New Roman" w:eastAsia="宋体" w:cs="Times New Roman"/>
      <w:sz w:val="21"/>
      <w:szCs w:val="20"/>
    </w:rPr>
  </w:style>
  <w:style w:type="character" w:customStyle="1" w:styleId="186">
    <w:name w:val="正文文本首行缩进 字符"/>
    <w:basedOn w:val="73"/>
    <w:link w:val="38"/>
    <w:qFormat/>
    <w:uiPriority w:val="0"/>
    <w:rPr>
      <w:rFonts w:ascii="Times New Roman" w:hAnsi="Times New Roman" w:eastAsia="宋体" w:cs="Times New Roman"/>
      <w:szCs w:val="24"/>
    </w:rPr>
  </w:style>
  <w:style w:type="character" w:customStyle="1" w:styleId="187">
    <w:name w:val="批注文字 字符"/>
    <w:basedOn w:val="42"/>
    <w:link w:val="16"/>
    <w:qFormat/>
    <w:uiPriority w:val="0"/>
    <w:rPr>
      <w:rFonts w:ascii="Times New Roman" w:hAnsi="Times New Roman" w:eastAsia="宋体" w:cs="Times New Roman"/>
      <w:szCs w:val="24"/>
    </w:rPr>
  </w:style>
  <w:style w:type="character" w:customStyle="1" w:styleId="188">
    <w:name w:val="批注主题 字符"/>
    <w:basedOn w:val="187"/>
    <w:link w:val="37"/>
    <w:qFormat/>
    <w:uiPriority w:val="0"/>
    <w:rPr>
      <w:rFonts w:ascii="Times New Roman" w:hAnsi="Times New Roman" w:eastAsia="宋体" w:cs="Times New Roman"/>
      <w:b/>
      <w:bCs/>
      <w:szCs w:val="24"/>
    </w:rPr>
  </w:style>
  <w:style w:type="table" w:customStyle="1" w:styleId="189">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190">
    <w:name w:val="Table Paragraph"/>
    <w:basedOn w:val="1"/>
    <w:qFormat/>
    <w:uiPriority w:val="1"/>
    <w:pPr>
      <w:autoSpaceDE w:val="0"/>
      <w:autoSpaceDN w:val="0"/>
      <w:spacing w:line="240" w:lineRule="auto"/>
      <w:jc w:val="left"/>
    </w:pPr>
    <w:rPr>
      <w:rFonts w:ascii="宋体" w:hAnsi="宋体" w:eastAsia="宋体" w:cs="宋体"/>
      <w:kern w:val="0"/>
      <w:sz w:val="22"/>
      <w:lang w:eastAsia="en-US"/>
    </w:rPr>
  </w:style>
  <w:style w:type="paragraph" w:customStyle="1" w:styleId="191">
    <w:name w:val="xl65"/>
    <w:basedOn w:val="1"/>
    <w:qFormat/>
    <w:uiPriority w:val="0"/>
    <w:pPr>
      <w:widowControl/>
      <w:pBdr>
        <w:bottom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2">
    <w:name w:val="xl66"/>
    <w:basedOn w:val="1"/>
    <w:qFormat/>
    <w:uiPriority w:val="0"/>
    <w:pPr>
      <w:widowControl/>
      <w:pBdr>
        <w:left w:val="single" w:color="000000" w:sz="8" w:space="0"/>
        <w:bottom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3">
    <w:name w:val="xl67"/>
    <w:basedOn w:val="1"/>
    <w:qFormat/>
    <w:uiPriority w:val="0"/>
    <w:pPr>
      <w:widowControl/>
      <w:pBdr>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4">
    <w:name w:val="xl68"/>
    <w:basedOn w:val="1"/>
    <w:qFormat/>
    <w:uiPriority w:val="0"/>
    <w:pPr>
      <w:widowControl/>
      <w:pBdr>
        <w:top w:val="single" w:color="000000" w:sz="8" w:space="0"/>
        <w:left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5">
    <w:name w:val="xl113"/>
    <w:basedOn w:val="1"/>
    <w:qFormat/>
    <w:uiPriority w:val="0"/>
    <w:pPr>
      <w:widowControl/>
      <w:pBdr>
        <w:bottom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b/>
      <w:bCs/>
      <w:kern w:val="0"/>
      <w:sz w:val="21"/>
      <w:szCs w:val="21"/>
    </w:rPr>
  </w:style>
  <w:style w:type="paragraph" w:customStyle="1" w:styleId="196">
    <w:name w:val="xl114"/>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0"/>
      <w:szCs w:val="20"/>
    </w:rPr>
  </w:style>
  <w:style w:type="paragraph" w:customStyle="1" w:styleId="197">
    <w:name w:val="xl115"/>
    <w:basedOn w:val="1"/>
    <w:qFormat/>
    <w:uiPriority w:val="0"/>
    <w:pPr>
      <w:widowControl/>
      <w:pBdr>
        <w:top w:val="single" w:color="000000" w:sz="8" w:space="0"/>
        <w:bottom w:val="single" w:color="000000" w:sz="8" w:space="0"/>
        <w:right w:val="single" w:color="000000" w:sz="8" w:space="0"/>
      </w:pBdr>
      <w:spacing w:before="100" w:beforeAutospacing="1" w:after="100" w:afterAutospacing="1" w:line="240" w:lineRule="auto"/>
      <w:jc w:val="left"/>
      <w:textAlignment w:val="center"/>
    </w:pPr>
    <w:rPr>
      <w:rFonts w:ascii="宋体" w:hAnsi="宋体" w:eastAsia="宋体" w:cs="宋体"/>
      <w:kern w:val="0"/>
      <w:sz w:val="21"/>
      <w:szCs w:val="21"/>
    </w:rPr>
  </w:style>
  <w:style w:type="paragraph" w:customStyle="1" w:styleId="198">
    <w:name w:val="xl116"/>
    <w:basedOn w:val="1"/>
    <w:qFormat/>
    <w:uiPriority w:val="0"/>
    <w:pPr>
      <w:widowControl/>
      <w:pBdr>
        <w:top w:val="single" w:color="000000" w:sz="8" w:space="0"/>
        <w:bottom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0"/>
      <w:szCs w:val="20"/>
    </w:rPr>
  </w:style>
  <w:style w:type="paragraph" w:customStyle="1" w:styleId="199">
    <w:name w:val="xl117"/>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8"/>
      <w:szCs w:val="28"/>
    </w:rPr>
  </w:style>
  <w:style w:type="paragraph" w:customStyle="1" w:styleId="200">
    <w:name w:val="xl118"/>
    <w:basedOn w:val="1"/>
    <w:qFormat/>
    <w:uiPriority w:val="0"/>
    <w:pPr>
      <w:widowControl/>
      <w:pBdr>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17"/>
      <w:szCs w:val="17"/>
    </w:rPr>
  </w:style>
  <w:style w:type="paragraph" w:customStyle="1" w:styleId="201">
    <w:name w:val="xl119"/>
    <w:basedOn w:val="1"/>
    <w:qFormat/>
    <w:uiPriority w:val="0"/>
    <w:pPr>
      <w:widowControl/>
      <w:pBdr>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9"/>
      <w:szCs w:val="29"/>
    </w:rPr>
  </w:style>
  <w:style w:type="paragraph" w:customStyle="1" w:styleId="202">
    <w:name w:val="xl120"/>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9"/>
      <w:szCs w:val="29"/>
    </w:rPr>
  </w:style>
  <w:style w:type="paragraph" w:customStyle="1" w:styleId="203">
    <w:name w:val="xl121"/>
    <w:basedOn w:val="1"/>
    <w:qFormat/>
    <w:uiPriority w:val="0"/>
    <w:pPr>
      <w:widowControl/>
      <w:pBdr>
        <w:top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204">
    <w:name w:val="xl122"/>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17"/>
      <w:szCs w:val="17"/>
    </w:rPr>
  </w:style>
  <w:style w:type="paragraph" w:customStyle="1" w:styleId="205">
    <w:name w:val="xl123"/>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宋体" w:hAnsi="宋体" w:eastAsia="宋体" w:cs="宋体"/>
      <w:kern w:val="0"/>
      <w:sz w:val="21"/>
      <w:szCs w:val="21"/>
    </w:rPr>
  </w:style>
  <w:style w:type="paragraph" w:customStyle="1" w:styleId="206">
    <w:name w:val="xl124"/>
    <w:basedOn w:val="1"/>
    <w:qFormat/>
    <w:uiPriority w:val="0"/>
    <w:pPr>
      <w:widowControl/>
      <w:pBdr>
        <w:top w:val="single" w:color="000000" w:sz="8" w:space="0"/>
      </w:pBdr>
      <w:spacing w:before="100" w:beforeAutospacing="1" w:after="100" w:afterAutospacing="1" w:line="240" w:lineRule="auto"/>
      <w:jc w:val="center"/>
      <w:textAlignment w:val="center"/>
    </w:pPr>
    <w:rPr>
      <w:rFonts w:ascii="宋体" w:hAnsi="宋体" w:eastAsia="宋体" w:cs="宋体"/>
      <w:b/>
      <w:bCs/>
      <w:kern w:val="0"/>
      <w:sz w:val="21"/>
      <w:szCs w:val="21"/>
    </w:rPr>
  </w:style>
  <w:style w:type="paragraph" w:customStyle="1" w:styleId="207">
    <w:name w:val="xl125"/>
    <w:basedOn w:val="1"/>
    <w:qFormat/>
    <w:uiPriority w:val="0"/>
    <w:pPr>
      <w:widowControl/>
      <w:pBdr>
        <w:bottom w:val="single" w:color="000000" w:sz="8" w:space="0"/>
      </w:pBdr>
      <w:spacing w:before="100" w:beforeAutospacing="1" w:after="100" w:afterAutospacing="1" w:line="240" w:lineRule="auto"/>
      <w:jc w:val="center"/>
      <w:textAlignment w:val="center"/>
    </w:pPr>
    <w:rPr>
      <w:rFonts w:ascii="宋体" w:hAnsi="宋体" w:eastAsia="宋体" w:cs="宋体"/>
      <w:b/>
      <w:bCs/>
      <w:kern w:val="0"/>
      <w:sz w:val="21"/>
      <w:szCs w:val="21"/>
    </w:rPr>
  </w:style>
  <w:style w:type="paragraph" w:customStyle="1" w:styleId="208">
    <w:name w:val="xl126"/>
    <w:basedOn w:val="1"/>
    <w:qFormat/>
    <w:uiPriority w:val="0"/>
    <w:pPr>
      <w:widowControl/>
      <w:pBdr>
        <w:top w:val="single" w:color="000000" w:sz="8" w:space="0"/>
        <w:left w:val="single" w:color="000000" w:sz="8" w:space="31"/>
        <w:right w:val="single" w:color="000000" w:sz="8" w:space="0"/>
      </w:pBdr>
      <w:spacing w:before="100" w:beforeAutospacing="1" w:after="100" w:afterAutospacing="1" w:line="240" w:lineRule="auto"/>
      <w:ind w:firstLine="200" w:firstLineChars="200"/>
      <w:jc w:val="left"/>
      <w:textAlignment w:val="center"/>
    </w:pPr>
    <w:rPr>
      <w:rFonts w:ascii="宋体" w:hAnsi="宋体" w:eastAsia="宋体" w:cs="宋体"/>
      <w:kern w:val="0"/>
      <w:sz w:val="21"/>
      <w:szCs w:val="21"/>
    </w:rPr>
  </w:style>
  <w:style w:type="paragraph" w:customStyle="1" w:styleId="209">
    <w:name w:val="xl127"/>
    <w:basedOn w:val="1"/>
    <w:qFormat/>
    <w:uiPriority w:val="0"/>
    <w:pPr>
      <w:widowControl/>
      <w:pBdr>
        <w:left w:val="single" w:color="000000" w:sz="8" w:space="31"/>
        <w:bottom w:val="single" w:color="000000" w:sz="8" w:space="0"/>
        <w:right w:val="single" w:color="000000" w:sz="8" w:space="0"/>
      </w:pBdr>
      <w:spacing w:before="100" w:beforeAutospacing="1" w:after="100" w:afterAutospacing="1" w:line="240" w:lineRule="auto"/>
      <w:ind w:firstLine="200" w:firstLineChars="200"/>
      <w:jc w:val="left"/>
      <w:textAlignment w:val="center"/>
    </w:pPr>
    <w:rPr>
      <w:rFonts w:ascii="宋体" w:hAnsi="宋体" w:eastAsia="宋体" w:cs="宋体"/>
      <w:kern w:val="0"/>
      <w:sz w:val="21"/>
      <w:szCs w:val="21"/>
    </w:rPr>
  </w:style>
  <w:style w:type="paragraph" w:customStyle="1" w:styleId="210">
    <w:name w:val="xl128"/>
    <w:basedOn w:val="1"/>
    <w:qFormat/>
    <w:uiPriority w:val="0"/>
    <w:pPr>
      <w:widowControl/>
      <w:pBdr>
        <w:top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1"/>
      <w:szCs w:val="21"/>
    </w:rPr>
  </w:style>
  <w:style w:type="paragraph" w:customStyle="1" w:styleId="211">
    <w:name w:val="样式 正文文本缩进 +"/>
    <w:basedOn w:val="19"/>
    <w:qFormat/>
    <w:uiPriority w:val="0"/>
    <w:pPr>
      <w:spacing w:after="0" w:afterLines="50"/>
      <w:ind w:left="0" w:leftChars="0" w:firstLine="200" w:firstLineChars="200"/>
    </w:pPr>
  </w:style>
  <w:style w:type="paragraph" w:customStyle="1" w:styleId="212">
    <w:name w:val="列出段落1"/>
    <w:basedOn w:val="1"/>
    <w:qFormat/>
    <w:uiPriority w:val="34"/>
    <w:pPr>
      <w:ind w:firstLine="200" w:firstLineChars="200"/>
      <w:jc w:val="left"/>
    </w:pPr>
    <w:rPr>
      <w:rFonts w:cs="Courier New"/>
      <w:lang w:val="zh-CN"/>
    </w:rPr>
  </w:style>
  <w:style w:type="paragraph" w:customStyle="1" w:styleId="213">
    <w:name w:val="列1"/>
    <w:basedOn w:val="1"/>
    <w:next w:val="62"/>
    <w:qFormat/>
    <w:uiPriority w:val="34"/>
    <w:pPr>
      <w:ind w:firstLine="420" w:firstLineChars="200"/>
    </w:pPr>
  </w:style>
  <w:style w:type="character" w:customStyle="1" w:styleId="214">
    <w:name w:val="日期 字符"/>
    <w:basedOn w:val="42"/>
    <w:link w:val="24"/>
    <w:qFormat/>
    <w:uiPriority w:val="0"/>
    <w:rPr>
      <w:rFonts w:ascii="Times New Roman" w:hAnsi="Times New Roman" w:eastAsia="宋体" w:cs="Times New Roman"/>
      <w:kern w:val="0"/>
      <w:sz w:val="24"/>
      <w:szCs w:val="24"/>
      <w:lang w:eastAsia="en-US"/>
    </w:rPr>
  </w:style>
  <w:style w:type="paragraph" w:customStyle="1" w:styleId="215">
    <w:name w:val="日期1"/>
    <w:basedOn w:val="1"/>
    <w:next w:val="1"/>
    <w:qFormat/>
    <w:uiPriority w:val="0"/>
    <w:pPr>
      <w:adjustRightInd w:val="0"/>
      <w:spacing w:line="312" w:lineRule="atLeast"/>
      <w:textAlignment w:val="baseline"/>
    </w:pPr>
    <w:rPr>
      <w:rFonts w:ascii="Times New Roman" w:hAnsi="Times New Roman" w:eastAsia="宋体" w:cs="Times New Roman"/>
      <w:kern w:val="0"/>
      <w:szCs w:val="20"/>
    </w:rPr>
  </w:style>
  <w:style w:type="character" w:customStyle="1" w:styleId="216">
    <w:name w:val="正文文本缩进 2 字符"/>
    <w:basedOn w:val="42"/>
    <w:link w:val="25"/>
    <w:qFormat/>
    <w:uiPriority w:val="0"/>
    <w:rPr>
      <w:rFonts w:ascii="Times New Roman" w:hAnsi="Times New Roman" w:eastAsia="宋体" w:cs="Times New Roman"/>
      <w:szCs w:val="24"/>
    </w:rPr>
  </w:style>
  <w:style w:type="paragraph" w:customStyle="1" w:styleId="217">
    <w:name w:val="首行缩进二字"/>
    <w:basedOn w:val="1"/>
    <w:next w:val="19"/>
    <w:qFormat/>
    <w:uiPriority w:val="0"/>
    <w:pPr>
      <w:spacing w:before="240" w:beforeLines="100" w:line="360" w:lineRule="atLeast"/>
      <w:ind w:firstLine="454"/>
    </w:pPr>
    <w:rPr>
      <w:rFonts w:ascii="宋体" w:hAnsi="Times New Roman" w:eastAsia="宋体" w:cs="Times New Roman"/>
      <w:sz w:val="21"/>
      <w:szCs w:val="24"/>
    </w:rPr>
  </w:style>
  <w:style w:type="character" w:customStyle="1" w:styleId="218">
    <w:name w:val="Char Char"/>
    <w:qFormat/>
    <w:uiPriority w:val="0"/>
    <w:rPr>
      <w:rFonts w:eastAsia="宋体"/>
      <w:kern w:val="2"/>
      <w:sz w:val="21"/>
      <w:szCs w:val="24"/>
      <w:lang w:val="en-US" w:eastAsia="zh-CN" w:bidi="ar-SA"/>
    </w:rPr>
  </w:style>
  <w:style w:type="paragraph" w:customStyle="1" w:styleId="219">
    <w:name w:val="Default Text"/>
    <w:basedOn w:val="1"/>
    <w:qFormat/>
    <w:uiPriority w:val="0"/>
    <w:pPr>
      <w:spacing w:line="240" w:lineRule="auto"/>
      <w:jc w:val="left"/>
    </w:pPr>
    <w:rPr>
      <w:rFonts w:ascii="Times New Roman" w:hAnsi="Times New Roman" w:eastAsia="宋体" w:cs="Times New Roman"/>
      <w:kern w:val="0"/>
      <w:szCs w:val="20"/>
      <w:lang w:eastAsia="en-US"/>
    </w:rPr>
  </w:style>
  <w:style w:type="character" w:customStyle="1" w:styleId="220">
    <w:name w:val="H2 Char"/>
    <w:qFormat/>
    <w:uiPriority w:val="0"/>
    <w:rPr>
      <w:rFonts w:ascii="Arial" w:hAnsi="Arial" w:eastAsia="宋体"/>
      <w:b/>
      <w:bCs/>
      <w:kern w:val="2"/>
      <w:sz w:val="32"/>
      <w:szCs w:val="32"/>
      <w:lang w:val="en-US" w:eastAsia="zh-CN" w:bidi="ar-SA"/>
    </w:rPr>
  </w:style>
  <w:style w:type="paragraph" w:customStyle="1" w:styleId="221">
    <w:name w:val="msonormal"/>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customStyle="1" w:styleId="222">
    <w:name w:val="列出段落11"/>
    <w:basedOn w:val="1"/>
    <w:qFormat/>
    <w:uiPriority w:val="0"/>
    <w:pPr>
      <w:spacing w:line="240" w:lineRule="auto"/>
      <w:ind w:firstLine="420" w:firstLineChars="200"/>
    </w:pPr>
    <w:rPr>
      <w:rFonts w:ascii="Calibri" w:hAnsi="Calibri" w:eastAsia="宋体" w:cs="黑体"/>
      <w:sz w:val="21"/>
    </w:rPr>
  </w:style>
  <w:style w:type="paragraph" w:customStyle="1" w:styleId="223">
    <w:name w:val="TOC Heading"/>
    <w:basedOn w:val="2"/>
    <w:next w:val="1"/>
    <w:qFormat/>
    <w:uiPriority w:val="0"/>
    <w:pPr>
      <w:widowControl/>
      <w:numPr>
        <w:numId w:val="0"/>
      </w:numPr>
      <w:spacing w:before="480" w:after="0" w:line="276" w:lineRule="auto"/>
      <w:ind w:left="420" w:hanging="420"/>
      <w:jc w:val="left"/>
      <w:outlineLvl w:val="9"/>
    </w:pPr>
    <w:rPr>
      <w:rFonts w:ascii="Cambria" w:hAnsi="Cambria"/>
      <w:color w:val="365F91"/>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4914C-AC86-4075-BF10-4EE767DDC035}">
  <ds:schemaRefs/>
</ds:datastoreItem>
</file>

<file path=docProps/app.xml><?xml version="1.0" encoding="utf-8"?>
<Properties xmlns="http://schemas.openxmlformats.org/officeDocument/2006/extended-properties" xmlns:vt="http://schemas.openxmlformats.org/officeDocument/2006/docPropsVTypes">
  <Template>Normal</Template>
  <Pages>31</Pages>
  <Words>2759</Words>
  <Characters>15727</Characters>
  <Lines>131</Lines>
  <Paragraphs>36</Paragraphs>
  <TotalTime>254</TotalTime>
  <ScaleCrop>false</ScaleCrop>
  <LinksUpToDate>false</LinksUpToDate>
  <CharactersWithSpaces>18450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2018-11-28T06:54:00Z</dcterms:created>
  <dc:creator>luojun</dc:creator>
  <cp:lastModifiedBy>庞延辉</cp:lastModifiedBy>
  <dcterms:modified xsi:type="dcterms:W3CDTF">2025-06-30T07:55:36Z</dcterms:modified>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99672433214A4369B2652BF7751D8CA7</vt:lpwstr>
  </property>
</Properties>
</file>