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2E17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武汉教育</w:t>
      </w:r>
      <w:r>
        <w:rPr>
          <w:rFonts w:hint="eastAsia" w:ascii="方正小标宋简体" w:hAnsi="方正小标宋简体" w:eastAsia="方正小标宋简体" w:cs="方正小标宋简体"/>
          <w:sz w:val="36"/>
          <w:szCs w:val="36"/>
          <w:lang w:eastAsia="zh-CN"/>
        </w:rPr>
        <w:t>大数据体系（教育</w:t>
      </w:r>
      <w:r>
        <w:rPr>
          <w:rFonts w:hint="eastAsia" w:ascii="方正小标宋简体" w:hAnsi="方正小标宋简体" w:eastAsia="方正小标宋简体" w:cs="方正小标宋简体"/>
          <w:sz w:val="36"/>
          <w:szCs w:val="36"/>
        </w:rPr>
        <w:t>综合管理</w:t>
      </w:r>
      <w:r>
        <w:rPr>
          <w:rFonts w:hint="eastAsia" w:ascii="方正小标宋简体" w:hAnsi="方正小标宋简体" w:eastAsia="方正小标宋简体" w:cs="方正小标宋简体"/>
          <w:sz w:val="36"/>
          <w:szCs w:val="36"/>
          <w:lang w:eastAsia="zh-CN"/>
        </w:rPr>
        <w:t>）建设</w:t>
      </w:r>
      <w:r>
        <w:rPr>
          <w:rFonts w:hint="eastAsia" w:ascii="方正小标宋简体" w:hAnsi="方正小标宋简体" w:eastAsia="方正小标宋简体" w:cs="方正小标宋简体"/>
          <w:sz w:val="36"/>
          <w:szCs w:val="36"/>
        </w:rPr>
        <w:t>项目</w:t>
      </w:r>
      <w:r>
        <w:rPr>
          <w:rFonts w:hint="eastAsia" w:ascii="方正小标宋简体" w:hAnsi="方正小标宋简体" w:eastAsia="方正小标宋简体" w:cs="方正小标宋简体"/>
          <w:sz w:val="36"/>
          <w:szCs w:val="36"/>
          <w:lang w:eastAsia="zh-CN"/>
        </w:rPr>
        <w:t>三级</w:t>
      </w:r>
      <w:r>
        <w:rPr>
          <w:rFonts w:hint="eastAsia" w:ascii="方正小标宋简体" w:hAnsi="方正小标宋简体" w:eastAsia="方正小标宋简体" w:cs="方正小标宋简体"/>
          <w:sz w:val="36"/>
          <w:szCs w:val="36"/>
        </w:rPr>
        <w:t>等保测评</w:t>
      </w:r>
      <w:r>
        <w:rPr>
          <w:rFonts w:hint="eastAsia" w:ascii="方正小标宋简体" w:hAnsi="方正小标宋简体" w:eastAsia="方正小标宋简体" w:cs="方正小标宋简体"/>
          <w:sz w:val="36"/>
          <w:szCs w:val="36"/>
          <w:lang w:eastAsia="zh-CN"/>
        </w:rPr>
        <w:t>和</w:t>
      </w:r>
      <w:r>
        <w:rPr>
          <w:rFonts w:hint="eastAsia" w:ascii="方正小标宋简体" w:hAnsi="方正小标宋简体" w:eastAsia="方正小标宋简体" w:cs="方正小标宋简体"/>
          <w:sz w:val="36"/>
          <w:szCs w:val="36"/>
        </w:rPr>
        <w:t>商用密码应用安全性评估服务采购需求</w:t>
      </w:r>
    </w:p>
    <w:p w14:paraId="74741606">
      <w:pPr>
        <w:keepNext w:val="0"/>
        <w:keepLines w:val="0"/>
        <w:pageBreakBefore w:val="0"/>
        <w:widowControl/>
        <w:kinsoku/>
        <w:wordWrap/>
        <w:overflowPunct/>
        <w:topLinePunct w:val="0"/>
        <w:autoSpaceDE/>
        <w:autoSpaceDN/>
        <w:bidi w:val="0"/>
        <w:adjustRightInd/>
        <w:snapToGrid/>
        <w:spacing w:before="157" w:beforeLines="50" w:line="540" w:lineRule="exact"/>
        <w:ind w:left="0" w:leftChars="0" w:firstLine="560" w:firstLineChars="200"/>
        <w:jc w:val="left"/>
        <w:textAlignment w:val="auto"/>
        <w:rPr>
          <w:rFonts w:hint="eastAsia" w:ascii="方正黑体_GBK" w:hAnsi="方正黑体_GBK" w:eastAsia="方正黑体_GBK" w:cs="方正黑体_GBK"/>
          <w:bCs w:val="0"/>
          <w:sz w:val="28"/>
          <w:szCs w:val="28"/>
        </w:rPr>
      </w:pPr>
      <w:r>
        <w:rPr>
          <w:rFonts w:hint="eastAsia" w:ascii="方正黑体_GBK" w:hAnsi="方正黑体_GBK" w:eastAsia="方正黑体_GBK" w:cs="方正黑体_GBK"/>
          <w:bCs w:val="0"/>
          <w:sz w:val="28"/>
          <w:szCs w:val="28"/>
        </w:rPr>
        <w:t>一、资格要求</w:t>
      </w:r>
      <w:r>
        <w:rPr>
          <w:rFonts w:hint="eastAsia" w:ascii="方正黑体_GBK" w:hAnsi="方正黑体_GBK" w:eastAsia="方正黑体_GBK" w:cs="方正黑体_GBK"/>
          <w:bCs w:val="0"/>
          <w:sz w:val="28"/>
          <w:szCs w:val="28"/>
        </w:rPr>
        <w:tab/>
      </w:r>
    </w:p>
    <w:p w14:paraId="247DDE9D">
      <w:pPr>
        <w:keepNext w:val="0"/>
        <w:keepLines w:val="0"/>
        <w:pageBreakBefore w:val="0"/>
        <w:kinsoku/>
        <w:wordWrap/>
        <w:overflowPunct/>
        <w:topLinePunct w:val="0"/>
        <w:autoSpaceDE/>
        <w:autoSpaceDN/>
        <w:bidi w:val="0"/>
        <w:spacing w:line="540" w:lineRule="exact"/>
        <w:ind w:firstLine="560" w:firstLineChars="200"/>
        <w:textAlignment w:val="auto"/>
        <w:rPr>
          <w:rFonts w:hint="eastAsia" w:ascii="方正仿宋_GBK" w:hAnsi="方正仿宋_GBK" w:eastAsia="方正仿宋_GBK" w:cs="方正仿宋_GBK"/>
          <w:color w:val="000000"/>
          <w:kern w:val="0"/>
          <w:sz w:val="28"/>
          <w:szCs w:val="28"/>
          <w:lang w:bidi="ar"/>
        </w:rPr>
      </w:pPr>
      <w:r>
        <w:rPr>
          <w:rFonts w:hint="eastAsia" w:ascii="方正仿宋_GBK" w:hAnsi="方正仿宋_GBK" w:eastAsia="方正仿宋_GBK" w:cs="方正仿宋_GBK"/>
          <w:color w:val="000000"/>
          <w:kern w:val="0"/>
          <w:sz w:val="28"/>
          <w:szCs w:val="28"/>
          <w:lang w:eastAsia="zh-CN" w:bidi="ar"/>
        </w:rPr>
        <w:t>（一）</w:t>
      </w:r>
      <w:r>
        <w:rPr>
          <w:rFonts w:hint="eastAsia" w:ascii="方正仿宋_GBK" w:hAnsi="方正仿宋_GBK" w:eastAsia="方正仿宋_GBK" w:cs="方正仿宋_GBK"/>
          <w:color w:val="000000"/>
          <w:kern w:val="0"/>
          <w:sz w:val="28"/>
          <w:szCs w:val="28"/>
          <w:lang w:bidi="ar"/>
        </w:rPr>
        <w:t>投标人应具备《政府采购法》第二十二条规定的相关条件；</w:t>
      </w:r>
    </w:p>
    <w:p w14:paraId="390C6093">
      <w:pPr>
        <w:keepNext w:val="0"/>
        <w:keepLines w:val="0"/>
        <w:pageBreakBefore w:val="0"/>
        <w:kinsoku/>
        <w:wordWrap/>
        <w:overflowPunct/>
        <w:topLinePunct w:val="0"/>
        <w:autoSpaceDE/>
        <w:autoSpaceDN/>
        <w:bidi w:val="0"/>
        <w:spacing w:line="540" w:lineRule="exact"/>
        <w:ind w:firstLine="560" w:firstLineChars="200"/>
        <w:textAlignment w:val="auto"/>
        <w:rPr>
          <w:rFonts w:hint="eastAsia" w:ascii="方正仿宋_GBK" w:hAnsi="方正仿宋_GBK" w:eastAsia="方正仿宋_GBK" w:cs="方正仿宋_GBK"/>
          <w:color w:val="000000"/>
          <w:kern w:val="0"/>
          <w:sz w:val="28"/>
          <w:szCs w:val="28"/>
          <w:lang w:bidi="ar"/>
        </w:rPr>
      </w:pPr>
      <w:r>
        <w:rPr>
          <w:rFonts w:hint="eastAsia" w:ascii="方正仿宋_GBK" w:hAnsi="方正仿宋_GBK" w:eastAsia="方正仿宋_GBK" w:cs="方正仿宋_GBK"/>
          <w:color w:val="000000"/>
          <w:kern w:val="0"/>
          <w:sz w:val="28"/>
          <w:szCs w:val="28"/>
          <w:lang w:eastAsia="zh-CN" w:bidi="ar"/>
        </w:rPr>
        <w:t>（二）</w:t>
      </w:r>
      <w:r>
        <w:rPr>
          <w:rFonts w:hint="eastAsia" w:ascii="方正仿宋_GBK" w:hAnsi="方正仿宋_GBK" w:eastAsia="方正仿宋_GBK" w:cs="方正仿宋_GBK"/>
          <w:color w:val="000000"/>
          <w:kern w:val="0"/>
          <w:sz w:val="28"/>
          <w:szCs w:val="28"/>
          <w:lang w:bidi="ar"/>
        </w:rPr>
        <w:t>投标人应具备公安部第三研究所认证发放的有效《网络安全服务认证证书等级保护测评服务认证</w:t>
      </w:r>
      <w:bookmarkStart w:id="4" w:name="_GoBack"/>
      <w:bookmarkEnd w:id="4"/>
      <w:r>
        <w:rPr>
          <w:rFonts w:hint="eastAsia" w:ascii="方正仿宋_GBK" w:hAnsi="方正仿宋_GBK" w:eastAsia="方正仿宋_GBK" w:cs="方正仿宋_GBK"/>
          <w:color w:val="000000"/>
          <w:kern w:val="0"/>
          <w:sz w:val="28"/>
          <w:szCs w:val="28"/>
          <w:lang w:bidi="ar"/>
        </w:rPr>
        <w:t>》</w:t>
      </w:r>
    </w:p>
    <w:p w14:paraId="0BD1FF63">
      <w:pPr>
        <w:keepNext w:val="0"/>
        <w:keepLines w:val="0"/>
        <w:pageBreakBefore w:val="0"/>
        <w:kinsoku/>
        <w:wordWrap/>
        <w:overflowPunct/>
        <w:topLinePunct w:val="0"/>
        <w:autoSpaceDE/>
        <w:autoSpaceDN/>
        <w:bidi w:val="0"/>
        <w:spacing w:line="540" w:lineRule="exact"/>
        <w:ind w:firstLine="560" w:firstLineChars="200"/>
        <w:textAlignment w:val="auto"/>
        <w:rPr>
          <w:rFonts w:hint="eastAsia" w:ascii="方正仿宋_GBK" w:hAnsi="方正仿宋_GBK" w:eastAsia="方正仿宋_GBK" w:cs="方正仿宋_GBK"/>
          <w:color w:val="000000"/>
          <w:kern w:val="0"/>
          <w:sz w:val="28"/>
          <w:szCs w:val="28"/>
          <w:lang w:bidi="ar"/>
        </w:rPr>
      </w:pPr>
      <w:r>
        <w:rPr>
          <w:rFonts w:hint="eastAsia" w:ascii="方正仿宋_GBK" w:hAnsi="方正仿宋_GBK" w:eastAsia="方正仿宋_GBK" w:cs="方正仿宋_GBK"/>
          <w:color w:val="000000"/>
          <w:kern w:val="0"/>
          <w:sz w:val="28"/>
          <w:szCs w:val="28"/>
          <w:lang w:eastAsia="zh-CN" w:bidi="ar"/>
        </w:rPr>
        <w:t>（三）</w:t>
      </w:r>
      <w:r>
        <w:rPr>
          <w:rFonts w:hint="eastAsia" w:ascii="方正仿宋_GBK" w:hAnsi="方正仿宋_GBK" w:eastAsia="方正仿宋_GBK" w:cs="方正仿宋_GBK"/>
          <w:color w:val="000000"/>
          <w:kern w:val="0"/>
          <w:sz w:val="28"/>
          <w:szCs w:val="28"/>
          <w:lang w:bidi="ar"/>
        </w:rPr>
        <w:t>投标人应具备国家密码局颁发的《商用密码检测机构资质证书》。</w:t>
      </w:r>
    </w:p>
    <w:p w14:paraId="1A6DF5AF">
      <w:pPr>
        <w:keepNext w:val="0"/>
        <w:keepLines w:val="0"/>
        <w:pageBreakBefore w:val="0"/>
        <w:kinsoku/>
        <w:wordWrap/>
        <w:overflowPunct/>
        <w:topLinePunct w:val="0"/>
        <w:autoSpaceDE/>
        <w:autoSpaceDN/>
        <w:bidi w:val="0"/>
        <w:spacing w:line="540" w:lineRule="exact"/>
        <w:ind w:firstLine="560" w:firstLineChars="200"/>
        <w:textAlignment w:val="auto"/>
        <w:rPr>
          <w:rFonts w:hint="eastAsia" w:ascii="方正仿宋_GBK" w:hAnsi="方正仿宋_GBK" w:eastAsia="方正仿宋_GBK" w:cs="方正仿宋_GBK"/>
          <w:color w:val="000000"/>
          <w:kern w:val="0"/>
          <w:sz w:val="28"/>
          <w:szCs w:val="28"/>
          <w:lang w:bidi="ar"/>
        </w:rPr>
      </w:pPr>
      <w:r>
        <w:rPr>
          <w:rFonts w:hint="eastAsia" w:ascii="方正仿宋_GBK" w:hAnsi="方正仿宋_GBK" w:eastAsia="方正仿宋_GBK" w:cs="方正仿宋_GBK"/>
          <w:color w:val="000000"/>
          <w:kern w:val="0"/>
          <w:sz w:val="28"/>
          <w:szCs w:val="28"/>
          <w:lang w:eastAsia="zh-CN" w:bidi="ar"/>
        </w:rPr>
        <w:t>（四）</w:t>
      </w:r>
      <w:r>
        <w:rPr>
          <w:rFonts w:hint="eastAsia" w:ascii="方正仿宋_GBK" w:hAnsi="方正仿宋_GBK" w:eastAsia="方正仿宋_GBK" w:cs="方正仿宋_GBK"/>
          <w:color w:val="000000"/>
          <w:kern w:val="0"/>
          <w:sz w:val="28"/>
          <w:szCs w:val="28"/>
          <w:lang w:bidi="ar"/>
        </w:rPr>
        <w:t>投标人参加政府采购活动前三年内未被“信用中国”网站(www.creditchina.gov.cn)列入失信被执行人、重大税收违法案件当事人、政府采购严重违法失信行为记录名单和未被“中国政府采购”网站（www.ccgp.gov.cn）列入政府采购严重违法失信行为记录名单；</w:t>
      </w:r>
    </w:p>
    <w:p w14:paraId="077709B4">
      <w:pPr>
        <w:keepNext w:val="0"/>
        <w:keepLines w:val="0"/>
        <w:pageBreakBefore w:val="0"/>
        <w:kinsoku/>
        <w:wordWrap/>
        <w:overflowPunct/>
        <w:topLinePunct w:val="0"/>
        <w:autoSpaceDE/>
        <w:autoSpaceDN/>
        <w:bidi w:val="0"/>
        <w:spacing w:line="540" w:lineRule="exact"/>
        <w:ind w:firstLine="560" w:firstLineChars="200"/>
        <w:textAlignment w:val="auto"/>
        <w:rPr>
          <w:rFonts w:hint="eastAsia" w:ascii="方正仿宋_GBK" w:hAnsi="方正仿宋_GBK" w:eastAsia="方正仿宋_GBK" w:cs="方正仿宋_GBK"/>
          <w:color w:val="000000"/>
          <w:kern w:val="0"/>
          <w:sz w:val="28"/>
          <w:szCs w:val="28"/>
          <w:lang w:bidi="ar"/>
        </w:rPr>
      </w:pPr>
      <w:r>
        <w:rPr>
          <w:rFonts w:hint="eastAsia" w:ascii="方正仿宋_GBK" w:hAnsi="方正仿宋_GBK" w:eastAsia="方正仿宋_GBK" w:cs="方正仿宋_GBK"/>
          <w:color w:val="000000"/>
          <w:kern w:val="0"/>
          <w:sz w:val="28"/>
          <w:szCs w:val="28"/>
          <w:lang w:eastAsia="zh-CN" w:bidi="ar"/>
        </w:rPr>
        <w:t>（五）</w:t>
      </w:r>
      <w:r>
        <w:rPr>
          <w:rFonts w:hint="eastAsia" w:ascii="方正仿宋_GBK" w:hAnsi="方正仿宋_GBK" w:eastAsia="方正仿宋_GBK" w:cs="方正仿宋_GBK"/>
          <w:color w:val="000000"/>
          <w:kern w:val="0"/>
          <w:sz w:val="28"/>
          <w:szCs w:val="28"/>
          <w:lang w:bidi="ar"/>
        </w:rPr>
        <w:t>本项目不接受联合体形式参与报价。</w:t>
      </w:r>
    </w:p>
    <w:p w14:paraId="7CBBEAAB">
      <w:pPr>
        <w:keepNext w:val="0"/>
        <w:keepLines w:val="0"/>
        <w:pageBreakBefore w:val="0"/>
        <w:widowControl/>
        <w:kinsoku/>
        <w:wordWrap/>
        <w:overflowPunct/>
        <w:topLinePunct w:val="0"/>
        <w:autoSpaceDE/>
        <w:autoSpaceDN/>
        <w:bidi w:val="0"/>
        <w:spacing w:line="540" w:lineRule="exact"/>
        <w:ind w:left="0" w:leftChars="0" w:firstLine="560" w:firstLineChars="200"/>
        <w:jc w:val="left"/>
        <w:textAlignment w:val="auto"/>
        <w:rPr>
          <w:rFonts w:hint="eastAsia" w:ascii="方正黑体_GBK" w:hAnsi="方正黑体_GBK" w:eastAsia="方正黑体_GBK" w:cs="方正黑体_GBK"/>
          <w:bCs w:val="0"/>
          <w:sz w:val="28"/>
          <w:szCs w:val="28"/>
        </w:rPr>
      </w:pPr>
      <w:bookmarkStart w:id="0" w:name="_Toc375126147"/>
      <w:bookmarkStart w:id="1" w:name="_Toc358372990"/>
      <w:r>
        <w:rPr>
          <w:rFonts w:hint="eastAsia" w:ascii="方正黑体_GBK" w:hAnsi="方正黑体_GBK" w:eastAsia="方正黑体_GBK" w:cs="方正黑体_GBK"/>
          <w:bCs w:val="0"/>
          <w:sz w:val="28"/>
          <w:szCs w:val="28"/>
        </w:rPr>
        <w:t>二</w:t>
      </w:r>
      <w:r>
        <w:rPr>
          <w:rFonts w:hint="eastAsia" w:ascii="方正黑体_GBK" w:hAnsi="方正黑体_GBK" w:eastAsia="方正黑体_GBK" w:cs="方正黑体_GBK"/>
          <w:bCs w:val="0"/>
          <w:sz w:val="28"/>
          <w:szCs w:val="28"/>
          <w:lang w:eastAsia="zh-Hans"/>
        </w:rPr>
        <w:t>、</w:t>
      </w:r>
      <w:r>
        <w:rPr>
          <w:rFonts w:hint="eastAsia" w:ascii="方正黑体_GBK" w:hAnsi="方正黑体_GBK" w:eastAsia="方正黑体_GBK" w:cs="方正黑体_GBK"/>
          <w:bCs w:val="0"/>
          <w:sz w:val="28"/>
          <w:szCs w:val="28"/>
        </w:rPr>
        <w:t>项目概况</w:t>
      </w:r>
      <w:bookmarkEnd w:id="0"/>
      <w:bookmarkEnd w:id="1"/>
    </w:p>
    <w:p w14:paraId="7730A4D2">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color w:val="000000"/>
          <w:kern w:val="0"/>
          <w:sz w:val="28"/>
          <w:szCs w:val="28"/>
          <w:lang w:bidi="ar"/>
        </w:rPr>
      </w:pPr>
      <w:r>
        <w:rPr>
          <w:rFonts w:hint="eastAsia" w:ascii="方正楷体_GBK" w:hAnsi="方正楷体_GBK" w:eastAsia="方正楷体_GBK" w:cs="方正楷体_GBK"/>
          <w:sz w:val="28"/>
          <w:szCs w:val="28"/>
          <w:lang w:val="en-US" w:eastAsia="zh-CN"/>
        </w:rPr>
        <w:t>（一）</w:t>
      </w:r>
      <w:r>
        <w:rPr>
          <w:rFonts w:hint="eastAsia" w:ascii="方正楷体_GBK" w:hAnsi="方正楷体_GBK" w:eastAsia="方正楷体_GBK" w:cs="方正楷体_GBK"/>
          <w:sz w:val="28"/>
          <w:szCs w:val="28"/>
          <w:lang w:val="en-US"/>
        </w:rPr>
        <w:t>项目名称</w:t>
      </w:r>
      <w:r>
        <w:rPr>
          <w:rFonts w:hint="eastAsia" w:ascii="方正楷体_GBK" w:hAnsi="方正楷体_GBK" w:eastAsia="方正楷体_GBK" w:cs="方正楷体_GBK"/>
          <w:sz w:val="28"/>
          <w:szCs w:val="28"/>
          <w:lang w:val="en-US" w:eastAsia="zh-CN"/>
        </w:rPr>
        <w:t>：</w:t>
      </w:r>
      <w:r>
        <w:rPr>
          <w:rFonts w:hint="eastAsia" w:ascii="方正仿宋_GBK" w:hAnsi="方正仿宋_GBK" w:eastAsia="方正仿宋_GBK" w:cs="方正仿宋_GBK"/>
          <w:color w:val="000000"/>
          <w:kern w:val="0"/>
          <w:sz w:val="28"/>
          <w:szCs w:val="28"/>
          <w:lang w:bidi="ar"/>
        </w:rPr>
        <w:t>武汉</w:t>
      </w:r>
      <w:r>
        <w:rPr>
          <w:rFonts w:hint="eastAsia" w:ascii="方正仿宋_GBK" w:hAnsi="方正仿宋_GBK" w:eastAsia="方正仿宋_GBK" w:cs="方正仿宋_GBK"/>
          <w:color w:val="000000"/>
          <w:kern w:val="0"/>
          <w:sz w:val="28"/>
          <w:szCs w:val="28"/>
          <w:lang w:eastAsia="zh-CN" w:bidi="ar"/>
        </w:rPr>
        <w:t>教育大数据体系（</w:t>
      </w:r>
      <w:r>
        <w:rPr>
          <w:rFonts w:hint="eastAsia" w:ascii="方正仿宋_GBK" w:hAnsi="方正仿宋_GBK" w:eastAsia="方正仿宋_GBK" w:cs="方正仿宋_GBK"/>
          <w:color w:val="000000"/>
          <w:kern w:val="0"/>
          <w:sz w:val="28"/>
          <w:szCs w:val="28"/>
          <w:lang w:bidi="ar"/>
        </w:rPr>
        <w:t>教育综合管理</w:t>
      </w:r>
      <w:r>
        <w:rPr>
          <w:rFonts w:hint="eastAsia" w:ascii="方正仿宋_GBK" w:hAnsi="方正仿宋_GBK" w:eastAsia="方正仿宋_GBK" w:cs="方正仿宋_GBK"/>
          <w:color w:val="000000"/>
          <w:kern w:val="0"/>
          <w:sz w:val="28"/>
          <w:szCs w:val="28"/>
          <w:lang w:eastAsia="zh-CN" w:bidi="ar"/>
        </w:rPr>
        <w:t>）建设</w:t>
      </w:r>
      <w:r>
        <w:rPr>
          <w:rFonts w:hint="eastAsia" w:ascii="方正仿宋_GBK" w:hAnsi="方正仿宋_GBK" w:eastAsia="方正仿宋_GBK" w:cs="方正仿宋_GBK"/>
          <w:color w:val="000000"/>
          <w:kern w:val="0"/>
          <w:sz w:val="28"/>
          <w:szCs w:val="28"/>
          <w:lang w:bidi="ar"/>
        </w:rPr>
        <w:t>项目</w:t>
      </w:r>
      <w:r>
        <w:rPr>
          <w:rFonts w:hint="eastAsia" w:ascii="方正仿宋_GBK" w:hAnsi="方正仿宋_GBK" w:eastAsia="方正仿宋_GBK" w:cs="方正仿宋_GBK"/>
          <w:color w:val="000000"/>
          <w:kern w:val="0"/>
          <w:sz w:val="28"/>
          <w:szCs w:val="28"/>
          <w:lang w:eastAsia="zh-CN" w:bidi="ar"/>
        </w:rPr>
        <w:t>三级</w:t>
      </w:r>
      <w:r>
        <w:rPr>
          <w:rFonts w:hint="eastAsia" w:ascii="方正仿宋_GBK" w:hAnsi="方正仿宋_GBK" w:eastAsia="方正仿宋_GBK" w:cs="方正仿宋_GBK"/>
          <w:color w:val="000000"/>
          <w:kern w:val="0"/>
          <w:sz w:val="28"/>
          <w:szCs w:val="28"/>
          <w:lang w:bidi="ar"/>
        </w:rPr>
        <w:t>等保测评</w:t>
      </w:r>
      <w:r>
        <w:rPr>
          <w:rFonts w:hint="eastAsia" w:ascii="方正仿宋_GBK" w:hAnsi="方正仿宋_GBK" w:eastAsia="方正仿宋_GBK" w:cs="方正仿宋_GBK"/>
          <w:color w:val="000000"/>
          <w:kern w:val="0"/>
          <w:sz w:val="28"/>
          <w:szCs w:val="28"/>
          <w:lang w:eastAsia="zh-CN" w:bidi="ar"/>
        </w:rPr>
        <w:t>和</w:t>
      </w:r>
      <w:r>
        <w:rPr>
          <w:rFonts w:hint="eastAsia" w:ascii="方正仿宋_GBK" w:hAnsi="方正仿宋_GBK" w:eastAsia="方正仿宋_GBK" w:cs="方正仿宋_GBK"/>
          <w:color w:val="000000"/>
          <w:kern w:val="0"/>
          <w:sz w:val="28"/>
          <w:szCs w:val="28"/>
          <w:lang w:bidi="ar"/>
        </w:rPr>
        <w:t>商用密码应用安全性评估服务。</w:t>
      </w:r>
    </w:p>
    <w:p w14:paraId="20301137">
      <w:pPr>
        <w:keepNext w:val="0"/>
        <w:keepLines w:val="0"/>
        <w:pageBreakBefore w:val="0"/>
        <w:widowControl/>
        <w:kinsoku/>
        <w:wordWrap/>
        <w:overflowPunct/>
        <w:topLinePunct w:val="0"/>
        <w:autoSpaceDE/>
        <w:autoSpaceDN/>
        <w:bidi w:val="0"/>
        <w:spacing w:line="540" w:lineRule="exact"/>
        <w:ind w:firstLine="560" w:firstLineChars="200"/>
        <w:jc w:val="left"/>
        <w:textAlignment w:val="auto"/>
        <w:rPr>
          <w:rFonts w:hint="eastAsia" w:ascii="宋体" w:hAnsi="宋体" w:cs="宋体"/>
          <w:color w:val="000000"/>
          <w:kern w:val="0"/>
          <w:sz w:val="28"/>
          <w:szCs w:val="28"/>
          <w:lang w:bidi="ar"/>
        </w:rPr>
      </w:pPr>
    </w:p>
    <w:tbl>
      <w:tblPr>
        <w:tblStyle w:val="15"/>
        <w:tblW w:w="8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2853"/>
        <w:gridCol w:w="2723"/>
        <w:gridCol w:w="1610"/>
      </w:tblGrid>
      <w:tr w14:paraId="29A1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70" w:type="dxa"/>
            <w:tcBorders>
              <w:tl2br w:val="nil"/>
              <w:tr2bl w:val="nil"/>
            </w:tcBorders>
            <w:shd w:val="clear" w:color="auto" w:fill="BEBEBE" w:themeFill="background1" w:themeFillShade="BF"/>
            <w:vAlign w:val="center"/>
          </w:tcPr>
          <w:p w14:paraId="6F112772">
            <w:pPr>
              <w:keepNext w:val="0"/>
              <w:keepLines w:val="0"/>
              <w:pageBreakBefore w:val="0"/>
              <w:kinsoku/>
              <w:wordWrap/>
              <w:overflowPunct/>
              <w:topLinePunct w:val="0"/>
              <w:autoSpaceDE/>
              <w:autoSpaceDN/>
              <w:bidi w:val="0"/>
              <w:spacing w:line="540" w:lineRule="exact"/>
              <w:ind w:left="-57" w:leftChars="-27" w:right="-78" w:rightChars="-37"/>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序号</w:t>
            </w:r>
          </w:p>
        </w:tc>
        <w:tc>
          <w:tcPr>
            <w:tcW w:w="2853" w:type="dxa"/>
            <w:tcBorders>
              <w:tl2br w:val="nil"/>
              <w:tr2bl w:val="nil"/>
            </w:tcBorders>
            <w:shd w:val="clear" w:color="auto" w:fill="BEBEBE" w:themeFill="background1" w:themeFillShade="BF"/>
            <w:vAlign w:val="center"/>
          </w:tcPr>
          <w:p w14:paraId="002330A9">
            <w:pPr>
              <w:keepNext w:val="0"/>
              <w:keepLines w:val="0"/>
              <w:pageBreakBefore w:val="0"/>
              <w:kinsoku/>
              <w:wordWrap/>
              <w:overflowPunct/>
              <w:topLinePunct w:val="0"/>
              <w:autoSpaceDE/>
              <w:autoSpaceDN/>
              <w:bidi w:val="0"/>
              <w:spacing w:line="540" w:lineRule="exact"/>
              <w:ind w:left="-57" w:leftChars="-27" w:right="-78" w:rightChars="-37"/>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服务内容</w:t>
            </w:r>
          </w:p>
        </w:tc>
        <w:tc>
          <w:tcPr>
            <w:tcW w:w="2723" w:type="dxa"/>
            <w:tcBorders>
              <w:tl2br w:val="nil"/>
              <w:tr2bl w:val="nil"/>
            </w:tcBorders>
            <w:shd w:val="clear" w:color="auto" w:fill="BEBEBE" w:themeFill="background1" w:themeFillShade="BF"/>
            <w:vAlign w:val="center"/>
          </w:tcPr>
          <w:p w14:paraId="610E7AC4">
            <w:pPr>
              <w:keepNext w:val="0"/>
              <w:keepLines w:val="0"/>
              <w:pageBreakBefore w:val="0"/>
              <w:kinsoku/>
              <w:wordWrap/>
              <w:overflowPunct/>
              <w:topLinePunct w:val="0"/>
              <w:autoSpaceDE/>
              <w:autoSpaceDN/>
              <w:bidi w:val="0"/>
              <w:spacing w:line="540" w:lineRule="exact"/>
              <w:ind w:left="-57" w:leftChars="-27" w:right="-78" w:rightChars="-37"/>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eastAsia="zh-Hans"/>
              </w:rPr>
              <w:t>系统名称</w:t>
            </w:r>
          </w:p>
        </w:tc>
        <w:tc>
          <w:tcPr>
            <w:tcW w:w="1610" w:type="dxa"/>
            <w:tcBorders>
              <w:tl2br w:val="nil"/>
              <w:tr2bl w:val="nil"/>
            </w:tcBorders>
            <w:shd w:val="clear" w:color="auto" w:fill="BEBEBE" w:themeFill="background1" w:themeFillShade="BF"/>
            <w:vAlign w:val="center"/>
          </w:tcPr>
          <w:p w14:paraId="038893F7">
            <w:pPr>
              <w:keepNext w:val="0"/>
              <w:keepLines w:val="0"/>
              <w:pageBreakBefore w:val="0"/>
              <w:kinsoku/>
              <w:wordWrap/>
              <w:overflowPunct/>
              <w:topLinePunct w:val="0"/>
              <w:autoSpaceDE/>
              <w:autoSpaceDN/>
              <w:bidi w:val="0"/>
              <w:spacing w:line="540" w:lineRule="exact"/>
              <w:ind w:left="-57" w:leftChars="-27" w:right="-78" w:rightChars="-37"/>
              <w:jc w:val="center"/>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级别</w:t>
            </w:r>
          </w:p>
        </w:tc>
      </w:tr>
      <w:tr w14:paraId="7EA6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70" w:type="dxa"/>
            <w:tcBorders>
              <w:tl2br w:val="nil"/>
              <w:tr2bl w:val="nil"/>
            </w:tcBorders>
            <w:vAlign w:val="center"/>
          </w:tcPr>
          <w:p w14:paraId="639B2F15">
            <w:pPr>
              <w:keepNext w:val="0"/>
              <w:keepLines w:val="0"/>
              <w:pageBreakBefore w:val="0"/>
              <w:widowControl/>
              <w:kinsoku/>
              <w:wordWrap/>
              <w:overflowPunct/>
              <w:topLinePunct w:val="0"/>
              <w:autoSpaceDE/>
              <w:autoSpaceDN/>
              <w:bidi w:val="0"/>
              <w:spacing w:after="200" w:line="540" w:lineRule="exact"/>
              <w:ind w:right="-48" w:rightChars="-23"/>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2853" w:type="dxa"/>
            <w:tcBorders>
              <w:tl2br w:val="nil"/>
              <w:tr2bl w:val="nil"/>
            </w:tcBorders>
            <w:vAlign w:val="center"/>
          </w:tcPr>
          <w:p w14:paraId="536A372F">
            <w:pPr>
              <w:keepNext w:val="0"/>
              <w:keepLines w:val="0"/>
              <w:pageBreakBefore w:val="0"/>
              <w:widowControl/>
              <w:kinsoku/>
              <w:wordWrap/>
              <w:overflowPunct/>
              <w:topLinePunct w:val="0"/>
              <w:autoSpaceDE/>
              <w:autoSpaceDN/>
              <w:bidi w:val="0"/>
              <w:adjustRightInd/>
              <w:snapToGrid/>
              <w:spacing w:after="200" w:line="540" w:lineRule="exact"/>
              <w:ind w:right="-48" w:rightChars="-23"/>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网络安全等级测评</w:t>
            </w:r>
          </w:p>
        </w:tc>
        <w:tc>
          <w:tcPr>
            <w:tcW w:w="2723" w:type="dxa"/>
            <w:vMerge w:val="restart"/>
            <w:tcBorders>
              <w:tl2br w:val="nil"/>
              <w:tr2bl w:val="nil"/>
            </w:tcBorders>
            <w:vAlign w:val="center"/>
          </w:tcPr>
          <w:p w14:paraId="2CD3D7E6">
            <w:pPr>
              <w:keepNext w:val="0"/>
              <w:keepLines w:val="0"/>
              <w:pageBreakBefore w:val="0"/>
              <w:widowControl/>
              <w:kinsoku/>
              <w:wordWrap/>
              <w:overflowPunct/>
              <w:topLinePunct w:val="0"/>
              <w:autoSpaceDE/>
              <w:autoSpaceDN/>
              <w:bidi w:val="0"/>
              <w:adjustRightInd/>
              <w:snapToGrid/>
              <w:spacing w:line="540" w:lineRule="exact"/>
              <w:jc w:val="center"/>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武汉教育</w:t>
            </w:r>
            <w:r>
              <w:rPr>
                <w:rFonts w:hint="eastAsia" w:ascii="方正仿宋_GBK" w:hAnsi="方正仿宋_GBK" w:eastAsia="方正仿宋_GBK" w:cs="方正仿宋_GBK"/>
                <w:sz w:val="28"/>
                <w:szCs w:val="28"/>
                <w:lang w:eastAsia="zh-CN"/>
              </w:rPr>
              <w:t>大数据体系（教育</w:t>
            </w:r>
            <w:r>
              <w:rPr>
                <w:rFonts w:hint="eastAsia" w:ascii="方正仿宋_GBK" w:hAnsi="方正仿宋_GBK" w:eastAsia="方正仿宋_GBK" w:cs="方正仿宋_GBK"/>
                <w:sz w:val="28"/>
                <w:szCs w:val="28"/>
              </w:rPr>
              <w:t>综合管理</w:t>
            </w:r>
            <w:r>
              <w:rPr>
                <w:rFonts w:hint="eastAsia" w:ascii="方正仿宋_GBK" w:hAnsi="方正仿宋_GBK" w:eastAsia="方正仿宋_GBK" w:cs="方正仿宋_GBK"/>
                <w:sz w:val="28"/>
                <w:szCs w:val="28"/>
                <w:lang w:eastAsia="zh-CN"/>
              </w:rPr>
              <w:t>）</w:t>
            </w:r>
          </w:p>
        </w:tc>
        <w:tc>
          <w:tcPr>
            <w:tcW w:w="1610" w:type="dxa"/>
            <w:tcBorders>
              <w:tl2br w:val="nil"/>
              <w:tr2bl w:val="nil"/>
            </w:tcBorders>
            <w:vAlign w:val="center"/>
          </w:tcPr>
          <w:p w14:paraId="560E5384">
            <w:pPr>
              <w:keepNext w:val="0"/>
              <w:keepLines w:val="0"/>
              <w:pageBreakBefore w:val="0"/>
              <w:kinsoku/>
              <w:wordWrap/>
              <w:overflowPunct/>
              <w:topLinePunct w:val="0"/>
              <w:autoSpaceDE/>
              <w:autoSpaceDN/>
              <w:bidi w:val="0"/>
              <w:adjustRightInd w:val="0"/>
              <w:snapToGrid w:val="0"/>
              <w:spacing w:line="54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三级</w:t>
            </w:r>
          </w:p>
        </w:tc>
      </w:tr>
      <w:tr w14:paraId="115A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970" w:type="dxa"/>
            <w:tcBorders>
              <w:tl2br w:val="nil"/>
              <w:tr2bl w:val="nil"/>
            </w:tcBorders>
            <w:vAlign w:val="center"/>
          </w:tcPr>
          <w:p w14:paraId="72FCAEE5">
            <w:pPr>
              <w:keepNext w:val="0"/>
              <w:keepLines w:val="0"/>
              <w:pageBreakBefore w:val="0"/>
              <w:widowControl/>
              <w:kinsoku/>
              <w:wordWrap/>
              <w:overflowPunct/>
              <w:topLinePunct w:val="0"/>
              <w:autoSpaceDE/>
              <w:autoSpaceDN/>
              <w:bidi w:val="0"/>
              <w:spacing w:after="200" w:line="540" w:lineRule="exact"/>
              <w:ind w:right="-48" w:rightChars="-23"/>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p>
        </w:tc>
        <w:tc>
          <w:tcPr>
            <w:tcW w:w="2853" w:type="dxa"/>
            <w:tcBorders>
              <w:tl2br w:val="nil"/>
              <w:tr2bl w:val="nil"/>
            </w:tcBorders>
            <w:vAlign w:val="center"/>
          </w:tcPr>
          <w:p w14:paraId="62CE8598">
            <w:pPr>
              <w:keepNext w:val="0"/>
              <w:keepLines w:val="0"/>
              <w:pageBreakBefore w:val="0"/>
              <w:widowControl/>
              <w:kinsoku/>
              <w:wordWrap/>
              <w:overflowPunct/>
              <w:topLinePunct w:val="0"/>
              <w:autoSpaceDE/>
              <w:autoSpaceDN/>
              <w:bidi w:val="0"/>
              <w:adjustRightInd/>
              <w:snapToGrid/>
              <w:spacing w:after="200" w:line="540" w:lineRule="exact"/>
              <w:ind w:right="-48" w:rightChars="-23"/>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商用密码应用安全性评估</w:t>
            </w:r>
          </w:p>
        </w:tc>
        <w:tc>
          <w:tcPr>
            <w:tcW w:w="2723" w:type="dxa"/>
            <w:vMerge w:val="continue"/>
            <w:tcBorders>
              <w:tl2br w:val="nil"/>
              <w:tr2bl w:val="nil"/>
            </w:tcBorders>
            <w:vAlign w:val="center"/>
          </w:tcPr>
          <w:p w14:paraId="27E8028B">
            <w:pPr>
              <w:keepNext w:val="0"/>
              <w:keepLines w:val="0"/>
              <w:pageBreakBefore w:val="0"/>
              <w:kinsoku/>
              <w:wordWrap/>
              <w:overflowPunct/>
              <w:topLinePunct w:val="0"/>
              <w:autoSpaceDE/>
              <w:autoSpaceDN/>
              <w:bidi w:val="0"/>
              <w:adjustRightInd/>
              <w:snapToGrid/>
              <w:spacing w:line="540" w:lineRule="exact"/>
              <w:jc w:val="center"/>
              <w:textAlignment w:val="auto"/>
              <w:rPr>
                <w:rFonts w:hint="eastAsia" w:ascii="方正仿宋_GBK" w:hAnsi="方正仿宋_GBK" w:eastAsia="方正仿宋_GBK" w:cs="方正仿宋_GBK"/>
                <w:sz w:val="28"/>
                <w:szCs w:val="28"/>
              </w:rPr>
            </w:pPr>
          </w:p>
        </w:tc>
        <w:tc>
          <w:tcPr>
            <w:tcW w:w="1610" w:type="dxa"/>
            <w:tcBorders>
              <w:tl2br w:val="nil"/>
              <w:tr2bl w:val="nil"/>
            </w:tcBorders>
            <w:vAlign w:val="center"/>
          </w:tcPr>
          <w:p w14:paraId="0AB65EAC">
            <w:pPr>
              <w:keepNext w:val="0"/>
              <w:keepLines w:val="0"/>
              <w:pageBreakBefore w:val="0"/>
              <w:kinsoku/>
              <w:wordWrap/>
              <w:overflowPunct/>
              <w:topLinePunct w:val="0"/>
              <w:autoSpaceDE/>
              <w:autoSpaceDN/>
              <w:bidi w:val="0"/>
              <w:adjustRightInd w:val="0"/>
              <w:snapToGrid w:val="0"/>
              <w:spacing w:line="54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三级</w:t>
            </w:r>
          </w:p>
        </w:tc>
      </w:tr>
    </w:tbl>
    <w:p w14:paraId="729DD5E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default" w:ascii="方正仿宋_GBK" w:hAnsi="方正仿宋_GBK" w:eastAsia="方正仿宋_GBK" w:cs="方正仿宋_GBK"/>
          <w:color w:val="000000"/>
          <w:kern w:val="0"/>
          <w:sz w:val="28"/>
          <w:szCs w:val="28"/>
          <w:lang w:val="en-US" w:eastAsia="zh-CN" w:bidi="ar"/>
        </w:rPr>
      </w:pPr>
      <w:r>
        <w:rPr>
          <w:rFonts w:hint="eastAsia" w:ascii="方正楷体_GBK" w:hAnsi="方正楷体_GBK" w:eastAsia="方正楷体_GBK" w:cs="方正楷体_GBK"/>
          <w:sz w:val="28"/>
          <w:szCs w:val="28"/>
          <w:lang w:val="en-US" w:eastAsia="zh-CN"/>
        </w:rPr>
        <w:t>（二）</w:t>
      </w:r>
      <w:r>
        <w:rPr>
          <w:rFonts w:hint="eastAsia" w:ascii="方正楷体_GBK" w:hAnsi="方正楷体_GBK" w:eastAsia="方正楷体_GBK" w:cs="方正楷体_GBK"/>
          <w:color w:val="000000"/>
          <w:kern w:val="0"/>
          <w:sz w:val="28"/>
          <w:szCs w:val="28"/>
          <w:lang w:eastAsia="zh-CN" w:bidi="ar"/>
        </w:rPr>
        <w:t>项目预算</w:t>
      </w:r>
      <w:r>
        <w:rPr>
          <w:rFonts w:hint="eastAsia" w:ascii="方正仿宋_GBK" w:hAnsi="方正仿宋_GBK" w:eastAsia="方正仿宋_GBK" w:cs="方正仿宋_GBK"/>
          <w:color w:val="000000"/>
          <w:kern w:val="0"/>
          <w:sz w:val="28"/>
          <w:szCs w:val="28"/>
          <w:lang w:eastAsia="zh-CN" w:bidi="ar"/>
        </w:rPr>
        <w:t>：</w:t>
      </w:r>
      <w:r>
        <w:rPr>
          <w:rFonts w:hint="eastAsia" w:ascii="方正仿宋_GBK" w:hAnsi="方正仿宋_GBK" w:eastAsia="方正仿宋_GBK" w:cs="方正仿宋_GBK"/>
          <w:color w:val="000000"/>
          <w:kern w:val="0"/>
          <w:sz w:val="28"/>
          <w:szCs w:val="28"/>
          <w:lang w:val="en-US" w:eastAsia="zh-CN" w:bidi="ar"/>
        </w:rPr>
        <w:t>36万元。其中，</w:t>
      </w:r>
      <w:r>
        <w:rPr>
          <w:rFonts w:hint="eastAsia" w:ascii="方正仿宋_GBK" w:hAnsi="方正仿宋_GBK" w:eastAsia="方正仿宋_GBK" w:cs="方正仿宋_GBK"/>
          <w:sz w:val="28"/>
          <w:szCs w:val="28"/>
        </w:rPr>
        <w:t>网络安全等级测评</w:t>
      </w:r>
      <w:r>
        <w:rPr>
          <w:rFonts w:hint="eastAsia" w:ascii="方正仿宋_GBK" w:hAnsi="方正仿宋_GBK" w:eastAsia="方正仿宋_GBK" w:cs="方正仿宋_GBK"/>
          <w:sz w:val="28"/>
          <w:szCs w:val="28"/>
          <w:lang w:val="en-US" w:eastAsia="zh-CN"/>
        </w:rPr>
        <w:t>24万元，</w:t>
      </w:r>
      <w:r>
        <w:rPr>
          <w:rFonts w:hint="eastAsia" w:ascii="方正仿宋_GBK" w:hAnsi="方正仿宋_GBK" w:eastAsia="方正仿宋_GBK" w:cs="方正仿宋_GBK"/>
          <w:sz w:val="28"/>
          <w:szCs w:val="28"/>
        </w:rPr>
        <w:t>商用密码应用安全性评估</w:t>
      </w:r>
      <w:r>
        <w:rPr>
          <w:rFonts w:hint="eastAsia" w:ascii="方正仿宋_GBK" w:hAnsi="方正仿宋_GBK" w:eastAsia="方正仿宋_GBK" w:cs="方正仿宋_GBK"/>
          <w:sz w:val="28"/>
          <w:szCs w:val="28"/>
          <w:lang w:val="en-US" w:eastAsia="zh-CN"/>
        </w:rPr>
        <w:t>12万元。</w:t>
      </w:r>
    </w:p>
    <w:p w14:paraId="541CE56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楷体_GBK" w:hAnsi="方正楷体_GBK" w:eastAsia="方正楷体_GBK" w:cs="方正楷体_GBK"/>
          <w:sz w:val="28"/>
          <w:szCs w:val="28"/>
          <w:lang w:val="en-US" w:eastAsia="zh-CN"/>
        </w:rPr>
        <w:t>（三）项目工期</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满足测评环境后90个工作日内</w:t>
      </w:r>
      <w:r>
        <w:rPr>
          <w:rFonts w:hint="eastAsia" w:ascii="方正仿宋_GBK" w:hAnsi="方正仿宋_GBK" w:eastAsia="方正仿宋_GBK" w:cs="方正仿宋_GBK"/>
          <w:sz w:val="28"/>
          <w:szCs w:val="28"/>
          <w:lang w:eastAsia="zh-Hans"/>
        </w:rPr>
        <w:t>完成等级测评、</w:t>
      </w:r>
      <w:r>
        <w:rPr>
          <w:rFonts w:hint="eastAsia" w:ascii="方正仿宋_GBK" w:hAnsi="方正仿宋_GBK" w:eastAsia="方正仿宋_GBK" w:cs="方正仿宋_GBK"/>
          <w:sz w:val="28"/>
          <w:szCs w:val="28"/>
        </w:rPr>
        <w:t>商用密码应用安全性评估服务服务。</w:t>
      </w:r>
    </w:p>
    <w:p w14:paraId="73986372">
      <w:pPr>
        <w:keepNext w:val="0"/>
        <w:keepLines w:val="0"/>
        <w:pageBreakBefore w:val="0"/>
        <w:widowControl/>
        <w:kinsoku/>
        <w:wordWrap/>
        <w:overflowPunct/>
        <w:topLinePunct w:val="0"/>
        <w:autoSpaceDE/>
        <w:autoSpaceDN/>
        <w:bidi w:val="0"/>
        <w:spacing w:line="540" w:lineRule="exact"/>
        <w:ind w:left="0" w:leftChars="0" w:firstLine="560" w:firstLineChars="200"/>
        <w:jc w:val="left"/>
        <w:textAlignment w:val="auto"/>
        <w:rPr>
          <w:rFonts w:hint="eastAsia" w:ascii="方正黑体_GBK" w:hAnsi="方正黑体_GBK" w:eastAsia="方正黑体_GBK" w:cs="方正黑体_GBK"/>
          <w:bCs w:val="0"/>
          <w:sz w:val="28"/>
          <w:szCs w:val="28"/>
        </w:rPr>
      </w:pPr>
      <w:r>
        <w:rPr>
          <w:rFonts w:hint="eastAsia" w:ascii="方正黑体_GBK" w:hAnsi="方正黑体_GBK" w:eastAsia="方正黑体_GBK" w:cs="方正黑体_GBK"/>
          <w:bCs w:val="0"/>
          <w:sz w:val="28"/>
          <w:szCs w:val="28"/>
        </w:rPr>
        <w:t>三、项目需求</w:t>
      </w:r>
    </w:p>
    <w:p w14:paraId="0C5D219D">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为了贯彻和落实《中华人民共和国网络安全法》、《中华人民共和国密码法》、《中华人民共和国计算机信息系统安全保护条例》（国务院令第147号）、《国家政务信息化项目建设管理办法》、《关于进一步加强全省政务信息化项目密码应用有关工作的通知》（鄂密局发〔2021〕2号）等国家相关法规、技术标准和规范的要求，开展等级测评、商用密码应用安全性评估服务。</w:t>
      </w:r>
    </w:p>
    <w:p w14:paraId="14C71DD6">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（一）网络安全等级保护测评</w:t>
      </w:r>
    </w:p>
    <w:p w14:paraId="15DC7A9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依据《信息安全技术 网络安全等级保护基本要求》(GB/T 22239-2019)、《信息安全技术 网络安全等级保护测评要求》(GB/T 28448-2019)、《信息安全技术网络安全等级保护安全设计技术要求》（GB/T 25070-2019）、《信息安全技术信息安全风险评估规范（GB/T 20984-2007）的条款要求，逐一对重要信息系统进行安全保护定级、备案以及等级测评，开展信息系统等级保护测评工作。测评范围为项目目标所涉及的机房基础设施、网络环境、主机层面、应用层、数据库层及相关安全辅助设备与管理制度。</w:t>
      </w:r>
      <w:r>
        <w:rPr>
          <w:rFonts w:hint="eastAsia" w:ascii="方正仿宋_GBK" w:hAnsi="方正仿宋_GBK" w:eastAsia="方正仿宋_GBK" w:cs="方正仿宋_GBK"/>
          <w:sz w:val="28"/>
          <w:szCs w:val="28"/>
          <w:lang w:eastAsia="zh-CN"/>
        </w:rPr>
        <w:t>服务目标为系统最终通过公安部门及相关部门的等级保护检查要求。</w:t>
      </w:r>
    </w:p>
    <w:p w14:paraId="35D0673F">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交付物：《信息系统等级测评报告》</w:t>
      </w:r>
    </w:p>
    <w:p w14:paraId="640435D1">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楷体_GBK" w:hAnsi="方正楷体_GBK" w:eastAsia="方正楷体_GBK" w:cs="方正楷体_GBK"/>
          <w:sz w:val="28"/>
          <w:szCs w:val="28"/>
          <w:lang w:val="en-US" w:eastAsia="zh-Hans"/>
        </w:rPr>
      </w:pPr>
      <w:r>
        <w:rPr>
          <w:rFonts w:hint="eastAsia" w:ascii="方正楷体_GBK" w:hAnsi="方正楷体_GBK" w:eastAsia="方正楷体_GBK" w:cs="方正楷体_GBK"/>
          <w:sz w:val="28"/>
          <w:szCs w:val="28"/>
          <w:lang w:val="en-US" w:eastAsia="zh-CN"/>
        </w:rPr>
        <w:t>（二）</w:t>
      </w:r>
      <w:r>
        <w:rPr>
          <w:rFonts w:hint="eastAsia" w:ascii="方正楷体_GBK" w:hAnsi="方正楷体_GBK" w:eastAsia="方正楷体_GBK" w:cs="方正楷体_GBK"/>
          <w:sz w:val="28"/>
          <w:szCs w:val="28"/>
          <w:lang w:val="en-US" w:eastAsia="zh-Hans"/>
        </w:rPr>
        <w:t>商用密码应用安全性评估服务</w:t>
      </w:r>
    </w:p>
    <w:p w14:paraId="4B765145">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依据《信息系统密码应用基本要求》（GB/T 39786-2021）、政务信息系统密码应用与安全性评估工作指南（2020 版）等相关技术标准要求，开展商用密码应用安全性评估，为采购人开展密码应用方案设计，提供技术咨询及评估服务。出具商用密码应用安全性方案评估报告和商用密码应用安全性评估报告。</w:t>
      </w:r>
    </w:p>
    <w:p w14:paraId="2BC955E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1、物理和环境安全</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包括身份鉴别、电子门禁记录数据完整性、视频记录数据完整性工作单元。</w:t>
      </w:r>
    </w:p>
    <w:p w14:paraId="4AD7579F">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2、网络和通信安全</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包括身份鉴别、访问控制信息完整性、通信数据完整性、通信数据机密性、安全接入认证工作单元。</w:t>
      </w:r>
    </w:p>
    <w:p w14:paraId="13642BBD">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3、设备和计算安全</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包括身份鉴别、远程管理身份鉴别信息机密性、访问控制信息完整性、敏感标记完整性、重要程序文件完整性、日志记录完整性、重要可执行程序完整性等工作单元。</w:t>
      </w:r>
    </w:p>
    <w:p w14:paraId="515C0BBB">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4、应用和数据安全</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包括身份鉴别、访问控制、数据传输安全、数据存储安全、不可否认性等工作单元。</w:t>
      </w:r>
    </w:p>
    <w:p w14:paraId="17D9BD11">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5、密钥管理</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包括密钥生成、密钥存储、密钥分发、密钥导入与导出、密钥使用、密钥备份与恢复、密钥归档、密钥销毁等工作单元。</w:t>
      </w:r>
    </w:p>
    <w:p w14:paraId="3065A1E5">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6、安全管理</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包括制度、人员、建设、应急等工作单元。</w:t>
      </w:r>
    </w:p>
    <w:p w14:paraId="37A0E9F3">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交付物：《信息系统密码应用安全性评估报告》</w:t>
      </w:r>
    </w:p>
    <w:p w14:paraId="60075AA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楷体_GBK" w:hAnsi="方正楷体_GBK" w:eastAsia="方正楷体_GBK" w:cs="方正楷体_GBK"/>
          <w:sz w:val="28"/>
          <w:szCs w:val="28"/>
          <w:lang w:val="en-US" w:eastAsia="zh-CN"/>
        </w:rPr>
      </w:pPr>
      <w:bookmarkStart w:id="2" w:name="_Toc18492"/>
      <w:bookmarkStart w:id="3" w:name="_Toc9091"/>
      <w:r>
        <w:rPr>
          <w:rFonts w:hint="eastAsia" w:ascii="方正楷体_GBK" w:hAnsi="方正楷体_GBK" w:eastAsia="方正楷体_GBK" w:cs="方正楷体_GBK"/>
          <w:sz w:val="28"/>
          <w:szCs w:val="28"/>
          <w:lang w:val="en-US" w:eastAsia="zh-CN"/>
        </w:rPr>
        <w:t>（三）风险规避要求</w:t>
      </w:r>
    </w:p>
    <w:p w14:paraId="152C9268">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1.</w:t>
      </w:r>
      <w:r>
        <w:rPr>
          <w:rFonts w:hint="eastAsia" w:ascii="方正仿宋_GBK" w:hAnsi="方正仿宋_GBK" w:eastAsia="方正仿宋_GBK" w:cs="方正仿宋_GBK"/>
          <w:sz w:val="28"/>
          <w:szCs w:val="28"/>
        </w:rPr>
        <w:t>项目开展工作涉及到单位重要信息系统和数据，在测评过程中必须加强安全保密管理与风险控制。</w:t>
      </w:r>
    </w:p>
    <w:p w14:paraId="69F950EF">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rPr>
        <w:t>指定项目经理为专人负责评估过程中的安全保密管理工作，对人员以及相关文档和数据进行安全保密管理，对重点设备的技术检测进行监督，对接入的检测设备进行控制。</w:t>
      </w:r>
    </w:p>
    <w:p w14:paraId="1CA2C0A9">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3.</w:t>
      </w:r>
      <w:r>
        <w:rPr>
          <w:rFonts w:hint="eastAsia" w:ascii="方正仿宋_GBK" w:hAnsi="方正仿宋_GBK" w:eastAsia="方正仿宋_GBK" w:cs="方正仿宋_GBK"/>
          <w:sz w:val="28"/>
          <w:szCs w:val="28"/>
        </w:rPr>
        <w:t>项目实施人员需签订专项保密协议, 测试人员需具备测评证书或NSATP-A注册网络安全渗透评估专业人员证书。</w:t>
      </w:r>
    </w:p>
    <w:p w14:paraId="2AC5D316">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sz w:val="28"/>
          <w:szCs w:val="28"/>
        </w:rPr>
        <w:t>安全测评工作中可能出现的安全风险点，按照检测对象周密制定测评方法，根据被测评对象的不同采取相应的风险控制手段。不限于以下方法：</w:t>
      </w:r>
    </w:p>
    <w:p w14:paraId="023FB59C">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1</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操作的申请和监护</w:t>
      </w:r>
    </w:p>
    <w:p w14:paraId="6126C124">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在实施过程中必须遵守的相关操作章程，以防止敏感信息泄漏和确保及时处理意外事件。</w:t>
      </w:r>
    </w:p>
    <w:p w14:paraId="26CC6703">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操作时间控制</w:t>
      </w:r>
    </w:p>
    <w:p w14:paraId="0A989BE9">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对测评直接影响系统工作时，尽可能避开敏感时期。</w:t>
      </w:r>
    </w:p>
    <w:p w14:paraId="1BA1E781">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3</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人员与数据管理</w:t>
      </w:r>
    </w:p>
    <w:p w14:paraId="2D3AF9A2">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必须高度重视信息保密工作，加强资料管理，确保人员可靠、稳定和可控。与被测评单位之间应签署长期保密协议，测评人员与被测评单位之间也要有相应的约束和控制措施，按国家有关要求做好保密工作。</w:t>
      </w:r>
    </w:p>
    <w:p w14:paraId="4A87976A">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制定应急预案</w:t>
      </w:r>
    </w:p>
    <w:p w14:paraId="4EC895FF">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根据测评范围界定的系统情况，在实施前制定应急预案。</w:t>
      </w:r>
    </w:p>
    <w:p w14:paraId="002F4556">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5</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关键业务系统风险控制</w:t>
      </w:r>
    </w:p>
    <w:p w14:paraId="3083A4B9">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对影响较大的重要关键业务系统在无法搭建模拟环境情况下，原则上不采用测评工具，采用访谈、测评和简单测试的方式进行。</w:t>
      </w:r>
    </w:p>
    <w:p w14:paraId="455314B1">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优化扫描策略</w:t>
      </w:r>
    </w:p>
    <w:p w14:paraId="1F4D971B">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分类扫描:对不同的主机和设备类型执行不同的扫描会话，从而减少不必要的脆弱项目测试。针对扫描对象细化扫描策略：对不同类型的主机或设备，需要根据其上不同的应用和服务情况，有针对性地定制扫描策略选项。</w:t>
      </w:r>
    </w:p>
    <w:p w14:paraId="7EAAA14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7</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数据备份与恢复</w:t>
      </w:r>
    </w:p>
    <w:p w14:paraId="72F90829">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对业务系统和数据库主机，应对其上数据进行备份，防止测评过程中对设备与主机的损伤影响业务系统的正常运行。</w:t>
      </w:r>
    </w:p>
    <w:p w14:paraId="56BB0D19">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8</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厂商协作</w:t>
      </w:r>
    </w:p>
    <w:p w14:paraId="60F249D4">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厂商需要提供各应用系统的名称、版本、协议、开发语言、进程名和相应的端口号等信息，在测评之前，由三方共同分析测评对业务可能造成的风险，分析可能存在的问题。在测评过程中尽量规避这些风险。</w:t>
      </w:r>
    </w:p>
    <w:p w14:paraId="4A072A6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（四）其他要求</w:t>
      </w:r>
    </w:p>
    <w:p w14:paraId="3C3B5F50">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供应商应详细描述测评人员的组成、资质及各自职责的划分。供应商应配置有测评资质的专业人员进行本次商用密码评估工作。</w:t>
      </w:r>
    </w:p>
    <w:p w14:paraId="4CC44885">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供应商必须具备丰富的项目经验，参与评估项目人员应不少于6人，实施人员须具有等级测评师、商用密码应用安全性评估人员认证；供应商应持有中国信息安全测评中心颁发的信息安全服务资质证书（安全工程类一级）或质量管理体系认证证书(ISO9001)。</w:t>
      </w:r>
    </w:p>
    <w:p w14:paraId="211EE298">
      <w:pPr>
        <w:keepNext w:val="0"/>
        <w:keepLines w:val="0"/>
        <w:pageBreakBefore w:val="0"/>
        <w:kinsoku/>
        <w:wordWrap/>
        <w:overflowPunct/>
        <w:topLinePunct w:val="0"/>
        <w:autoSpaceDE/>
        <w:autoSpaceDN/>
        <w:bidi w:val="0"/>
        <w:spacing w:line="54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本项目需要的运行环境（如场地、网络环境等）由招标人提供，供应商应详细描述需要的运行环境的具体要求。</w:t>
      </w:r>
      <w:bookmarkEnd w:id="2"/>
      <w:bookmarkEnd w:id="3"/>
    </w:p>
    <w:sectPr>
      <w:headerReference r:id="rId4" w:type="first"/>
      <w:headerReference r:id="rId3" w:type="even"/>
      <w:pgSz w:w="11906" w:h="16838"/>
      <w:pgMar w:top="2120" w:right="1800" w:bottom="2007"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仿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HiddenHorzOCR">
    <w:altName w:val="宋体"/>
    <w:panose1 w:val="00000000000000000000"/>
    <w:charset w:val="00"/>
    <w:family w:val="auto"/>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D1BF8">
    <w:pPr>
      <w:pStyle w:val="12"/>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3C1C9">
    <w:pPr>
      <w:pStyle w:val="12"/>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1OGQ0M2UxYzZiNDFmN2NhN2RiNWFkZTExMTNiMDYifQ=="/>
  </w:docVars>
  <w:rsids>
    <w:rsidRoot w:val="00121029"/>
    <w:rsid w:val="0009670F"/>
    <w:rsid w:val="00121029"/>
    <w:rsid w:val="0014102B"/>
    <w:rsid w:val="00183F78"/>
    <w:rsid w:val="001C7EA2"/>
    <w:rsid w:val="002A355F"/>
    <w:rsid w:val="003E42F9"/>
    <w:rsid w:val="004A44A4"/>
    <w:rsid w:val="006335ED"/>
    <w:rsid w:val="006554FB"/>
    <w:rsid w:val="00701D26"/>
    <w:rsid w:val="00721A25"/>
    <w:rsid w:val="00856FE2"/>
    <w:rsid w:val="0096127D"/>
    <w:rsid w:val="00A568FF"/>
    <w:rsid w:val="00AE3D96"/>
    <w:rsid w:val="00B531FA"/>
    <w:rsid w:val="00BB769D"/>
    <w:rsid w:val="00C65EFE"/>
    <w:rsid w:val="00C66899"/>
    <w:rsid w:val="00C916E1"/>
    <w:rsid w:val="00ED53C6"/>
    <w:rsid w:val="00F303A4"/>
    <w:rsid w:val="00F63D64"/>
    <w:rsid w:val="022D1ED7"/>
    <w:rsid w:val="06F229CF"/>
    <w:rsid w:val="0A643A54"/>
    <w:rsid w:val="0D172115"/>
    <w:rsid w:val="27E26BE5"/>
    <w:rsid w:val="2B7F1D88"/>
    <w:rsid w:val="309821E5"/>
    <w:rsid w:val="36D31229"/>
    <w:rsid w:val="37B7A95D"/>
    <w:rsid w:val="3C1D3BF5"/>
    <w:rsid w:val="44483C69"/>
    <w:rsid w:val="56ADD2C8"/>
    <w:rsid w:val="59662E63"/>
    <w:rsid w:val="5F5F10C2"/>
    <w:rsid w:val="67BFA401"/>
    <w:rsid w:val="6BFDEE09"/>
    <w:rsid w:val="71603A80"/>
    <w:rsid w:val="73F774CF"/>
    <w:rsid w:val="75BF6ED2"/>
    <w:rsid w:val="77E6003D"/>
    <w:rsid w:val="7BBF3F14"/>
    <w:rsid w:val="7EDFB478"/>
    <w:rsid w:val="7EFF2886"/>
    <w:rsid w:val="9FB5CFA7"/>
    <w:rsid w:val="CDFF4215"/>
    <w:rsid w:val="DF7F0754"/>
    <w:rsid w:val="FF7627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spacing w:before="260" w:after="260" w:line="413" w:lineRule="auto"/>
      <w:jc w:val="left"/>
      <w:outlineLvl w:val="1"/>
    </w:pPr>
    <w:rPr>
      <w:rFonts w:ascii="Arial" w:hAnsi="Arial" w:eastAsia="黑体"/>
      <w:b/>
      <w:bCs/>
      <w:kern w:val="0"/>
      <w:sz w:val="32"/>
      <w:szCs w:val="32"/>
      <w:lang w:val="zh-CN"/>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Cambria" w:hAnsi="Cambria"/>
      <w:b/>
      <w:bCs/>
      <w:szCs w:val="28"/>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firstLineChars="200"/>
    </w:pPr>
    <w:rPr>
      <w:rFonts w:eastAsiaTheme="minorEastAsia"/>
      <w:sz w:val="28"/>
      <w:szCs w:val="24"/>
    </w:rPr>
  </w:style>
  <w:style w:type="paragraph" w:styleId="8">
    <w:name w:val="annotation text"/>
    <w:basedOn w:val="1"/>
    <w:unhideWhenUsed/>
    <w:qFormat/>
    <w:uiPriority w:val="0"/>
    <w:pPr>
      <w:jc w:val="left"/>
    </w:pPr>
    <w:rPr>
      <w:rFonts w:ascii="Calibri" w:hAnsi="Calibri"/>
    </w:rPr>
  </w:style>
  <w:style w:type="paragraph" w:styleId="9">
    <w:name w:val="Body Text"/>
    <w:basedOn w:val="1"/>
    <w:next w:val="1"/>
    <w:unhideWhenUsed/>
    <w:qFormat/>
    <w:uiPriority w:val="99"/>
    <w:pPr>
      <w:spacing w:after="120"/>
    </w:pPr>
    <w:rPr>
      <w:rFonts w:ascii="仿宋" w:hAnsi="仿宋"/>
    </w:rPr>
  </w:style>
  <w:style w:type="paragraph" w:styleId="10">
    <w:name w:val="Body Text Indent"/>
    <w:basedOn w:val="1"/>
    <w:qFormat/>
    <w:uiPriority w:val="0"/>
    <w:pPr>
      <w:adjustRightInd w:val="0"/>
      <w:snapToGrid w:val="0"/>
      <w:spacing w:line="460" w:lineRule="exact"/>
      <w:ind w:firstLine="480" w:firstLineChars="200"/>
    </w:pPr>
    <w:rPr>
      <w:rFonts w:ascii="宋体" w:hAnsi="宋体"/>
      <w:sz w:val="24"/>
    </w:rPr>
  </w:style>
  <w:style w:type="paragraph" w:styleId="11">
    <w:name w:val="footer"/>
    <w:basedOn w:val="1"/>
    <w:link w:val="28"/>
    <w:qFormat/>
    <w:uiPriority w:val="0"/>
    <w:pPr>
      <w:tabs>
        <w:tab w:val="center" w:pos="4153"/>
        <w:tab w:val="right" w:pos="8306"/>
      </w:tabs>
      <w:snapToGrid w:val="0"/>
      <w:jc w:val="left"/>
    </w:pPr>
    <w:rPr>
      <w:sz w:val="18"/>
      <w:szCs w:val="18"/>
    </w:rPr>
  </w:style>
  <w:style w:type="paragraph" w:styleId="12">
    <w:name w:val="header"/>
    <w:basedOn w:val="13"/>
    <w:next w:val="9"/>
    <w:qFormat/>
    <w:uiPriority w:val="99"/>
    <w:pPr>
      <w:pBdr>
        <w:bottom w:val="single" w:color="auto" w:sz="6" w:space="1"/>
      </w:pBdr>
      <w:tabs>
        <w:tab w:val="center" w:pos="4153"/>
        <w:tab w:val="right" w:pos="8306"/>
      </w:tabs>
      <w:jc w:val="center"/>
    </w:pPr>
    <w:rPr>
      <w:kern w:val="0"/>
      <w:sz w:val="18"/>
      <w:szCs w:val="18"/>
    </w:rPr>
  </w:style>
  <w:style w:type="paragraph" w:customStyle="1" w:styleId="13">
    <w:name w:val="*正文"/>
    <w:basedOn w:val="7"/>
    <w:qFormat/>
    <w:uiPriority w:val="0"/>
    <w:pPr>
      <w:overflowPunct w:val="0"/>
      <w:snapToGrid w:val="0"/>
      <w:spacing w:line="360" w:lineRule="auto"/>
      <w:ind w:firstLine="200"/>
    </w:pPr>
    <w:rPr>
      <w:rFonts w:ascii="仿宋_GB2312" w:hAnsiTheme="minorHAnsi"/>
      <w:sz w:val="24"/>
      <w:szCs w:val="22"/>
    </w:rPr>
  </w:style>
  <w:style w:type="paragraph" w:styleId="14">
    <w:name w:val="Body Text First Indent 2"/>
    <w:basedOn w:val="10"/>
    <w:qFormat/>
    <w:uiPriority w:val="0"/>
    <w:pPr>
      <w:ind w:firstLine="420"/>
    </w:pPr>
    <w:rPr>
      <w:sz w:val="21"/>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List Paragraph"/>
    <w:basedOn w:val="1"/>
    <w:qFormat/>
    <w:uiPriority w:val="34"/>
    <w:pPr>
      <w:ind w:firstLine="420" w:firstLineChars="200"/>
    </w:pPr>
    <w:rPr>
      <w:kern w:val="0"/>
      <w:sz w:val="24"/>
      <w:szCs w:val="24"/>
    </w:rPr>
  </w:style>
  <w:style w:type="paragraph" w:customStyle="1" w:styleId="19">
    <w:name w:val="标题4"/>
    <w:basedOn w:val="5"/>
    <w:qFormat/>
    <w:uiPriority w:val="0"/>
    <w:rPr>
      <w:rFonts w:ascii="Arial" w:hAnsi="Arial" w:eastAsia="黑体"/>
      <w:bCs w:val="0"/>
      <w:szCs w:val="20"/>
    </w:rPr>
  </w:style>
  <w:style w:type="paragraph" w:customStyle="1" w:styleId="20">
    <w:name w:val="正文标准样式ty"/>
    <w:basedOn w:val="1"/>
    <w:qFormat/>
    <w:uiPriority w:val="0"/>
    <w:pPr>
      <w:spacing w:line="360" w:lineRule="auto"/>
      <w:ind w:firstLine="480" w:firstLineChars="200"/>
    </w:pPr>
    <w:rPr>
      <w:sz w:val="24"/>
      <w:szCs w:val="20"/>
    </w:rPr>
  </w:style>
  <w:style w:type="character" w:customStyle="1" w:styleId="21">
    <w:name w:val="font01"/>
    <w:qFormat/>
    <w:uiPriority w:val="0"/>
    <w:rPr>
      <w:rFonts w:ascii="HiddenHorzOCR" w:hAnsi="HiddenHorzOCR" w:eastAsia="HiddenHorzOCR" w:cs="HiddenHorzOCR"/>
      <w:color w:val="6E6E74"/>
      <w:sz w:val="24"/>
      <w:szCs w:val="24"/>
      <w:u w:val="none"/>
    </w:rPr>
  </w:style>
  <w:style w:type="paragraph" w:customStyle="1" w:styleId="22">
    <w:name w:val="正文文本首行缩进 21"/>
    <w:basedOn w:val="10"/>
    <w:qFormat/>
    <w:uiPriority w:val="0"/>
    <w:pPr>
      <w:ind w:firstLine="420"/>
    </w:pPr>
  </w:style>
  <w:style w:type="paragraph" w:customStyle="1" w:styleId="23">
    <w:name w:val="Default"/>
    <w:qFormat/>
    <w:uiPriority w:val="0"/>
    <w:pPr>
      <w:widowControl w:val="0"/>
      <w:autoSpaceDE w:val="0"/>
      <w:autoSpaceDN w:val="0"/>
      <w:adjustRightInd w:val="0"/>
      <w:spacing w:after="200" w:line="276" w:lineRule="auto"/>
    </w:pPr>
    <w:rPr>
      <w:rFonts w:ascii="Cambria" w:hAnsi="Cambria" w:eastAsia="宋体" w:cs="Times New Roman"/>
      <w:color w:val="000000"/>
      <w:sz w:val="24"/>
      <w:szCs w:val="24"/>
      <w:lang w:val="en-US" w:eastAsia="zh-CN" w:bidi="ar-SA"/>
    </w:rPr>
  </w:style>
  <w:style w:type="paragraph" w:customStyle="1" w:styleId="24">
    <w:name w:val="列出段落1"/>
    <w:basedOn w:val="1"/>
    <w:qFormat/>
    <w:uiPriority w:val="0"/>
    <w:pPr>
      <w:ind w:firstLine="420" w:firstLineChars="200"/>
    </w:pPr>
  </w:style>
  <w:style w:type="paragraph" w:customStyle="1" w:styleId="25">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26">
    <w:name w:val="Normal_3"/>
    <w:qFormat/>
    <w:uiPriority w:val="0"/>
    <w:rPr>
      <w:rFonts w:ascii="Times New Roman" w:hAnsi="Times New Roman" w:eastAsia="Times New Roman" w:cs="Times New Roman"/>
      <w:sz w:val="24"/>
      <w:szCs w:val="24"/>
      <w:lang w:val="en-US" w:eastAsia="zh-CN" w:bidi="ar-SA"/>
    </w:rPr>
  </w:style>
  <w:style w:type="paragraph" w:customStyle="1" w:styleId="27">
    <w:name w:val="常用正文"/>
    <w:qFormat/>
    <w:uiPriority w:val="0"/>
    <w:pPr>
      <w:widowControl w:val="0"/>
      <w:spacing w:line="360" w:lineRule="auto"/>
      <w:ind w:firstLine="200" w:firstLineChars="200"/>
      <w:textAlignment w:val="bottom"/>
    </w:pPr>
    <w:rPr>
      <w:rFonts w:ascii="Arial" w:hAnsi="Arial" w:eastAsia="楷体_GB2312" w:cstheme="minorBidi"/>
      <w:kern w:val="2"/>
      <w:sz w:val="24"/>
      <w:szCs w:val="22"/>
      <w:lang w:val="en-US" w:eastAsia="zh-CN" w:bidi="ar-SA"/>
    </w:rPr>
  </w:style>
  <w:style w:type="character" w:customStyle="1" w:styleId="28">
    <w:name w:val="页脚 字符"/>
    <w:basedOn w:val="17"/>
    <w:link w:val="11"/>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1472</Words>
  <Characters>1561</Characters>
  <Lines>97</Lines>
  <Paragraphs>121</Paragraphs>
  <TotalTime>13</TotalTime>
  <ScaleCrop>false</ScaleCrop>
  <LinksUpToDate>false</LinksUpToDate>
  <CharactersWithSpaces>2912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2026-06-16T15:32:00Z</dcterms:created>
  <dc:creator>GaGa</dc:creator>
  <cp:lastModifiedBy>user37</cp:lastModifiedBy>
  <cp:lastPrinted>2026-06-26T10:43:44Z</cp:lastPrinted>
  <dcterms:modified xsi:type="dcterms:W3CDTF">2026-06-26T10:44:46Z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4507602B2075E59E78F6316A6D165014_43</vt:lpwstr>
  </property>
</Properties>
</file>