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FC1CA">
      <w:pPr>
        <w:jc w:val="center"/>
        <w:rPr>
          <w:rFonts w:hint="eastAsia" w:ascii="等线" w:hAnsi="等线" w:cs="等线"/>
          <w:b/>
          <w:sz w:val="44"/>
          <w:szCs w:val="44"/>
        </w:rPr>
      </w:pPr>
    </w:p>
    <w:p w14:paraId="3C2A3A46">
      <w:pPr>
        <w:jc w:val="center"/>
        <w:rPr>
          <w:rFonts w:hint="eastAsia" w:ascii="等线" w:hAnsi="等线" w:cs="等线"/>
          <w:b/>
          <w:sz w:val="44"/>
          <w:szCs w:val="44"/>
        </w:rPr>
      </w:pPr>
    </w:p>
    <w:p w14:paraId="3B0A6BBE">
      <w:pPr>
        <w:jc w:val="center"/>
        <w:rPr>
          <w:rFonts w:hint="eastAsia" w:ascii="等线" w:hAnsi="等线" w:cs="等线"/>
          <w:b/>
          <w:sz w:val="44"/>
          <w:szCs w:val="44"/>
        </w:rPr>
      </w:pPr>
    </w:p>
    <w:p w14:paraId="7B47CB70">
      <w:pPr>
        <w:pStyle w:val="2"/>
        <w:ind w:left="0"/>
        <w:jc w:val="center"/>
        <w:rPr>
          <w:rFonts w:ascii="等线" w:hAnsi="等线" w:cs="等线"/>
          <w:b/>
          <w:sz w:val="44"/>
          <w:szCs w:val="44"/>
        </w:rPr>
      </w:pPr>
      <w:r>
        <w:rPr>
          <w:rFonts w:hint="eastAsia" w:ascii="等线" w:hAnsi="等线" w:cs="等线"/>
          <w:b/>
          <w:sz w:val="44"/>
          <w:szCs w:val="44"/>
        </w:rPr>
        <w:t>武汉图书馆</w:t>
      </w:r>
      <w:r>
        <w:rPr>
          <w:rFonts w:hint="eastAsia" w:cs="等线" w:asciiTheme="minorEastAsia" w:hAnsiTheme="minorEastAsia" w:eastAsiaTheme="minorEastAsia"/>
          <w:b/>
          <w:sz w:val="44"/>
          <w:szCs w:val="44"/>
        </w:rPr>
        <w:t>2025-2026</w:t>
      </w:r>
      <w:r>
        <w:rPr>
          <w:rFonts w:hint="eastAsia" w:ascii="等线" w:hAnsi="等线" w:cs="等线"/>
          <w:b/>
          <w:sz w:val="44"/>
          <w:szCs w:val="44"/>
        </w:rPr>
        <w:t>年</w:t>
      </w:r>
      <w:r>
        <w:rPr>
          <w:rFonts w:hint="eastAsia" w:ascii="等线" w:hAnsi="等线" w:cs="等线" w:eastAsiaTheme="minorEastAsia"/>
          <w:b/>
          <w:sz w:val="44"/>
          <w:szCs w:val="44"/>
        </w:rPr>
        <w:t>度</w:t>
      </w:r>
      <w:r>
        <w:rPr>
          <w:rFonts w:hint="eastAsia" w:ascii="等线" w:hAnsi="等线" w:cs="等线"/>
          <w:b/>
          <w:sz w:val="44"/>
          <w:szCs w:val="44"/>
        </w:rPr>
        <w:t>网络</w:t>
      </w:r>
      <w:r>
        <w:rPr>
          <w:rFonts w:hint="eastAsia" w:ascii="等线" w:hAnsi="等线" w:eastAsia="宋体" w:cs="等线"/>
          <w:b/>
          <w:sz w:val="44"/>
          <w:szCs w:val="44"/>
          <w:lang w:val="en-US" w:eastAsia="zh-CN"/>
        </w:rPr>
        <w:t>信息安全加固</w:t>
      </w:r>
      <w:r>
        <w:rPr>
          <w:rFonts w:hint="eastAsia" w:ascii="等线" w:hAnsi="等线" w:cs="等线"/>
          <w:b/>
          <w:sz w:val="44"/>
          <w:szCs w:val="44"/>
        </w:rPr>
        <w:t>服务</w:t>
      </w:r>
      <w:r>
        <w:rPr>
          <w:rFonts w:hint="eastAsia" w:ascii="等线" w:hAnsi="等线" w:eastAsia="宋体" w:cs="等线"/>
          <w:b/>
          <w:sz w:val="44"/>
          <w:szCs w:val="44"/>
        </w:rPr>
        <w:t>项目</w:t>
      </w:r>
      <w:r>
        <w:rPr>
          <w:rFonts w:hint="eastAsia" w:ascii="等线" w:hAnsi="等线" w:cs="等线"/>
          <w:b/>
          <w:sz w:val="44"/>
          <w:szCs w:val="44"/>
        </w:rPr>
        <w:t>采购需求及实施计划</w:t>
      </w:r>
    </w:p>
    <w:p w14:paraId="0C5488A4">
      <w:pPr>
        <w:jc w:val="center"/>
        <w:rPr>
          <w:rFonts w:hint="eastAsia" w:ascii="等线" w:hAnsi="等线" w:cs="等线"/>
          <w:sz w:val="28"/>
          <w:szCs w:val="28"/>
        </w:rPr>
      </w:pPr>
    </w:p>
    <w:p w14:paraId="220AC649">
      <w:pPr>
        <w:jc w:val="center"/>
        <w:rPr>
          <w:rFonts w:hint="eastAsia" w:ascii="等线" w:hAnsi="等线" w:cs="等线"/>
          <w:sz w:val="28"/>
          <w:szCs w:val="28"/>
        </w:rPr>
      </w:pPr>
    </w:p>
    <w:p w14:paraId="126595AB">
      <w:pPr>
        <w:jc w:val="center"/>
        <w:rPr>
          <w:rFonts w:hint="eastAsia" w:ascii="等线" w:hAnsi="等线" w:cs="等线"/>
          <w:sz w:val="28"/>
          <w:szCs w:val="28"/>
        </w:rPr>
      </w:pPr>
    </w:p>
    <w:p w14:paraId="5E2B8EF8">
      <w:pPr>
        <w:jc w:val="center"/>
        <w:rPr>
          <w:rFonts w:hint="eastAsia" w:ascii="等线" w:hAnsi="等线" w:cs="等线"/>
          <w:sz w:val="28"/>
          <w:szCs w:val="28"/>
        </w:rPr>
      </w:pPr>
    </w:p>
    <w:p w14:paraId="4818B5BB">
      <w:pPr>
        <w:jc w:val="center"/>
        <w:rPr>
          <w:rFonts w:hint="eastAsia" w:ascii="等线" w:hAnsi="等线" w:cs="等线"/>
          <w:sz w:val="28"/>
          <w:szCs w:val="28"/>
        </w:rPr>
      </w:pPr>
    </w:p>
    <w:p w14:paraId="7700A783">
      <w:pPr>
        <w:jc w:val="center"/>
        <w:rPr>
          <w:rFonts w:hint="eastAsia" w:ascii="等线" w:hAnsi="等线" w:cs="等线"/>
          <w:sz w:val="28"/>
          <w:szCs w:val="28"/>
        </w:rPr>
      </w:pPr>
    </w:p>
    <w:p w14:paraId="6F2751F6">
      <w:pPr>
        <w:jc w:val="center"/>
        <w:rPr>
          <w:rFonts w:hint="eastAsia" w:ascii="等线" w:hAnsi="等线" w:cs="等线"/>
          <w:sz w:val="28"/>
          <w:szCs w:val="28"/>
        </w:rPr>
      </w:pPr>
    </w:p>
    <w:p w14:paraId="5280307E">
      <w:pPr>
        <w:jc w:val="center"/>
        <w:rPr>
          <w:rFonts w:hint="eastAsia" w:ascii="等线" w:hAnsi="等线" w:cs="等线"/>
          <w:sz w:val="28"/>
          <w:szCs w:val="28"/>
        </w:rPr>
      </w:pPr>
    </w:p>
    <w:p w14:paraId="1AD141CB">
      <w:pPr>
        <w:jc w:val="center"/>
        <w:rPr>
          <w:rFonts w:hint="eastAsia" w:ascii="等线" w:hAnsi="等线" w:cs="等线"/>
          <w:sz w:val="28"/>
          <w:szCs w:val="28"/>
        </w:rPr>
      </w:pPr>
    </w:p>
    <w:p w14:paraId="68D5D16D">
      <w:pPr>
        <w:jc w:val="center"/>
        <w:rPr>
          <w:rFonts w:hint="eastAsia" w:ascii="等线" w:hAnsi="等线" w:cs="等线"/>
          <w:sz w:val="28"/>
          <w:szCs w:val="28"/>
        </w:rPr>
      </w:pPr>
    </w:p>
    <w:p w14:paraId="6DD023C7">
      <w:pPr>
        <w:jc w:val="center"/>
        <w:rPr>
          <w:rFonts w:hint="eastAsia" w:ascii="等线" w:hAnsi="等线" w:cs="等线"/>
          <w:sz w:val="28"/>
          <w:szCs w:val="28"/>
        </w:rPr>
      </w:pPr>
    </w:p>
    <w:p w14:paraId="64F979AF">
      <w:pPr>
        <w:rPr>
          <w:rFonts w:hint="eastAsia" w:ascii="等线" w:hAnsi="等线" w:cs="等线"/>
          <w:sz w:val="28"/>
          <w:szCs w:val="28"/>
        </w:rPr>
      </w:pPr>
    </w:p>
    <w:p w14:paraId="51BE1A18">
      <w:pPr>
        <w:jc w:val="center"/>
        <w:rPr>
          <w:rFonts w:hint="eastAsia" w:asciiTheme="minorEastAsia" w:hAnsiTheme="minorEastAsia" w:cstheme="minorEastAsia"/>
          <w:b/>
          <w:bCs/>
          <w:sz w:val="30"/>
          <w:szCs w:val="30"/>
        </w:rPr>
      </w:pPr>
      <w:r>
        <w:rPr>
          <w:rFonts w:hint="eastAsia" w:asciiTheme="minorEastAsia" w:hAnsiTheme="minorEastAsia" w:cstheme="minorEastAsia"/>
          <w:b/>
          <w:bCs/>
          <w:sz w:val="30"/>
          <w:szCs w:val="30"/>
        </w:rPr>
        <w:t>编制单位：武汉图书馆</w:t>
      </w:r>
    </w:p>
    <w:p w14:paraId="04FBFDAA">
      <w:pPr>
        <w:jc w:val="center"/>
        <w:rPr>
          <w:rFonts w:hint="eastAsia" w:asciiTheme="minorEastAsia" w:hAnsiTheme="minorEastAsia" w:cstheme="minorEastAsia"/>
          <w:b/>
          <w:bCs/>
          <w:sz w:val="30"/>
          <w:szCs w:val="30"/>
        </w:rPr>
      </w:pPr>
      <w:r>
        <w:rPr>
          <w:rFonts w:hint="eastAsia" w:asciiTheme="minorEastAsia" w:hAnsiTheme="minorEastAsia" w:cstheme="minorEastAsia"/>
          <w:b/>
          <w:bCs/>
          <w:sz w:val="30"/>
          <w:szCs w:val="30"/>
        </w:rPr>
        <w:t>编制时间：2025年10月</w:t>
      </w:r>
    </w:p>
    <w:p w14:paraId="523F084C">
      <w:pPr>
        <w:snapToGrid w:val="0"/>
        <w:spacing w:line="600" w:lineRule="exact"/>
        <w:jc w:val="center"/>
        <w:rPr>
          <w:rFonts w:hint="eastAsia" w:ascii="华文中宋" w:hAnsi="华文中宋" w:eastAsia="华文中宋" w:cs="华文中宋"/>
          <w:b/>
          <w:sz w:val="36"/>
          <w:szCs w:val="36"/>
        </w:rPr>
        <w:sectPr>
          <w:pgSz w:w="11906" w:h="16838"/>
          <w:pgMar w:top="1440" w:right="1800" w:bottom="1440" w:left="1800" w:header="851" w:footer="992" w:gutter="0"/>
          <w:cols w:space="425" w:num="1"/>
          <w:docGrid w:type="lines" w:linePitch="312" w:charSpace="0"/>
        </w:sectPr>
      </w:pPr>
    </w:p>
    <w:p w14:paraId="572E2586">
      <w:pPr>
        <w:pStyle w:val="2"/>
        <w:ind w:left="0"/>
        <w:jc w:val="center"/>
        <w:rPr>
          <w:rFonts w:cs="黑体" w:asciiTheme="minorEastAsia" w:hAnsiTheme="minorEastAsia"/>
          <w:b/>
          <w:sz w:val="32"/>
          <w:szCs w:val="32"/>
        </w:rPr>
      </w:pPr>
      <w:r>
        <w:rPr>
          <w:rFonts w:hint="eastAsia" w:cs="黑体" w:asciiTheme="minorEastAsia" w:hAnsiTheme="minorEastAsia"/>
          <w:b/>
          <w:sz w:val="32"/>
          <w:szCs w:val="32"/>
        </w:rPr>
        <w:t>武汉图书馆202</w:t>
      </w:r>
      <w:r>
        <w:rPr>
          <w:rFonts w:hint="eastAsia" w:cs="黑体" w:asciiTheme="minorEastAsia" w:hAnsiTheme="minorEastAsia" w:eastAsiaTheme="minorEastAsia"/>
          <w:b/>
          <w:sz w:val="32"/>
          <w:szCs w:val="32"/>
        </w:rPr>
        <w:t>5-2026</w:t>
      </w:r>
      <w:r>
        <w:rPr>
          <w:rFonts w:hint="eastAsia" w:cs="黑体" w:asciiTheme="minorEastAsia" w:hAnsiTheme="minorEastAsia"/>
          <w:b/>
          <w:sz w:val="32"/>
          <w:szCs w:val="32"/>
        </w:rPr>
        <w:t>年</w:t>
      </w:r>
      <w:r>
        <w:rPr>
          <w:rFonts w:hint="eastAsia" w:ascii="宋体" w:hAnsi="宋体" w:eastAsia="宋体" w:cs="宋体"/>
          <w:b/>
          <w:sz w:val="32"/>
          <w:szCs w:val="32"/>
        </w:rPr>
        <w:t>度</w:t>
      </w:r>
      <w:r>
        <w:rPr>
          <w:rFonts w:hint="eastAsia" w:cs="黑体" w:asciiTheme="minorEastAsia" w:hAnsiTheme="minorEastAsia"/>
          <w:b/>
          <w:sz w:val="32"/>
          <w:szCs w:val="32"/>
        </w:rPr>
        <w:t>网络</w:t>
      </w:r>
      <w:r>
        <w:rPr>
          <w:rFonts w:hint="eastAsia" w:eastAsia="宋体" w:cs="黑体" w:asciiTheme="minorEastAsia" w:hAnsiTheme="minorEastAsia"/>
          <w:b/>
          <w:sz w:val="32"/>
          <w:szCs w:val="32"/>
          <w:lang w:val="en-US" w:eastAsia="zh-CN"/>
        </w:rPr>
        <w:t>信息安全加固</w:t>
      </w:r>
      <w:r>
        <w:rPr>
          <w:rFonts w:hint="eastAsia" w:cs="黑体" w:asciiTheme="minorEastAsia" w:hAnsiTheme="minorEastAsia"/>
          <w:b/>
          <w:sz w:val="32"/>
          <w:szCs w:val="32"/>
        </w:rPr>
        <w:t>服务项目</w:t>
      </w:r>
    </w:p>
    <w:p w14:paraId="20625E52">
      <w:pPr>
        <w:pStyle w:val="2"/>
        <w:ind w:left="0"/>
        <w:jc w:val="center"/>
        <w:rPr>
          <w:rFonts w:cs="黑体" w:asciiTheme="minorEastAsia" w:hAnsiTheme="minorEastAsia"/>
          <w:b/>
          <w:sz w:val="32"/>
          <w:szCs w:val="32"/>
        </w:rPr>
      </w:pPr>
      <w:r>
        <w:rPr>
          <w:rFonts w:hint="eastAsia" w:cs="黑体" w:asciiTheme="minorEastAsia" w:hAnsiTheme="minorEastAsia"/>
          <w:b/>
          <w:sz w:val="32"/>
          <w:szCs w:val="32"/>
        </w:rPr>
        <w:t>采购需求和采购实施计划</w:t>
      </w:r>
    </w:p>
    <w:p w14:paraId="78C9450E">
      <w:pPr>
        <w:snapToGrid w:val="0"/>
        <w:spacing w:line="360" w:lineRule="auto"/>
        <w:jc w:val="center"/>
        <w:rPr>
          <w:rFonts w:hint="eastAsia" w:cs="黑体" w:asciiTheme="minorEastAsia" w:hAnsiTheme="minorEastAsia"/>
          <w:sz w:val="28"/>
          <w:szCs w:val="28"/>
        </w:rPr>
      </w:pPr>
    </w:p>
    <w:p w14:paraId="5C6B1F0C">
      <w:pPr>
        <w:pStyle w:val="3"/>
        <w:numPr>
          <w:ilvl w:val="0"/>
          <w:numId w:val="0"/>
        </w:numPr>
      </w:pPr>
      <w:r>
        <w:t>一、项目基本情况</w:t>
      </w:r>
    </w:p>
    <w:p w14:paraId="1492FE08">
      <w:pPr>
        <w:pStyle w:val="4"/>
        <w:numPr>
          <w:ilvl w:val="0"/>
          <w:numId w:val="0"/>
        </w:numPr>
      </w:pPr>
      <w:r>
        <w:rPr>
          <w:rFonts w:hint="eastAsia"/>
        </w:rPr>
        <w:t>1.1 项目名称和预算金额（或最高限价）</w:t>
      </w:r>
    </w:p>
    <w:p w14:paraId="2FDC4A86">
      <w:pPr>
        <w:pStyle w:val="2"/>
        <w:spacing w:line="360" w:lineRule="auto"/>
        <w:ind w:left="0" w:firstLine="480" w:firstLineChars="200"/>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项目名称：武汉图书馆2025-2026年度网络</w:t>
      </w:r>
      <w:r>
        <w:rPr>
          <w:rFonts w:hint="eastAsia" w:cs="仿宋" w:asciiTheme="minorEastAsia" w:hAnsiTheme="minorEastAsia" w:eastAsiaTheme="minorEastAsia"/>
          <w:sz w:val="24"/>
          <w:szCs w:val="24"/>
          <w:lang w:val="en-US" w:eastAsia="zh-CN"/>
        </w:rPr>
        <w:t>信息安全加固</w:t>
      </w:r>
      <w:r>
        <w:rPr>
          <w:rFonts w:hint="eastAsia" w:cs="仿宋" w:asciiTheme="minorEastAsia" w:hAnsiTheme="minorEastAsia" w:eastAsiaTheme="minorEastAsia"/>
          <w:sz w:val="24"/>
          <w:szCs w:val="24"/>
        </w:rPr>
        <w:t>服务</w:t>
      </w:r>
    </w:p>
    <w:p w14:paraId="3123B9F7">
      <w:pPr>
        <w:pStyle w:val="2"/>
        <w:spacing w:line="360" w:lineRule="auto"/>
        <w:ind w:left="0" w:firstLine="480" w:firstLineChars="200"/>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地址：武汉市江汉区建设大道861号</w:t>
      </w:r>
    </w:p>
    <w:p w14:paraId="771622E5">
      <w:pPr>
        <w:pStyle w:val="2"/>
        <w:spacing w:line="360" w:lineRule="auto"/>
        <w:ind w:left="0" w:firstLine="480" w:firstLineChars="200"/>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项目预算金额：</w:t>
      </w:r>
      <w:r>
        <w:rPr>
          <w:rFonts w:hint="eastAsia" w:cs="仿宋" w:asciiTheme="minorEastAsia" w:hAnsiTheme="minorEastAsia" w:eastAsiaTheme="minorEastAsia"/>
          <w:sz w:val="24"/>
          <w:szCs w:val="24"/>
          <w:lang w:val="en-US" w:eastAsia="zh-CN"/>
        </w:rPr>
        <w:t>55</w:t>
      </w:r>
      <w:r>
        <w:rPr>
          <w:rFonts w:hint="eastAsia" w:cs="仿宋" w:asciiTheme="minorEastAsia" w:hAnsiTheme="minorEastAsia" w:eastAsiaTheme="minorEastAsia"/>
          <w:sz w:val="24"/>
          <w:szCs w:val="24"/>
        </w:rPr>
        <w:t>万元</w:t>
      </w:r>
    </w:p>
    <w:p w14:paraId="7FACE929">
      <w:pPr>
        <w:pStyle w:val="4"/>
        <w:numPr>
          <w:ilvl w:val="0"/>
          <w:numId w:val="0"/>
        </w:numPr>
      </w:pPr>
      <w:r>
        <w:rPr>
          <w:rFonts w:hint="eastAsia"/>
        </w:rPr>
        <w:t>1.2 采购项目的功能或者目标</w:t>
      </w:r>
    </w:p>
    <w:p w14:paraId="2779D437">
      <w:pPr>
        <w:spacing w:line="360" w:lineRule="auto"/>
        <w:ind w:firstLine="480" w:firstLineChars="200"/>
        <w:rPr>
          <w:rFonts w:hint="eastAsia" w:cs="仿宋" w:asciiTheme="minorEastAsia" w:hAnsiTheme="minorEastAsia"/>
          <w:smallCaps/>
          <w:sz w:val="24"/>
        </w:rPr>
      </w:pPr>
      <w:r>
        <w:rPr>
          <w:rFonts w:hint="eastAsia" w:cs="仿宋" w:asciiTheme="minorEastAsia" w:hAnsiTheme="minorEastAsia"/>
          <w:smallCaps/>
          <w:sz w:val="24"/>
        </w:rPr>
        <w:t>武汉图书馆始建于1946年10月，其前身是“汉口市立图书馆”，1953年正式更名为武汉图书馆。2000年12月搬迁至现址（建设大道861号）并对外开放。馆内无线网络覆盖，配置有智能防控管理系统、智能咨询导览机器人、瀑布流、触摸屏检索机、阅报系统、电子书下载机、以及自助办证机、自助借还书机等自助服务设备，设置借阅合一阅览室、报刊借阅室、电子阅览室、地方文献阅览室、青少年阅览室、古籍阅览室等多个功能服务区17个。</w:t>
      </w:r>
    </w:p>
    <w:p w14:paraId="32AB4308">
      <w:pPr>
        <w:spacing w:line="360" w:lineRule="auto"/>
        <w:ind w:firstLine="480"/>
        <w:rPr>
          <w:rFonts w:hint="eastAsia" w:cs="仿宋" w:asciiTheme="minorEastAsia" w:hAnsiTheme="minorEastAsia"/>
          <w:smallCaps/>
          <w:sz w:val="24"/>
        </w:rPr>
      </w:pPr>
      <w:r>
        <w:rPr>
          <w:rFonts w:hint="eastAsia" w:cs="仿宋" w:asciiTheme="minorEastAsia" w:hAnsiTheme="minorEastAsia"/>
          <w:smallCaps/>
          <w:sz w:val="24"/>
        </w:rPr>
        <w:t>武汉图书馆根据《中华人民共和国网络安全法》、网络安全等级保护2.0标准、国家政策法规和行业标准规范要求，开展网络安全等级保护建设工作，使其符合国家等级保护二级系统标准要求，进一步履行和落实网络信息安全责任义务，建立健全关键信息基础设施网络安全综合防护体系，建立全天候全方位网络安全态势感知和安全保障能力，准确掌控全局的网络安全状况和安全风险，确保各类网络安全风险和网络攻击事件能够及时发现、及时防护、及时处理，从而有效防范新技术、新应用下的网络安全威胁，提升整体信息安全保障能力，保障各类关键信息系统的安全稳定运行。</w:t>
      </w:r>
    </w:p>
    <w:p w14:paraId="19D7D53F">
      <w:pPr>
        <w:pStyle w:val="4"/>
        <w:numPr>
          <w:ilvl w:val="0"/>
          <w:numId w:val="0"/>
        </w:numPr>
      </w:pPr>
      <w:r>
        <w:rPr>
          <w:rFonts w:hint="eastAsia"/>
        </w:rPr>
        <w:t>1.3 预算绩效目标</w:t>
      </w:r>
    </w:p>
    <w:p w14:paraId="081C8F55">
      <w:pPr>
        <w:spacing w:line="360" w:lineRule="auto"/>
        <w:ind w:firstLine="480"/>
        <w:rPr>
          <w:rFonts w:hint="eastAsia" w:cs="仿宋" w:asciiTheme="minorEastAsia" w:hAnsiTheme="minorEastAsia"/>
          <w:bCs/>
          <w:sz w:val="24"/>
        </w:rPr>
      </w:pPr>
      <w:r>
        <w:rPr>
          <w:rFonts w:hint="eastAsia" w:cs="仿宋" w:asciiTheme="minorEastAsia" w:hAnsiTheme="minorEastAsia"/>
          <w:bCs/>
          <w:sz w:val="24"/>
        </w:rPr>
        <w:t>1、符合国家等级保护二级系统标准要求。</w:t>
      </w:r>
    </w:p>
    <w:p w14:paraId="4AB36142">
      <w:pPr>
        <w:spacing w:line="360" w:lineRule="auto"/>
        <w:ind w:firstLine="480"/>
        <w:rPr>
          <w:rFonts w:hint="eastAsia" w:cs="仿宋" w:asciiTheme="minorEastAsia" w:hAnsiTheme="minorEastAsia"/>
          <w:bCs/>
          <w:sz w:val="24"/>
        </w:rPr>
      </w:pPr>
      <w:r>
        <w:rPr>
          <w:rFonts w:hint="eastAsia" w:cs="仿宋" w:asciiTheme="minorEastAsia" w:hAnsiTheme="minorEastAsia"/>
          <w:bCs/>
          <w:sz w:val="24"/>
        </w:rPr>
        <w:t>2、进一步履行和落实网络信息安全责任义务。</w:t>
      </w:r>
    </w:p>
    <w:p w14:paraId="5EA6EF5A">
      <w:pPr>
        <w:spacing w:line="360" w:lineRule="auto"/>
        <w:ind w:firstLine="480"/>
        <w:rPr>
          <w:rFonts w:hint="eastAsia" w:cs="仿宋" w:asciiTheme="minorEastAsia" w:hAnsiTheme="minorEastAsia"/>
          <w:bCs/>
          <w:sz w:val="24"/>
        </w:rPr>
      </w:pPr>
      <w:r>
        <w:rPr>
          <w:rFonts w:hint="eastAsia" w:cs="仿宋" w:asciiTheme="minorEastAsia" w:hAnsiTheme="minorEastAsia"/>
          <w:bCs/>
          <w:sz w:val="24"/>
        </w:rPr>
        <w:t>3、建立健全关键信息基础设施网络安全综合防护体系。</w:t>
      </w:r>
    </w:p>
    <w:p w14:paraId="45392962">
      <w:pPr>
        <w:spacing w:line="360" w:lineRule="auto"/>
        <w:ind w:firstLine="480"/>
        <w:rPr>
          <w:rFonts w:hint="eastAsia" w:cs="仿宋" w:asciiTheme="minorEastAsia" w:hAnsiTheme="minorEastAsia"/>
          <w:bCs/>
          <w:sz w:val="24"/>
        </w:rPr>
      </w:pPr>
      <w:r>
        <w:rPr>
          <w:rFonts w:hint="eastAsia" w:cs="仿宋" w:asciiTheme="minorEastAsia" w:hAnsiTheme="minorEastAsia"/>
          <w:bCs/>
          <w:sz w:val="24"/>
        </w:rPr>
        <w:t>4、建立全天候全方位网络安全态势感知和安全保障能力，准确掌控全局的网络安全状况和安全风险，确保各类网络安全风险和网络攻击事件能够及时发现、及时防护、及时处理，从而有效防范新技术、新应用下的网络安全威胁，提升整体信息安全保障能力，保障各类关键信息系统的安全稳定运行。</w:t>
      </w:r>
    </w:p>
    <w:p w14:paraId="310A7AA9">
      <w:pPr>
        <w:spacing w:line="360" w:lineRule="auto"/>
        <w:ind w:firstLine="480"/>
        <w:rPr>
          <w:rFonts w:hint="eastAsia" w:cs="仿宋" w:asciiTheme="minorEastAsia" w:hAnsiTheme="minorEastAsia"/>
          <w:bCs/>
          <w:sz w:val="24"/>
        </w:rPr>
      </w:pPr>
      <w:r>
        <w:rPr>
          <w:rFonts w:hint="eastAsia" w:cs="仿宋" w:asciiTheme="minorEastAsia" w:hAnsiTheme="minorEastAsia"/>
          <w:bCs/>
          <w:sz w:val="24"/>
        </w:rPr>
        <w:t>5、提升整体网络安全防护水平，强化风险应对能力，在出现网络安全事件时，能够第一时间提供网络安全应急响应，充分保障业务系统的正常运转。</w:t>
      </w:r>
    </w:p>
    <w:p w14:paraId="7A1072DE">
      <w:pPr>
        <w:pStyle w:val="3"/>
        <w:numPr>
          <w:ilvl w:val="0"/>
          <w:numId w:val="0"/>
        </w:numPr>
      </w:pPr>
      <w:r>
        <w:t>二、需求调查情况</w:t>
      </w:r>
    </w:p>
    <w:p w14:paraId="1F85D6F7">
      <w:pPr>
        <w:snapToGrid w:val="0"/>
        <w:spacing w:line="360" w:lineRule="auto"/>
        <w:ind w:firstLine="480" w:firstLineChars="200"/>
        <w:rPr>
          <w:rFonts w:hint="eastAsia" w:cs="仿宋" w:asciiTheme="minorEastAsia" w:hAnsiTheme="minorEastAsia"/>
          <w:bCs/>
          <w:sz w:val="24"/>
        </w:rPr>
      </w:pPr>
      <w:r>
        <w:rPr>
          <w:rFonts w:hint="eastAsia" w:cs="仿宋" w:asciiTheme="minorEastAsia" w:hAnsiTheme="minorEastAsia"/>
          <w:bCs/>
          <w:sz w:val="24"/>
        </w:rPr>
        <w:t>本项目拟在武汉市政府采购电子商城进行。</w:t>
      </w:r>
    </w:p>
    <w:p w14:paraId="61197F19">
      <w:pPr>
        <w:pStyle w:val="3"/>
        <w:numPr>
          <w:ilvl w:val="0"/>
          <w:numId w:val="0"/>
        </w:numPr>
      </w:pPr>
      <w:r>
        <w:t>三、公开征求意见情况</w:t>
      </w:r>
    </w:p>
    <w:p w14:paraId="1766D829">
      <w:pPr>
        <w:snapToGrid w:val="0"/>
        <w:spacing w:line="360" w:lineRule="auto"/>
        <w:ind w:firstLine="480" w:firstLineChars="200"/>
        <w:rPr>
          <w:rFonts w:hint="eastAsia" w:cs="仿宋_GB2312" w:asciiTheme="minorEastAsia" w:hAnsiTheme="minorEastAsia"/>
          <w:bCs/>
          <w:sz w:val="24"/>
        </w:rPr>
      </w:pPr>
      <w:r>
        <w:rPr>
          <w:rFonts w:hint="eastAsia" w:cs="仿宋_GB2312" w:asciiTheme="minorEastAsia" w:hAnsiTheme="minorEastAsia"/>
          <w:bCs/>
          <w:sz w:val="24"/>
        </w:rPr>
        <w:t>本项目不适用。</w:t>
      </w:r>
    </w:p>
    <w:p w14:paraId="3918ECB0">
      <w:pPr>
        <w:pStyle w:val="3"/>
        <w:numPr>
          <w:ilvl w:val="0"/>
          <w:numId w:val="0"/>
        </w:numPr>
      </w:pPr>
      <w:r>
        <w:t>四、采购需求</w:t>
      </w:r>
    </w:p>
    <w:p w14:paraId="0C3D0032">
      <w:pPr>
        <w:pStyle w:val="4"/>
        <w:numPr>
          <w:ilvl w:val="0"/>
          <w:numId w:val="0"/>
        </w:numPr>
      </w:pPr>
      <w:r>
        <w:rPr>
          <w:rFonts w:hint="eastAsia"/>
        </w:rPr>
        <w:t>4.</w:t>
      </w:r>
      <w:r>
        <w:t>1</w:t>
      </w:r>
      <w:r>
        <w:rPr>
          <w:rFonts w:hint="eastAsia"/>
        </w:rPr>
        <w:t>采购标的汇总表</w:t>
      </w:r>
    </w:p>
    <w:tbl>
      <w:tblPr>
        <w:tblStyle w:val="13"/>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9F9F9"/>
        <w:tblLayout w:type="autofit"/>
        <w:tblCellMar>
          <w:top w:w="15" w:type="dxa"/>
          <w:left w:w="15" w:type="dxa"/>
          <w:bottom w:w="15" w:type="dxa"/>
          <w:right w:w="15" w:type="dxa"/>
        </w:tblCellMar>
      </w:tblPr>
      <w:tblGrid>
        <w:gridCol w:w="721"/>
        <w:gridCol w:w="549"/>
        <w:gridCol w:w="2438"/>
        <w:gridCol w:w="1532"/>
        <w:gridCol w:w="567"/>
        <w:gridCol w:w="709"/>
        <w:gridCol w:w="709"/>
        <w:gridCol w:w="992"/>
        <w:gridCol w:w="1134"/>
        <w:gridCol w:w="850"/>
      </w:tblGrid>
      <w:tr w14:paraId="0726C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9F9F9"/>
          <w:tblCellMar>
            <w:top w:w="15" w:type="dxa"/>
            <w:left w:w="15" w:type="dxa"/>
            <w:bottom w:w="15" w:type="dxa"/>
            <w:right w:w="15" w:type="dxa"/>
          </w:tblCellMar>
        </w:tblPrEx>
        <w:trPr>
          <w:jc w:val="center"/>
        </w:trPr>
        <w:tc>
          <w:tcPr>
            <w:tcW w:w="721" w:type="dxa"/>
            <w:shd w:val="clear" w:color="auto" w:fill="FFFFFF"/>
            <w:tcMar>
              <w:top w:w="0" w:type="dxa"/>
              <w:bottom w:w="0" w:type="dxa"/>
            </w:tcMar>
            <w:vAlign w:val="center"/>
          </w:tcPr>
          <w:p w14:paraId="1B3D32FE">
            <w:pPr>
              <w:snapToGrid w:val="0"/>
              <w:spacing w:line="360" w:lineRule="auto"/>
              <w:jc w:val="center"/>
              <w:rPr>
                <w:rFonts w:hint="eastAsia" w:asciiTheme="minorEastAsia" w:hAnsiTheme="minorEastAsia"/>
                <w:sz w:val="24"/>
              </w:rPr>
            </w:pPr>
            <w:r>
              <w:rPr>
                <w:rFonts w:hint="eastAsia" w:asciiTheme="minorEastAsia" w:hAnsiTheme="minorEastAsia"/>
                <w:sz w:val="24"/>
              </w:rPr>
              <w:t>包号</w:t>
            </w:r>
          </w:p>
        </w:tc>
        <w:tc>
          <w:tcPr>
            <w:tcW w:w="0" w:type="auto"/>
            <w:shd w:val="clear" w:color="auto" w:fill="FFFFFF"/>
            <w:tcMar>
              <w:top w:w="0" w:type="dxa"/>
              <w:bottom w:w="0" w:type="dxa"/>
            </w:tcMar>
            <w:vAlign w:val="center"/>
          </w:tcPr>
          <w:p w14:paraId="64D60CAB">
            <w:pPr>
              <w:snapToGrid w:val="0"/>
              <w:spacing w:line="360" w:lineRule="auto"/>
              <w:jc w:val="center"/>
              <w:rPr>
                <w:rFonts w:hint="eastAsia" w:asciiTheme="minorEastAsia" w:hAnsiTheme="minorEastAsia"/>
                <w:sz w:val="24"/>
              </w:rPr>
            </w:pPr>
            <w:r>
              <w:rPr>
                <w:rFonts w:hint="eastAsia" w:asciiTheme="minorEastAsia" w:hAnsiTheme="minorEastAsia"/>
                <w:sz w:val="24"/>
              </w:rPr>
              <w:t>标的序号</w:t>
            </w:r>
          </w:p>
        </w:tc>
        <w:tc>
          <w:tcPr>
            <w:tcW w:w="0" w:type="auto"/>
            <w:shd w:val="clear" w:color="auto" w:fill="FFFFFF"/>
            <w:tcMar>
              <w:top w:w="0" w:type="dxa"/>
              <w:bottom w:w="0" w:type="dxa"/>
            </w:tcMar>
            <w:vAlign w:val="center"/>
          </w:tcPr>
          <w:p w14:paraId="5A11F63B">
            <w:pPr>
              <w:snapToGrid w:val="0"/>
              <w:spacing w:line="360" w:lineRule="auto"/>
              <w:jc w:val="center"/>
              <w:rPr>
                <w:rFonts w:hint="eastAsia" w:asciiTheme="minorEastAsia" w:hAnsiTheme="minorEastAsia"/>
                <w:sz w:val="24"/>
              </w:rPr>
            </w:pPr>
            <w:r>
              <w:rPr>
                <w:rFonts w:hint="eastAsia" w:asciiTheme="minorEastAsia" w:hAnsiTheme="minorEastAsia"/>
                <w:sz w:val="24"/>
              </w:rPr>
              <w:t>标的名称</w:t>
            </w:r>
          </w:p>
        </w:tc>
        <w:tc>
          <w:tcPr>
            <w:tcW w:w="1532" w:type="dxa"/>
            <w:shd w:val="clear" w:color="auto" w:fill="FFFFFF"/>
            <w:tcMar>
              <w:top w:w="0" w:type="dxa"/>
              <w:bottom w:w="0" w:type="dxa"/>
            </w:tcMar>
            <w:vAlign w:val="center"/>
          </w:tcPr>
          <w:p w14:paraId="2ECBBB0C">
            <w:pPr>
              <w:snapToGrid w:val="0"/>
              <w:spacing w:line="360" w:lineRule="auto"/>
              <w:jc w:val="center"/>
              <w:rPr>
                <w:rFonts w:hint="eastAsia" w:asciiTheme="minorEastAsia" w:hAnsiTheme="minorEastAsia"/>
                <w:sz w:val="24"/>
              </w:rPr>
            </w:pPr>
            <w:r>
              <w:rPr>
                <w:rFonts w:hint="eastAsia" w:asciiTheme="minorEastAsia" w:hAnsiTheme="minorEastAsia"/>
                <w:sz w:val="24"/>
              </w:rPr>
              <w:t>品目分类编码</w:t>
            </w:r>
          </w:p>
        </w:tc>
        <w:tc>
          <w:tcPr>
            <w:tcW w:w="567" w:type="dxa"/>
            <w:shd w:val="clear" w:color="auto" w:fill="FFFFFF"/>
            <w:tcMar>
              <w:top w:w="0" w:type="dxa"/>
              <w:bottom w:w="0" w:type="dxa"/>
            </w:tcMar>
            <w:vAlign w:val="center"/>
          </w:tcPr>
          <w:p w14:paraId="446C411A">
            <w:pPr>
              <w:snapToGrid w:val="0"/>
              <w:spacing w:line="360" w:lineRule="auto"/>
              <w:jc w:val="center"/>
              <w:rPr>
                <w:rFonts w:hint="eastAsia" w:asciiTheme="minorEastAsia" w:hAnsiTheme="minorEastAsia"/>
                <w:sz w:val="24"/>
              </w:rPr>
            </w:pPr>
            <w:r>
              <w:rPr>
                <w:rFonts w:hint="eastAsia" w:asciiTheme="minorEastAsia" w:hAnsiTheme="minorEastAsia"/>
                <w:sz w:val="24"/>
              </w:rPr>
              <w:t>计量单位</w:t>
            </w:r>
          </w:p>
        </w:tc>
        <w:tc>
          <w:tcPr>
            <w:tcW w:w="709" w:type="dxa"/>
            <w:shd w:val="clear" w:color="auto" w:fill="FFFFFF"/>
            <w:tcMar>
              <w:top w:w="0" w:type="dxa"/>
              <w:bottom w:w="0" w:type="dxa"/>
            </w:tcMar>
            <w:vAlign w:val="center"/>
          </w:tcPr>
          <w:p w14:paraId="080A5458">
            <w:pPr>
              <w:snapToGrid w:val="0"/>
              <w:spacing w:line="360" w:lineRule="auto"/>
              <w:jc w:val="center"/>
              <w:rPr>
                <w:rFonts w:hint="eastAsia" w:asciiTheme="minorEastAsia" w:hAnsiTheme="minorEastAsia"/>
                <w:sz w:val="24"/>
              </w:rPr>
            </w:pPr>
            <w:r>
              <w:rPr>
                <w:rFonts w:hint="eastAsia" w:asciiTheme="minorEastAsia" w:hAnsiTheme="minorEastAsia"/>
                <w:sz w:val="24"/>
              </w:rPr>
              <w:t>数量</w:t>
            </w:r>
          </w:p>
        </w:tc>
        <w:tc>
          <w:tcPr>
            <w:tcW w:w="709" w:type="dxa"/>
            <w:shd w:val="clear" w:color="auto" w:fill="FFFFFF"/>
            <w:tcMar>
              <w:top w:w="0" w:type="dxa"/>
              <w:bottom w:w="0" w:type="dxa"/>
            </w:tcMar>
            <w:vAlign w:val="center"/>
          </w:tcPr>
          <w:p w14:paraId="6A680EC7">
            <w:pPr>
              <w:snapToGrid w:val="0"/>
              <w:spacing w:line="360" w:lineRule="auto"/>
              <w:jc w:val="center"/>
              <w:rPr>
                <w:rFonts w:hint="eastAsia" w:asciiTheme="minorEastAsia" w:hAnsiTheme="minorEastAsia"/>
                <w:sz w:val="24"/>
              </w:rPr>
            </w:pPr>
            <w:r>
              <w:rPr>
                <w:rFonts w:hint="eastAsia" w:asciiTheme="minorEastAsia" w:hAnsiTheme="minorEastAsia"/>
                <w:sz w:val="24"/>
              </w:rPr>
              <w:t>是否进口</w:t>
            </w:r>
          </w:p>
        </w:tc>
        <w:tc>
          <w:tcPr>
            <w:tcW w:w="992" w:type="dxa"/>
            <w:shd w:val="clear" w:color="auto" w:fill="FFFFFF"/>
            <w:tcMar>
              <w:top w:w="0" w:type="dxa"/>
              <w:bottom w:w="0" w:type="dxa"/>
            </w:tcMar>
            <w:vAlign w:val="center"/>
          </w:tcPr>
          <w:p w14:paraId="350BDB89">
            <w:pPr>
              <w:snapToGrid w:val="0"/>
              <w:spacing w:line="360" w:lineRule="auto"/>
              <w:jc w:val="center"/>
              <w:rPr>
                <w:rFonts w:hint="eastAsia" w:asciiTheme="minorEastAsia" w:hAnsiTheme="minorEastAsia"/>
                <w:sz w:val="24"/>
              </w:rPr>
            </w:pPr>
            <w:r>
              <w:rPr>
                <w:rFonts w:hint="eastAsia" w:asciiTheme="minorEastAsia" w:hAnsiTheme="minorEastAsia"/>
                <w:sz w:val="24"/>
              </w:rPr>
              <w:t>是否创新产品</w:t>
            </w:r>
          </w:p>
        </w:tc>
        <w:tc>
          <w:tcPr>
            <w:tcW w:w="1134" w:type="dxa"/>
            <w:shd w:val="clear" w:color="auto" w:fill="FFFFFF"/>
            <w:tcMar>
              <w:top w:w="0" w:type="dxa"/>
              <w:bottom w:w="0" w:type="dxa"/>
            </w:tcMar>
            <w:vAlign w:val="center"/>
          </w:tcPr>
          <w:p w14:paraId="22F1D82F">
            <w:pPr>
              <w:snapToGrid w:val="0"/>
              <w:spacing w:line="360" w:lineRule="auto"/>
              <w:jc w:val="center"/>
              <w:rPr>
                <w:rFonts w:hint="eastAsia" w:asciiTheme="minorEastAsia" w:hAnsiTheme="minorEastAsia"/>
                <w:sz w:val="24"/>
              </w:rPr>
            </w:pPr>
            <w:r>
              <w:rPr>
                <w:rFonts w:hint="eastAsia" w:asciiTheme="minorEastAsia" w:hAnsiTheme="minorEastAsia"/>
                <w:sz w:val="24"/>
              </w:rPr>
              <w:t>绿色发展</w:t>
            </w:r>
          </w:p>
        </w:tc>
        <w:tc>
          <w:tcPr>
            <w:tcW w:w="850" w:type="dxa"/>
            <w:shd w:val="clear" w:color="auto" w:fill="FFFFFF"/>
            <w:tcMar>
              <w:top w:w="0" w:type="dxa"/>
              <w:bottom w:w="0" w:type="dxa"/>
            </w:tcMar>
            <w:vAlign w:val="center"/>
          </w:tcPr>
          <w:p w14:paraId="32FF4C81">
            <w:pPr>
              <w:snapToGrid w:val="0"/>
              <w:spacing w:line="360" w:lineRule="auto"/>
              <w:jc w:val="center"/>
              <w:rPr>
                <w:rFonts w:hint="eastAsia" w:asciiTheme="minorEastAsia" w:hAnsiTheme="minorEastAsia"/>
                <w:color w:val="FF0000"/>
                <w:sz w:val="24"/>
              </w:rPr>
            </w:pPr>
            <w:r>
              <w:rPr>
                <w:rFonts w:hint="eastAsia" w:asciiTheme="minorEastAsia" w:hAnsiTheme="minorEastAsia"/>
                <w:sz w:val="24"/>
              </w:rPr>
              <w:t>预留</w:t>
            </w:r>
          </w:p>
        </w:tc>
      </w:tr>
      <w:tr w14:paraId="66738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9F9F9"/>
          <w:tblCellMar>
            <w:top w:w="15" w:type="dxa"/>
            <w:left w:w="15" w:type="dxa"/>
            <w:bottom w:w="15" w:type="dxa"/>
            <w:right w:w="15" w:type="dxa"/>
          </w:tblCellMar>
        </w:tblPrEx>
        <w:trPr>
          <w:jc w:val="center"/>
        </w:trPr>
        <w:tc>
          <w:tcPr>
            <w:tcW w:w="721" w:type="dxa"/>
            <w:shd w:val="clear" w:color="auto" w:fill="FFFFFF"/>
            <w:tcMar>
              <w:top w:w="0" w:type="dxa"/>
              <w:bottom w:w="0" w:type="dxa"/>
            </w:tcMar>
            <w:vAlign w:val="center"/>
          </w:tcPr>
          <w:p w14:paraId="7646AC8B">
            <w:pPr>
              <w:snapToGrid w:val="0"/>
              <w:spacing w:line="360" w:lineRule="auto"/>
              <w:jc w:val="center"/>
              <w:rPr>
                <w:rFonts w:hint="eastAsia" w:asciiTheme="minorEastAsia" w:hAnsiTheme="minorEastAsia"/>
                <w:sz w:val="24"/>
              </w:rPr>
            </w:pPr>
          </w:p>
        </w:tc>
        <w:tc>
          <w:tcPr>
            <w:tcW w:w="0" w:type="auto"/>
            <w:shd w:val="clear" w:color="auto" w:fill="FFFFFF"/>
            <w:tcMar>
              <w:top w:w="0" w:type="dxa"/>
              <w:bottom w:w="0" w:type="dxa"/>
            </w:tcMar>
            <w:vAlign w:val="center"/>
          </w:tcPr>
          <w:p w14:paraId="10563FC5">
            <w:pPr>
              <w:snapToGrid w:val="0"/>
              <w:spacing w:line="360" w:lineRule="auto"/>
              <w:jc w:val="center"/>
              <w:rPr>
                <w:rFonts w:hint="eastAsia" w:asciiTheme="minorEastAsia" w:hAnsiTheme="minorEastAsia"/>
                <w:sz w:val="24"/>
              </w:rPr>
            </w:pPr>
            <w:r>
              <w:rPr>
                <w:rFonts w:hint="eastAsia" w:asciiTheme="minorEastAsia" w:hAnsiTheme="minorEastAsia"/>
                <w:sz w:val="24"/>
              </w:rPr>
              <w:t>1</w:t>
            </w:r>
          </w:p>
        </w:tc>
        <w:tc>
          <w:tcPr>
            <w:tcW w:w="0" w:type="auto"/>
            <w:shd w:val="clear" w:color="auto" w:fill="FFFFFF"/>
            <w:tcMar>
              <w:top w:w="0" w:type="dxa"/>
              <w:bottom w:w="0" w:type="dxa"/>
            </w:tcMar>
            <w:vAlign w:val="center"/>
          </w:tcPr>
          <w:p w14:paraId="3D947500">
            <w:pPr>
              <w:snapToGrid w:val="0"/>
              <w:spacing w:line="360" w:lineRule="auto"/>
              <w:jc w:val="center"/>
              <w:rPr>
                <w:rFonts w:hint="eastAsia" w:asciiTheme="minorEastAsia" w:hAnsiTheme="minorEastAsia"/>
                <w:sz w:val="24"/>
              </w:rPr>
            </w:pPr>
            <w:r>
              <w:rPr>
                <w:rFonts w:hint="eastAsia" w:asciiTheme="minorEastAsia" w:hAnsiTheme="minorEastAsia"/>
                <w:sz w:val="24"/>
              </w:rPr>
              <w:t>2025-2026年度</w:t>
            </w:r>
            <w:r>
              <w:rPr>
                <w:rFonts w:hint="eastAsia" w:cs="仿宋" w:asciiTheme="minorEastAsia" w:hAnsiTheme="minorEastAsia" w:eastAsiaTheme="minorEastAsia"/>
                <w:sz w:val="24"/>
                <w:szCs w:val="24"/>
              </w:rPr>
              <w:t>网络</w:t>
            </w:r>
            <w:r>
              <w:rPr>
                <w:rFonts w:hint="eastAsia" w:cs="仿宋" w:asciiTheme="minorEastAsia" w:hAnsiTheme="minorEastAsia" w:eastAsiaTheme="minorEastAsia"/>
                <w:sz w:val="24"/>
                <w:szCs w:val="24"/>
                <w:lang w:val="en-US" w:eastAsia="zh-CN"/>
              </w:rPr>
              <w:t>信息安全加固</w:t>
            </w:r>
            <w:r>
              <w:rPr>
                <w:rFonts w:hint="eastAsia" w:asciiTheme="minorEastAsia" w:hAnsiTheme="minorEastAsia"/>
                <w:sz w:val="24"/>
              </w:rPr>
              <w:t>服务项目</w:t>
            </w:r>
          </w:p>
        </w:tc>
        <w:tc>
          <w:tcPr>
            <w:tcW w:w="1532" w:type="dxa"/>
            <w:shd w:val="clear" w:color="auto" w:fill="FFFFFF"/>
            <w:tcMar>
              <w:top w:w="0" w:type="dxa"/>
              <w:bottom w:w="0" w:type="dxa"/>
            </w:tcMar>
            <w:vAlign w:val="center"/>
          </w:tcPr>
          <w:p w14:paraId="0359432A">
            <w:pPr>
              <w:snapToGrid w:val="0"/>
              <w:spacing w:line="360" w:lineRule="auto"/>
              <w:jc w:val="center"/>
              <w:rPr>
                <w:rFonts w:hint="eastAsia" w:asciiTheme="minorEastAsia" w:hAnsiTheme="minorEastAsia"/>
                <w:sz w:val="24"/>
              </w:rPr>
            </w:pPr>
            <w:r>
              <w:rPr>
                <w:rFonts w:asciiTheme="minorEastAsia" w:hAnsiTheme="minorEastAsia"/>
                <w:sz w:val="24"/>
              </w:rPr>
              <w:t>C16070400</w:t>
            </w:r>
          </w:p>
        </w:tc>
        <w:tc>
          <w:tcPr>
            <w:tcW w:w="567" w:type="dxa"/>
            <w:shd w:val="clear" w:color="auto" w:fill="FFFFFF"/>
            <w:tcMar>
              <w:top w:w="0" w:type="dxa"/>
              <w:bottom w:w="0" w:type="dxa"/>
            </w:tcMar>
            <w:vAlign w:val="center"/>
          </w:tcPr>
          <w:p w14:paraId="127264A6">
            <w:pPr>
              <w:snapToGrid w:val="0"/>
              <w:spacing w:line="360" w:lineRule="auto"/>
              <w:jc w:val="center"/>
              <w:rPr>
                <w:rFonts w:hint="eastAsia" w:asciiTheme="minorEastAsia" w:hAnsiTheme="minorEastAsia"/>
                <w:sz w:val="24"/>
              </w:rPr>
            </w:pPr>
            <w:r>
              <w:rPr>
                <w:rFonts w:hint="eastAsia" w:asciiTheme="minorEastAsia" w:hAnsiTheme="minorEastAsia"/>
                <w:sz w:val="24"/>
              </w:rPr>
              <w:t>项</w:t>
            </w:r>
          </w:p>
        </w:tc>
        <w:tc>
          <w:tcPr>
            <w:tcW w:w="709" w:type="dxa"/>
            <w:shd w:val="clear" w:color="auto" w:fill="FFFFFF"/>
            <w:tcMar>
              <w:top w:w="0" w:type="dxa"/>
              <w:bottom w:w="0" w:type="dxa"/>
            </w:tcMar>
            <w:vAlign w:val="center"/>
          </w:tcPr>
          <w:p w14:paraId="498BE53C">
            <w:pPr>
              <w:snapToGrid w:val="0"/>
              <w:spacing w:line="360" w:lineRule="auto"/>
              <w:jc w:val="center"/>
              <w:rPr>
                <w:rFonts w:hint="eastAsia" w:asciiTheme="minorEastAsia" w:hAnsiTheme="minorEastAsia"/>
                <w:sz w:val="24"/>
              </w:rPr>
            </w:pPr>
            <w:r>
              <w:rPr>
                <w:rFonts w:asciiTheme="minorEastAsia" w:hAnsiTheme="minorEastAsia"/>
                <w:sz w:val="24"/>
              </w:rPr>
              <w:t>1</w:t>
            </w:r>
          </w:p>
        </w:tc>
        <w:tc>
          <w:tcPr>
            <w:tcW w:w="709" w:type="dxa"/>
            <w:shd w:val="clear" w:color="auto" w:fill="FFFFFF"/>
            <w:tcMar>
              <w:top w:w="0" w:type="dxa"/>
              <w:bottom w:w="0" w:type="dxa"/>
            </w:tcMar>
            <w:vAlign w:val="center"/>
          </w:tcPr>
          <w:p w14:paraId="16E5F9BA">
            <w:pPr>
              <w:snapToGrid w:val="0"/>
              <w:spacing w:line="360" w:lineRule="auto"/>
              <w:jc w:val="center"/>
              <w:rPr>
                <w:rFonts w:hint="eastAsia" w:asciiTheme="minorEastAsia" w:hAnsiTheme="minorEastAsia"/>
                <w:sz w:val="24"/>
              </w:rPr>
            </w:pPr>
            <w:r>
              <w:rPr>
                <w:rFonts w:hint="eastAsia" w:asciiTheme="minorEastAsia" w:hAnsiTheme="minorEastAsia"/>
                <w:sz w:val="24"/>
              </w:rPr>
              <w:t>否</w:t>
            </w:r>
          </w:p>
        </w:tc>
        <w:tc>
          <w:tcPr>
            <w:tcW w:w="992" w:type="dxa"/>
            <w:shd w:val="clear" w:color="auto" w:fill="FFFFFF"/>
            <w:tcMar>
              <w:top w:w="0" w:type="dxa"/>
              <w:bottom w:w="0" w:type="dxa"/>
            </w:tcMar>
            <w:vAlign w:val="center"/>
          </w:tcPr>
          <w:p w14:paraId="0FAA20A0">
            <w:pPr>
              <w:snapToGrid w:val="0"/>
              <w:spacing w:line="360" w:lineRule="auto"/>
              <w:jc w:val="center"/>
              <w:rPr>
                <w:rFonts w:hint="eastAsia" w:asciiTheme="minorEastAsia" w:hAnsiTheme="minorEastAsia"/>
                <w:sz w:val="24"/>
              </w:rPr>
            </w:pPr>
            <w:r>
              <w:rPr>
                <w:rFonts w:hint="eastAsia" w:asciiTheme="minorEastAsia" w:hAnsiTheme="minorEastAsia"/>
                <w:sz w:val="24"/>
              </w:rPr>
              <w:t>否</w:t>
            </w:r>
          </w:p>
        </w:tc>
        <w:tc>
          <w:tcPr>
            <w:tcW w:w="1134" w:type="dxa"/>
            <w:shd w:val="clear" w:color="auto" w:fill="FFFFFF"/>
            <w:tcMar>
              <w:top w:w="0" w:type="dxa"/>
              <w:bottom w:w="0" w:type="dxa"/>
            </w:tcMar>
            <w:vAlign w:val="center"/>
          </w:tcPr>
          <w:p w14:paraId="0CB25B9E">
            <w:pPr>
              <w:snapToGrid w:val="0"/>
              <w:spacing w:line="360" w:lineRule="auto"/>
              <w:jc w:val="center"/>
              <w:rPr>
                <w:rFonts w:hint="eastAsia" w:asciiTheme="minorEastAsia" w:hAnsiTheme="minorEastAsia"/>
                <w:sz w:val="24"/>
              </w:rPr>
            </w:pPr>
            <w:r>
              <w:rPr>
                <w:rFonts w:hint="eastAsia" w:asciiTheme="minorEastAsia" w:hAnsiTheme="minorEastAsia"/>
                <w:sz w:val="24"/>
              </w:rPr>
              <w:t>否</w:t>
            </w:r>
          </w:p>
        </w:tc>
        <w:tc>
          <w:tcPr>
            <w:tcW w:w="850" w:type="dxa"/>
            <w:shd w:val="clear" w:color="auto" w:fill="FFFFFF"/>
            <w:tcMar>
              <w:top w:w="0" w:type="dxa"/>
              <w:bottom w:w="0" w:type="dxa"/>
            </w:tcMar>
            <w:vAlign w:val="center"/>
          </w:tcPr>
          <w:p w14:paraId="3171666F">
            <w:pPr>
              <w:snapToGrid w:val="0"/>
              <w:spacing w:line="360" w:lineRule="auto"/>
              <w:jc w:val="center"/>
              <w:rPr>
                <w:rFonts w:hint="eastAsia" w:asciiTheme="minorEastAsia" w:hAnsiTheme="minorEastAsia"/>
                <w:sz w:val="24"/>
              </w:rPr>
            </w:pPr>
            <w:r>
              <w:rPr>
                <w:rFonts w:hint="eastAsia" w:asciiTheme="minorEastAsia" w:hAnsiTheme="minorEastAsia"/>
                <w:sz w:val="24"/>
              </w:rPr>
              <w:t>是</w:t>
            </w:r>
          </w:p>
        </w:tc>
      </w:tr>
    </w:tbl>
    <w:p w14:paraId="02DBF16E">
      <w:pPr>
        <w:snapToGrid w:val="0"/>
        <w:spacing w:line="360" w:lineRule="auto"/>
        <w:ind w:firstLine="480" w:firstLineChars="200"/>
        <w:rPr>
          <w:rFonts w:hint="eastAsia" w:cs="仿宋" w:asciiTheme="minorEastAsia" w:hAnsiTheme="minorEastAsia"/>
          <w:bCs/>
          <w:sz w:val="24"/>
        </w:rPr>
      </w:pPr>
      <w:r>
        <w:rPr>
          <w:rFonts w:hint="eastAsia" w:cs="仿宋" w:asciiTheme="minorEastAsia" w:hAnsiTheme="minorEastAsia"/>
          <w:bCs/>
          <w:sz w:val="24"/>
        </w:rPr>
        <w:t>具体需求：</w:t>
      </w:r>
    </w:p>
    <w:tbl>
      <w:tblPr>
        <w:tblStyle w:val="13"/>
        <w:tblW w:w="6152"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7"/>
        <w:gridCol w:w="4794"/>
        <w:gridCol w:w="1759"/>
        <w:gridCol w:w="1455"/>
      </w:tblGrid>
      <w:tr w14:paraId="17EE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noWrap/>
            <w:vAlign w:val="center"/>
          </w:tcPr>
          <w:p w14:paraId="06298C3E">
            <w:pPr>
              <w:widowControl/>
              <w:spacing w:line="360" w:lineRule="auto"/>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服务名称</w:t>
            </w:r>
          </w:p>
        </w:tc>
        <w:tc>
          <w:tcPr>
            <w:tcW w:w="2286" w:type="pct"/>
            <w:noWrap/>
            <w:vAlign w:val="center"/>
          </w:tcPr>
          <w:p w14:paraId="02F5E83D">
            <w:pPr>
              <w:widowControl/>
              <w:spacing w:line="360" w:lineRule="auto"/>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服务内容</w:t>
            </w:r>
          </w:p>
        </w:tc>
        <w:tc>
          <w:tcPr>
            <w:tcW w:w="839" w:type="pct"/>
            <w:noWrap/>
            <w:vAlign w:val="center"/>
          </w:tcPr>
          <w:p w14:paraId="2EDB2B1A">
            <w:pPr>
              <w:widowControl/>
              <w:spacing w:line="360" w:lineRule="auto"/>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服务数量</w:t>
            </w:r>
          </w:p>
        </w:tc>
        <w:tc>
          <w:tcPr>
            <w:tcW w:w="694" w:type="pct"/>
            <w:noWrap/>
            <w:vAlign w:val="center"/>
          </w:tcPr>
          <w:p w14:paraId="29114E1B">
            <w:pPr>
              <w:widowControl/>
              <w:spacing w:line="360" w:lineRule="auto"/>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单位</w:t>
            </w:r>
          </w:p>
        </w:tc>
      </w:tr>
      <w:tr w14:paraId="6C2DA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restart"/>
            <w:vAlign w:val="center"/>
          </w:tcPr>
          <w:p w14:paraId="2493991B">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安全运营支撑服务</w:t>
            </w:r>
          </w:p>
        </w:tc>
        <w:tc>
          <w:tcPr>
            <w:tcW w:w="2286" w:type="pct"/>
            <w:vAlign w:val="center"/>
          </w:tcPr>
          <w:p w14:paraId="4D656BA9">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堡垒机服务</w:t>
            </w:r>
          </w:p>
        </w:tc>
        <w:tc>
          <w:tcPr>
            <w:tcW w:w="839" w:type="pct"/>
            <w:noWrap/>
            <w:vAlign w:val="center"/>
          </w:tcPr>
          <w:p w14:paraId="46E01DD7">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1EE5AD14">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72CD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2E9DF86C">
            <w:pPr>
              <w:widowControl/>
              <w:spacing w:line="360" w:lineRule="auto"/>
              <w:jc w:val="left"/>
              <w:rPr>
                <w:rFonts w:hint="eastAsia" w:ascii="宋体" w:hAnsi="宋体" w:eastAsia="宋体" w:cs="宋体"/>
                <w:color w:val="000000"/>
                <w:kern w:val="0"/>
                <w:sz w:val="24"/>
              </w:rPr>
            </w:pPr>
          </w:p>
        </w:tc>
        <w:tc>
          <w:tcPr>
            <w:tcW w:w="2286" w:type="pct"/>
            <w:vAlign w:val="center"/>
          </w:tcPr>
          <w:p w14:paraId="7D502378">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日志审计服务</w:t>
            </w:r>
          </w:p>
        </w:tc>
        <w:tc>
          <w:tcPr>
            <w:tcW w:w="839" w:type="pct"/>
            <w:noWrap/>
            <w:vAlign w:val="center"/>
          </w:tcPr>
          <w:p w14:paraId="066DA371">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3723C872">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2B05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5095B3CC">
            <w:pPr>
              <w:widowControl/>
              <w:spacing w:line="360" w:lineRule="auto"/>
              <w:jc w:val="left"/>
              <w:rPr>
                <w:rFonts w:hint="eastAsia" w:ascii="宋体" w:hAnsi="宋体" w:eastAsia="宋体" w:cs="宋体"/>
                <w:color w:val="000000"/>
                <w:kern w:val="0"/>
                <w:sz w:val="24"/>
              </w:rPr>
            </w:pPr>
          </w:p>
        </w:tc>
        <w:tc>
          <w:tcPr>
            <w:tcW w:w="2286" w:type="pct"/>
            <w:vAlign w:val="center"/>
          </w:tcPr>
          <w:p w14:paraId="1A1F8515">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数据库审计服务</w:t>
            </w:r>
          </w:p>
        </w:tc>
        <w:tc>
          <w:tcPr>
            <w:tcW w:w="839" w:type="pct"/>
            <w:noWrap/>
            <w:vAlign w:val="center"/>
          </w:tcPr>
          <w:p w14:paraId="464146A7">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51404E35">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501B5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7F2C8361">
            <w:pPr>
              <w:widowControl/>
              <w:spacing w:line="360" w:lineRule="auto"/>
              <w:jc w:val="left"/>
              <w:rPr>
                <w:rFonts w:hint="eastAsia" w:ascii="宋体" w:hAnsi="宋体" w:eastAsia="宋体" w:cs="宋体"/>
                <w:color w:val="000000"/>
                <w:kern w:val="0"/>
                <w:sz w:val="24"/>
              </w:rPr>
            </w:pPr>
          </w:p>
        </w:tc>
        <w:tc>
          <w:tcPr>
            <w:tcW w:w="2286" w:type="pct"/>
            <w:vAlign w:val="center"/>
          </w:tcPr>
          <w:p w14:paraId="69B91353">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主机杀毒安全防护系统服务</w:t>
            </w:r>
          </w:p>
        </w:tc>
        <w:tc>
          <w:tcPr>
            <w:tcW w:w="839" w:type="pct"/>
            <w:noWrap/>
            <w:vAlign w:val="center"/>
          </w:tcPr>
          <w:p w14:paraId="7C27575A">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0C4F0FBC">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7E6B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4337C81E">
            <w:pPr>
              <w:widowControl/>
              <w:spacing w:line="360" w:lineRule="auto"/>
              <w:jc w:val="left"/>
              <w:rPr>
                <w:rFonts w:hint="eastAsia" w:ascii="宋体" w:hAnsi="宋体" w:eastAsia="宋体" w:cs="宋体"/>
                <w:color w:val="000000"/>
                <w:kern w:val="0"/>
                <w:sz w:val="24"/>
              </w:rPr>
            </w:pPr>
          </w:p>
        </w:tc>
        <w:tc>
          <w:tcPr>
            <w:tcW w:w="2286" w:type="pct"/>
            <w:vAlign w:val="center"/>
          </w:tcPr>
          <w:p w14:paraId="4E0510C6">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防火墙服务</w:t>
            </w:r>
          </w:p>
        </w:tc>
        <w:tc>
          <w:tcPr>
            <w:tcW w:w="839" w:type="pct"/>
            <w:noWrap/>
            <w:vAlign w:val="center"/>
          </w:tcPr>
          <w:p w14:paraId="336148A8">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3</w:t>
            </w:r>
          </w:p>
        </w:tc>
        <w:tc>
          <w:tcPr>
            <w:tcW w:w="694" w:type="pct"/>
            <w:noWrap/>
            <w:vAlign w:val="center"/>
          </w:tcPr>
          <w:p w14:paraId="362D2EDF">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3D791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0E49FCF8">
            <w:pPr>
              <w:widowControl/>
              <w:spacing w:line="360" w:lineRule="auto"/>
              <w:jc w:val="left"/>
              <w:rPr>
                <w:rFonts w:hint="eastAsia" w:ascii="宋体" w:hAnsi="宋体" w:eastAsia="宋体" w:cs="宋体"/>
                <w:color w:val="000000"/>
                <w:kern w:val="0"/>
                <w:sz w:val="24"/>
              </w:rPr>
            </w:pPr>
          </w:p>
        </w:tc>
        <w:tc>
          <w:tcPr>
            <w:tcW w:w="2286" w:type="pct"/>
            <w:vAlign w:val="center"/>
          </w:tcPr>
          <w:p w14:paraId="477A5E08">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态势感知平台服务</w:t>
            </w:r>
          </w:p>
        </w:tc>
        <w:tc>
          <w:tcPr>
            <w:tcW w:w="839" w:type="pct"/>
            <w:noWrap/>
            <w:vAlign w:val="center"/>
          </w:tcPr>
          <w:p w14:paraId="3C762BA1">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1C748759">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64FA1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6A3CAE11">
            <w:pPr>
              <w:widowControl/>
              <w:spacing w:line="360" w:lineRule="auto"/>
              <w:jc w:val="left"/>
              <w:rPr>
                <w:rFonts w:hint="eastAsia" w:ascii="宋体" w:hAnsi="宋体" w:eastAsia="宋体" w:cs="宋体"/>
                <w:color w:val="000000"/>
                <w:kern w:val="0"/>
                <w:sz w:val="24"/>
              </w:rPr>
            </w:pPr>
          </w:p>
        </w:tc>
        <w:tc>
          <w:tcPr>
            <w:tcW w:w="2286" w:type="pct"/>
            <w:vAlign w:val="center"/>
          </w:tcPr>
          <w:p w14:paraId="34EEA994">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上网行为管理系统服务</w:t>
            </w:r>
          </w:p>
        </w:tc>
        <w:tc>
          <w:tcPr>
            <w:tcW w:w="839" w:type="pct"/>
            <w:noWrap/>
            <w:vAlign w:val="center"/>
          </w:tcPr>
          <w:p w14:paraId="42EC5FB8">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0120DE3B">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776CA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6A1F8FC0">
            <w:pPr>
              <w:widowControl/>
              <w:spacing w:line="360" w:lineRule="auto"/>
              <w:jc w:val="left"/>
              <w:rPr>
                <w:rFonts w:hint="eastAsia" w:ascii="宋体" w:hAnsi="宋体" w:eastAsia="宋体" w:cs="宋体"/>
                <w:color w:val="000000"/>
                <w:kern w:val="0"/>
                <w:sz w:val="24"/>
              </w:rPr>
            </w:pPr>
          </w:p>
        </w:tc>
        <w:tc>
          <w:tcPr>
            <w:tcW w:w="2286" w:type="pct"/>
            <w:vAlign w:val="center"/>
          </w:tcPr>
          <w:p w14:paraId="57DAAE3D">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人员安全服务</w:t>
            </w:r>
          </w:p>
        </w:tc>
        <w:tc>
          <w:tcPr>
            <w:tcW w:w="839" w:type="pct"/>
            <w:noWrap/>
            <w:vAlign w:val="center"/>
          </w:tcPr>
          <w:p w14:paraId="7B5B2CCE">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73D2C216">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1250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1EFCEBF4">
            <w:pPr>
              <w:widowControl/>
              <w:spacing w:line="360" w:lineRule="auto"/>
              <w:jc w:val="left"/>
              <w:rPr>
                <w:rFonts w:hint="eastAsia" w:ascii="宋体" w:hAnsi="宋体" w:eastAsia="宋体" w:cs="宋体"/>
                <w:color w:val="000000"/>
                <w:kern w:val="0"/>
                <w:sz w:val="24"/>
              </w:rPr>
            </w:pPr>
          </w:p>
        </w:tc>
        <w:tc>
          <w:tcPr>
            <w:tcW w:w="2286" w:type="pct"/>
            <w:vAlign w:val="center"/>
          </w:tcPr>
          <w:p w14:paraId="67F4B300">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网站安全防护服务</w:t>
            </w:r>
          </w:p>
        </w:tc>
        <w:tc>
          <w:tcPr>
            <w:tcW w:w="839" w:type="pct"/>
            <w:noWrap/>
            <w:vAlign w:val="center"/>
          </w:tcPr>
          <w:p w14:paraId="3183EC28">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2D077640">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3CE2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restart"/>
            <w:noWrap/>
            <w:vAlign w:val="center"/>
          </w:tcPr>
          <w:p w14:paraId="2CA0E66B">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人员驻场及其他服务</w:t>
            </w:r>
          </w:p>
        </w:tc>
        <w:tc>
          <w:tcPr>
            <w:tcW w:w="2286" w:type="pct"/>
            <w:vAlign w:val="center"/>
          </w:tcPr>
          <w:p w14:paraId="33B467F2">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接入交换机服务</w:t>
            </w:r>
          </w:p>
        </w:tc>
        <w:tc>
          <w:tcPr>
            <w:tcW w:w="839" w:type="pct"/>
            <w:noWrap/>
            <w:vAlign w:val="center"/>
          </w:tcPr>
          <w:p w14:paraId="2B0476EC">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4</w:t>
            </w:r>
          </w:p>
        </w:tc>
        <w:tc>
          <w:tcPr>
            <w:tcW w:w="694" w:type="pct"/>
            <w:noWrap/>
            <w:vAlign w:val="center"/>
          </w:tcPr>
          <w:p w14:paraId="65530490">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项</w:t>
            </w:r>
          </w:p>
        </w:tc>
      </w:tr>
      <w:tr w14:paraId="64C0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1302FA13">
            <w:pPr>
              <w:widowControl/>
              <w:spacing w:line="360" w:lineRule="auto"/>
              <w:jc w:val="left"/>
              <w:rPr>
                <w:rFonts w:hint="eastAsia" w:ascii="宋体" w:hAnsi="宋体" w:eastAsia="宋体" w:cs="宋体"/>
                <w:color w:val="000000"/>
                <w:kern w:val="0"/>
                <w:sz w:val="24"/>
              </w:rPr>
            </w:pPr>
          </w:p>
        </w:tc>
        <w:tc>
          <w:tcPr>
            <w:tcW w:w="2286" w:type="pct"/>
            <w:vAlign w:val="center"/>
          </w:tcPr>
          <w:p w14:paraId="74405981">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驻场运维服务</w:t>
            </w:r>
          </w:p>
        </w:tc>
        <w:tc>
          <w:tcPr>
            <w:tcW w:w="839" w:type="pct"/>
            <w:noWrap/>
            <w:vAlign w:val="center"/>
          </w:tcPr>
          <w:p w14:paraId="63B6A951">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694" w:type="pct"/>
            <w:noWrap/>
            <w:vAlign w:val="center"/>
          </w:tcPr>
          <w:p w14:paraId="718A6137">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人/年</w:t>
            </w:r>
          </w:p>
        </w:tc>
      </w:tr>
      <w:tr w14:paraId="345F5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Merge w:val="continue"/>
            <w:vAlign w:val="center"/>
          </w:tcPr>
          <w:p w14:paraId="42EA1DCC">
            <w:pPr>
              <w:widowControl/>
              <w:spacing w:line="360" w:lineRule="auto"/>
              <w:jc w:val="left"/>
              <w:rPr>
                <w:rFonts w:hint="eastAsia" w:ascii="宋体" w:hAnsi="宋体" w:eastAsia="宋体" w:cs="宋体"/>
                <w:color w:val="000000"/>
                <w:kern w:val="0"/>
                <w:sz w:val="24"/>
              </w:rPr>
            </w:pPr>
          </w:p>
        </w:tc>
        <w:tc>
          <w:tcPr>
            <w:tcW w:w="2286" w:type="pct"/>
            <w:vAlign w:val="center"/>
          </w:tcPr>
          <w:p w14:paraId="2A85E417">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SSL证书服务</w:t>
            </w:r>
          </w:p>
        </w:tc>
        <w:tc>
          <w:tcPr>
            <w:tcW w:w="839" w:type="pct"/>
            <w:noWrap/>
            <w:vAlign w:val="center"/>
          </w:tcPr>
          <w:p w14:paraId="6D8C1D0C">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2</w:t>
            </w:r>
          </w:p>
        </w:tc>
        <w:tc>
          <w:tcPr>
            <w:tcW w:w="694" w:type="pct"/>
            <w:noWrap/>
            <w:vAlign w:val="center"/>
          </w:tcPr>
          <w:p w14:paraId="33433545">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套/年</w:t>
            </w:r>
          </w:p>
        </w:tc>
      </w:tr>
      <w:tr w14:paraId="6337C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pct"/>
            <w:vAlign w:val="center"/>
          </w:tcPr>
          <w:p w14:paraId="42B31766">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等保测评服务</w:t>
            </w:r>
          </w:p>
        </w:tc>
        <w:tc>
          <w:tcPr>
            <w:tcW w:w="2286" w:type="pct"/>
            <w:vAlign w:val="center"/>
          </w:tcPr>
          <w:p w14:paraId="6B957619">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武汉图书馆官网、图创业务系统</w:t>
            </w:r>
          </w:p>
        </w:tc>
        <w:tc>
          <w:tcPr>
            <w:tcW w:w="839" w:type="pct"/>
            <w:noWrap/>
            <w:vAlign w:val="center"/>
          </w:tcPr>
          <w:p w14:paraId="5FE09950">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2</w:t>
            </w:r>
          </w:p>
        </w:tc>
        <w:tc>
          <w:tcPr>
            <w:tcW w:w="694" w:type="pct"/>
            <w:noWrap/>
            <w:vAlign w:val="center"/>
          </w:tcPr>
          <w:p w14:paraId="46667232">
            <w:pPr>
              <w:widowControl/>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个</w:t>
            </w:r>
          </w:p>
        </w:tc>
      </w:tr>
    </w:tbl>
    <w:p w14:paraId="00EF15B9">
      <w:pPr>
        <w:pStyle w:val="4"/>
        <w:numPr>
          <w:ilvl w:val="0"/>
          <w:numId w:val="0"/>
        </w:numPr>
      </w:pPr>
      <w:r>
        <w:rPr>
          <w:rFonts w:hint="eastAsia"/>
        </w:rPr>
        <w:t>4.</w:t>
      </w:r>
      <w:r>
        <w:t>2</w:t>
      </w:r>
      <w:r>
        <w:rPr>
          <w:rFonts w:hint="eastAsia"/>
        </w:rPr>
        <w:t xml:space="preserve"> 技术要求和商务要求</w:t>
      </w:r>
    </w:p>
    <w:p w14:paraId="7EE23F4D">
      <w:pPr>
        <w:pStyle w:val="5"/>
        <w:numPr>
          <w:ilvl w:val="0"/>
          <w:numId w:val="0"/>
        </w:numPr>
      </w:pPr>
      <w:r>
        <w:rPr>
          <w:rFonts w:hint="eastAsia"/>
        </w:rPr>
        <w:t>4.</w:t>
      </w:r>
      <w:r>
        <w:t xml:space="preserve">2.1 </w:t>
      </w:r>
      <w:r>
        <w:rPr>
          <w:rFonts w:hint="eastAsia"/>
        </w:rPr>
        <w:t>技术要求</w:t>
      </w:r>
      <w:bookmarkStart w:id="0" w:name="_Toc132368729"/>
    </w:p>
    <w:p w14:paraId="7B38191E">
      <w:pPr>
        <w:pStyle w:val="6"/>
      </w:pPr>
      <w:r>
        <w:rPr>
          <w:rFonts w:hint="eastAsia"/>
        </w:rPr>
        <w:t>4.2.1.1 安全运营支撑服务</w:t>
      </w:r>
    </w:p>
    <w:p w14:paraId="4DB994A7">
      <w:pPr>
        <w:pStyle w:val="7"/>
      </w:pPr>
      <w:r>
        <w:rPr>
          <w:rFonts w:hint="eastAsia"/>
        </w:rPr>
        <w:t>4.2.1.1.1 堡垒机服务</w:t>
      </w:r>
      <w:bookmarkEnd w:id="0"/>
    </w:p>
    <w:p w14:paraId="6388BA62">
      <w:pPr>
        <w:spacing w:line="360" w:lineRule="auto"/>
        <w:ind w:firstLine="480"/>
        <w:rPr>
          <w:rFonts w:hint="eastAsia" w:ascii="宋体" w:hAnsi="宋体"/>
          <w:sz w:val="24"/>
        </w:rPr>
      </w:pPr>
      <w:r>
        <w:rPr>
          <w:rFonts w:ascii="宋体" w:hAnsi="宋体"/>
          <w:sz w:val="24"/>
        </w:rPr>
        <w:t>1、标准1U机架式设备，授权资产≥100个；并发字符连接≥100个；并发图形连接≥20个；内存≥8GB，硬盘≥2T，单电源，配置千兆电口≥6个，含一年设备租赁及软件升级服务。</w:t>
      </w:r>
    </w:p>
    <w:p w14:paraId="0F633B23">
      <w:pPr>
        <w:spacing w:line="360" w:lineRule="auto"/>
        <w:ind w:firstLine="480"/>
        <w:rPr>
          <w:rFonts w:hint="eastAsia" w:ascii="宋体" w:hAnsi="宋体"/>
          <w:sz w:val="24"/>
        </w:rPr>
      </w:pPr>
      <w:r>
        <w:rPr>
          <w:rFonts w:ascii="宋体" w:hAnsi="宋体"/>
          <w:sz w:val="24"/>
        </w:rPr>
        <w:t>2、支持用户多角色划分功能，如系统管理员、部门管理员、运维员、审计管理员、密码管理员等，对各类角色需要进行细粒度的权限管理；支持自定义用户权限。</w:t>
      </w:r>
    </w:p>
    <w:p w14:paraId="6CE07904">
      <w:pPr>
        <w:spacing w:line="360" w:lineRule="auto"/>
        <w:ind w:firstLine="480"/>
        <w:rPr>
          <w:rFonts w:hint="eastAsia" w:ascii="宋体" w:hAnsi="宋体"/>
          <w:sz w:val="24"/>
        </w:rPr>
      </w:pPr>
      <w:r>
        <w:rPr>
          <w:rFonts w:ascii="宋体" w:hAnsi="宋体"/>
          <w:sz w:val="24"/>
        </w:rPr>
        <w:t>3、支持按部门组织架构（至少5个层级的部门）管理用户数据、资产数据、授权数据、审计数据，且数据相互隔离；可按部门层级分别设定各部门不同权限的管理员，如部门内的运维管理员、审计管理员、系统管理员等。</w:t>
      </w:r>
    </w:p>
    <w:p w14:paraId="7A8F7D58">
      <w:pPr>
        <w:spacing w:line="360" w:lineRule="auto"/>
        <w:ind w:firstLine="480"/>
        <w:rPr>
          <w:rFonts w:hint="eastAsia" w:ascii="宋体" w:hAnsi="宋体"/>
          <w:sz w:val="24"/>
        </w:rPr>
      </w:pPr>
      <w:r>
        <w:rPr>
          <w:rFonts w:ascii="宋体" w:hAnsi="宋体"/>
          <w:sz w:val="24"/>
        </w:rPr>
        <w:t>4、支持手机APP动态口令认证方式登录堡垒机，新用户首次登录后需强制绑定APP动态口令；支持AD、LDAP、RADIUS、吉大正元、北京CA认证系统联动登录堡垒机，支持自动同步AD/LDAP用户。</w:t>
      </w:r>
    </w:p>
    <w:p w14:paraId="6DC89293">
      <w:pPr>
        <w:spacing w:line="360" w:lineRule="auto"/>
        <w:ind w:firstLine="480"/>
        <w:rPr>
          <w:rFonts w:hint="eastAsia" w:ascii="宋体" w:hAnsi="宋体"/>
          <w:sz w:val="24"/>
        </w:rPr>
      </w:pPr>
      <w:r>
        <w:rPr>
          <w:rFonts w:ascii="宋体" w:hAnsi="宋体"/>
          <w:sz w:val="24"/>
        </w:rPr>
        <w:t>5、支持基于国密算法的动态令牌/USBkey进行双因子认证</w:t>
      </w:r>
      <w:r>
        <w:rPr>
          <w:rFonts w:hint="eastAsia" w:ascii="宋体" w:hAnsi="宋体"/>
          <w:sz w:val="24"/>
        </w:rPr>
        <w:t>。</w:t>
      </w:r>
    </w:p>
    <w:p w14:paraId="42AC0A1D">
      <w:pPr>
        <w:spacing w:line="360" w:lineRule="auto"/>
        <w:ind w:firstLine="480"/>
        <w:rPr>
          <w:rFonts w:hint="eastAsia" w:ascii="宋体" w:hAnsi="宋体"/>
          <w:sz w:val="24"/>
        </w:rPr>
      </w:pPr>
      <w:r>
        <w:rPr>
          <w:rFonts w:ascii="宋体" w:hAnsi="宋体"/>
          <w:sz w:val="24"/>
        </w:rPr>
        <w:t>6、同一个用户支持同时启用多种身份认证方式，登录堡垒机时可任意选择，如A用户登录时，可选择本地密码+手机APP或本地密码+动态令牌等。</w:t>
      </w:r>
    </w:p>
    <w:p w14:paraId="4E145160">
      <w:pPr>
        <w:spacing w:line="360" w:lineRule="auto"/>
        <w:ind w:firstLine="480"/>
        <w:rPr>
          <w:rFonts w:hint="eastAsia" w:ascii="宋体" w:hAnsi="宋体"/>
          <w:sz w:val="24"/>
        </w:rPr>
      </w:pPr>
      <w:r>
        <w:rPr>
          <w:rFonts w:ascii="宋体" w:hAnsi="宋体"/>
          <w:sz w:val="24"/>
        </w:rPr>
        <w:t>7、支持常用的运维协议：SSH、TELNET、RDP、VNC、FTP、SFTP、rlogin、X11；可通过应用发布的方式进行协议扩展，如数据库Oracle、MSSQL、MySQL、VMware vSphere Client、浏览器等客户端工具。</w:t>
      </w:r>
    </w:p>
    <w:p w14:paraId="7C82C13D">
      <w:pPr>
        <w:spacing w:line="360" w:lineRule="auto"/>
        <w:ind w:firstLine="480"/>
        <w:rPr>
          <w:rFonts w:hint="eastAsia" w:ascii="宋体" w:hAnsi="宋体"/>
          <w:sz w:val="24"/>
        </w:rPr>
      </w:pPr>
      <w:r>
        <w:rPr>
          <w:rFonts w:ascii="宋体" w:hAnsi="宋体"/>
          <w:sz w:val="24"/>
        </w:rPr>
        <w:t>8、单点登录支持调用多种本地客户端工具。字符：xshell、secureCRT、putty，图形：mstsc、realvnc；文件传输：secureEX、flashFXP、filezill</w:t>
      </w:r>
    </w:p>
    <w:p w14:paraId="3F3C3A8B">
      <w:pPr>
        <w:spacing w:line="360" w:lineRule="auto"/>
        <w:rPr>
          <w:rFonts w:hint="eastAsia" w:ascii="宋体" w:hAnsi="宋体"/>
          <w:sz w:val="24"/>
        </w:rPr>
      </w:pPr>
      <w:r>
        <w:rPr>
          <w:rFonts w:ascii="宋体" w:hAnsi="宋体"/>
          <w:sz w:val="24"/>
        </w:rPr>
        <w:t>a、winscp；数据库：ssms、sqlwb、mysqlworkbench、mysql、dbvisualizer、plsql、sqlplus、toad、db2cmd、quest central，无需应用发布服务器。</w:t>
      </w:r>
    </w:p>
    <w:p w14:paraId="049ECA3B">
      <w:pPr>
        <w:spacing w:line="360" w:lineRule="auto"/>
        <w:ind w:firstLine="480"/>
        <w:rPr>
          <w:rFonts w:hint="eastAsia" w:ascii="宋体" w:hAnsi="宋体"/>
          <w:sz w:val="24"/>
        </w:rPr>
      </w:pPr>
      <w:r>
        <w:rPr>
          <w:rFonts w:ascii="宋体" w:hAnsi="宋体"/>
          <w:sz w:val="24"/>
        </w:rPr>
        <w:t>9、标准支持DB2、oracle、mysql、sqlserver、PG、人大金仓、达梦数据库的协议运维代理，可实现自动登录，自动登录可直接调用本地windows系统的数据库客户端工具（包括ssms、sqlwb、workbench、mysql、DbVisualizer</w:t>
      </w:r>
    </w:p>
    <w:p w14:paraId="5AC0E3D7">
      <w:pPr>
        <w:spacing w:line="360" w:lineRule="auto"/>
        <w:rPr>
          <w:rFonts w:hint="eastAsia" w:ascii="宋体" w:hAnsi="宋体"/>
          <w:sz w:val="24"/>
        </w:rPr>
      </w:pPr>
      <w:r>
        <w:rPr>
          <w:rFonts w:ascii="宋体" w:hAnsi="宋体"/>
          <w:sz w:val="24"/>
        </w:rPr>
        <w:t>、plsql、sqlplus、toad、dbcmd、Quest Central、pgadmin3、psql、ksql、Isql、DIsql、DMmanger等），无需应用发布前置机。</w:t>
      </w:r>
    </w:p>
    <w:p w14:paraId="34F1A7F7">
      <w:pPr>
        <w:spacing w:line="360" w:lineRule="auto"/>
        <w:ind w:firstLine="480"/>
        <w:rPr>
          <w:rFonts w:hint="eastAsia" w:ascii="宋体" w:hAnsi="宋体"/>
          <w:sz w:val="24"/>
        </w:rPr>
      </w:pPr>
      <w:r>
        <w:rPr>
          <w:rFonts w:ascii="宋体" w:hAnsi="宋体"/>
          <w:sz w:val="24"/>
        </w:rPr>
        <w:t>10、支持对常见数据库及国产数据库的自动改密功能，包括DB2</w:t>
      </w:r>
      <w:r>
        <w:rPr>
          <w:rFonts w:hint="eastAsia" w:ascii="宋体" w:hAnsi="宋体"/>
          <w:sz w:val="24"/>
        </w:rPr>
        <w:t>、</w:t>
      </w:r>
      <w:r>
        <w:rPr>
          <w:rFonts w:ascii="宋体" w:hAnsi="宋体"/>
          <w:sz w:val="24"/>
        </w:rPr>
        <w:t>oracl</w:t>
      </w:r>
    </w:p>
    <w:p w14:paraId="35C5880C">
      <w:pPr>
        <w:spacing w:line="360" w:lineRule="auto"/>
        <w:ind w:firstLine="199" w:firstLineChars="83"/>
        <w:rPr>
          <w:rFonts w:hint="eastAsia" w:ascii="宋体" w:hAnsi="宋体"/>
          <w:sz w:val="24"/>
        </w:rPr>
      </w:pPr>
      <w:r>
        <w:rPr>
          <w:rFonts w:ascii="宋体" w:hAnsi="宋体"/>
          <w:sz w:val="24"/>
        </w:rPr>
        <w:t>e、mysql、sqlserver、PG、人大金仓、达梦数据库等。</w:t>
      </w:r>
    </w:p>
    <w:p w14:paraId="7600FB9D">
      <w:pPr>
        <w:spacing w:line="360" w:lineRule="auto"/>
        <w:ind w:firstLine="480"/>
        <w:rPr>
          <w:rFonts w:hint="eastAsia" w:ascii="宋体" w:hAnsi="宋体"/>
          <w:sz w:val="24"/>
        </w:rPr>
      </w:pPr>
      <w:r>
        <w:rPr>
          <w:rFonts w:ascii="宋体" w:hAnsi="宋体"/>
          <w:sz w:val="24"/>
        </w:rPr>
        <w:t>11、支持UOS /麒麟等国产操作系统下C/S架构的堡垒机专用客户端登录堡垒机并进行管理及运维操作。</w:t>
      </w:r>
    </w:p>
    <w:p w14:paraId="06FAC530">
      <w:pPr>
        <w:pStyle w:val="7"/>
      </w:pPr>
      <w:bookmarkStart w:id="1" w:name="_Toc132368730"/>
      <w:r>
        <w:rPr>
          <w:rFonts w:hint="eastAsia"/>
        </w:rPr>
        <w:t>4.2.1.1.2 日志审计服务</w:t>
      </w:r>
      <w:bookmarkEnd w:id="1"/>
    </w:p>
    <w:p w14:paraId="5D6B680D">
      <w:pPr>
        <w:spacing w:line="360" w:lineRule="auto"/>
        <w:ind w:firstLine="480"/>
        <w:rPr>
          <w:rFonts w:hint="eastAsia" w:ascii="宋体" w:hAnsi="宋体"/>
          <w:sz w:val="24"/>
        </w:rPr>
      </w:pPr>
      <w:r>
        <w:rPr>
          <w:rFonts w:ascii="宋体" w:hAnsi="宋体"/>
          <w:sz w:val="24"/>
        </w:rPr>
        <w:t>1、标准1U机架式设备，日志处理能力≥2000EPS，峰值≥4000EPS,日志源授权≥50个，内存≥8G，硬盘≥2T，单电源，配置≥6个千兆电口，含一年设备租赁及软件升级服务。</w:t>
      </w:r>
    </w:p>
    <w:p w14:paraId="7C839B9A">
      <w:pPr>
        <w:spacing w:line="360" w:lineRule="auto"/>
        <w:ind w:firstLine="480"/>
        <w:rPr>
          <w:rFonts w:hint="eastAsia" w:ascii="宋体" w:hAnsi="宋体"/>
          <w:sz w:val="24"/>
        </w:rPr>
      </w:pPr>
      <w:r>
        <w:rPr>
          <w:rFonts w:ascii="宋体" w:hAnsi="宋体"/>
          <w:sz w:val="24"/>
        </w:rPr>
        <w:t>2、独立完成审计日志采集，不依赖于设备或系统自身的日志系统。</w:t>
      </w:r>
    </w:p>
    <w:p w14:paraId="5FF55DD3">
      <w:pPr>
        <w:spacing w:line="360" w:lineRule="auto"/>
        <w:ind w:firstLine="480"/>
        <w:rPr>
          <w:rFonts w:hint="eastAsia" w:ascii="宋体" w:hAnsi="宋体"/>
          <w:sz w:val="24"/>
        </w:rPr>
      </w:pPr>
      <w:r>
        <w:rPr>
          <w:rFonts w:ascii="宋体" w:hAnsi="宋体"/>
          <w:sz w:val="24"/>
        </w:rPr>
        <w:t>3、支持通过界面自定义字段方式实现与第三方平台的数据共享，快速满足第三方平台个性化分析和对接需求。</w:t>
      </w:r>
    </w:p>
    <w:p w14:paraId="631D63A8">
      <w:pPr>
        <w:spacing w:line="360" w:lineRule="auto"/>
        <w:ind w:firstLine="480"/>
        <w:rPr>
          <w:rFonts w:hint="eastAsia" w:ascii="宋体" w:hAnsi="宋体"/>
          <w:sz w:val="24"/>
        </w:rPr>
      </w:pPr>
      <w:r>
        <w:rPr>
          <w:rFonts w:ascii="宋体" w:hAnsi="宋体"/>
          <w:sz w:val="24"/>
        </w:rPr>
        <w:t>4、支持Syslog、SNMP Trap、HTTP、ODBC/JDBC、WMI、FTP、SFTP协议日志收集；支持阿里云SLS日志的采集。</w:t>
      </w:r>
    </w:p>
    <w:p w14:paraId="79851578">
      <w:pPr>
        <w:spacing w:line="360" w:lineRule="auto"/>
        <w:ind w:firstLine="480"/>
        <w:rPr>
          <w:rFonts w:hint="eastAsia" w:ascii="宋体" w:hAnsi="宋体"/>
          <w:sz w:val="24"/>
        </w:rPr>
      </w:pPr>
      <w:r>
        <w:rPr>
          <w:rFonts w:ascii="宋体" w:hAnsi="宋体"/>
          <w:sz w:val="24"/>
        </w:rPr>
        <w:t>5、支持的设备厂家包括但不限于：Cisco（思科）、Juniper、联想网御/网御神州、F5、华为、H3C、微软、绿盟、飞塔（Fortinet)、Foundry、天融信、启明星辰、天网、趋势、东软、Nokia、CheckPoint、Hillstone（山石）、安恒信息、珠海伟思、BEA、中国电信、安氏、帕拉迪、APC、Arbor、Clam、戴尔（Dell）、Digium、东方电子、EMC、中国电力科学研究院、Eudora、Google、冠群金辰、Linksys、McAFee、Netapp、永达、Sonicwall、Vigor、天存、Symantec（赛门铁克）、Hardened-PHP、Foundertech（方正）、三零盛安、Allot、蓝盾、IBM、金诺网安、网威、Nortel（北电）、Citrix（思杰）、Watchguard、中兴、阿帕奇、Windows系统日志、Linux/UNIX syslog、IIS、Apache等。</w:t>
      </w:r>
    </w:p>
    <w:p w14:paraId="01959CF3">
      <w:pPr>
        <w:spacing w:line="360" w:lineRule="auto"/>
        <w:ind w:firstLine="480"/>
        <w:rPr>
          <w:rFonts w:hint="eastAsia" w:ascii="宋体" w:hAnsi="宋体"/>
          <w:sz w:val="24"/>
        </w:rPr>
      </w:pPr>
      <w:r>
        <w:rPr>
          <w:rFonts w:ascii="宋体" w:hAnsi="宋体"/>
          <w:sz w:val="24"/>
        </w:rPr>
        <w:t>6、内置5000+解析规则，支持对收集的5000+设备类型日志进行解析（标准化、归一化），解析维度多达200+，解析规则可以根据客户要求定制扩展。</w:t>
      </w:r>
    </w:p>
    <w:p w14:paraId="63B2CF98">
      <w:pPr>
        <w:spacing w:line="360" w:lineRule="auto"/>
        <w:ind w:firstLine="480"/>
        <w:rPr>
          <w:rFonts w:hint="eastAsia" w:ascii="宋体" w:hAnsi="宋体"/>
          <w:sz w:val="24"/>
        </w:rPr>
      </w:pPr>
      <w:r>
        <w:rPr>
          <w:rFonts w:ascii="宋体" w:hAnsi="宋体"/>
          <w:sz w:val="24"/>
        </w:rPr>
        <w:t>7、具备安全评估模型，评估模型基于设备故障、认证登录、攻击威胁、可用性、系统脆弱性等纬度加权平均计算总体安全指数。安全评估模型可以显示总体评分、历史评分趋势。安全评估模型各项指标可钻取具体的评分扣分事件。</w:t>
      </w:r>
    </w:p>
    <w:p w14:paraId="5DD2F8B3">
      <w:pPr>
        <w:spacing w:line="360" w:lineRule="auto"/>
        <w:ind w:firstLine="480"/>
        <w:rPr>
          <w:rFonts w:hint="eastAsia" w:ascii="宋体" w:hAnsi="宋体"/>
          <w:sz w:val="24"/>
        </w:rPr>
      </w:pPr>
      <w:r>
        <w:rPr>
          <w:rFonts w:ascii="宋体" w:hAnsi="宋体"/>
          <w:sz w:val="24"/>
        </w:rPr>
        <w:t>8、三维关联分析；支持通过资产、安全知识库、弱点库三个维度分析事件是否存在威胁，并形成关联事件。</w:t>
      </w:r>
    </w:p>
    <w:p w14:paraId="019BC159">
      <w:pPr>
        <w:spacing w:line="360" w:lineRule="auto"/>
        <w:ind w:firstLine="480"/>
        <w:rPr>
          <w:rFonts w:hint="eastAsia" w:ascii="宋体" w:hAnsi="宋体"/>
          <w:sz w:val="24"/>
        </w:rPr>
      </w:pPr>
      <w:r>
        <w:rPr>
          <w:rFonts w:ascii="宋体" w:hAnsi="宋体"/>
          <w:sz w:val="24"/>
        </w:rPr>
        <w:t>9、通过在目标主机上安装Agent程序，支持监测目标主机的CPU利用率、内存使用率、磁盘使用率、磁盘使用情况、流量等信息。</w:t>
      </w:r>
    </w:p>
    <w:p w14:paraId="122E9452">
      <w:pPr>
        <w:pStyle w:val="7"/>
      </w:pPr>
      <w:bookmarkStart w:id="2" w:name="_Toc132368731"/>
      <w:r>
        <w:rPr>
          <w:rFonts w:hint="eastAsia"/>
        </w:rPr>
        <w:t>4.2.1.1.3 数据库审计服务</w:t>
      </w:r>
      <w:bookmarkEnd w:id="2"/>
    </w:p>
    <w:p w14:paraId="1FFCD5DF">
      <w:pPr>
        <w:spacing w:line="360" w:lineRule="auto"/>
        <w:ind w:firstLine="480"/>
        <w:rPr>
          <w:rFonts w:hint="eastAsia" w:ascii="宋体" w:hAnsi="宋体"/>
          <w:sz w:val="24"/>
        </w:rPr>
      </w:pPr>
      <w:r>
        <w:rPr>
          <w:rFonts w:ascii="宋体" w:hAnsi="宋体"/>
          <w:sz w:val="24"/>
        </w:rPr>
        <w:t>1、标准1U机架式设备，配置数据库实例个数≥4，峰值SQL处理能力≥6000条/秒，吞吐量≥500Mbps，双向审计数据库流量≥100Mbps，标配日志存储数≥10亿条，审计日志检索能力≥1500万条/秒，内存≥8GB，硬盘≥2TB，单电源，配置≥6个千兆电口，含一年设备租赁及软件升级服务。</w:t>
      </w:r>
    </w:p>
    <w:p w14:paraId="41A59BD0">
      <w:pPr>
        <w:spacing w:line="360" w:lineRule="auto"/>
        <w:ind w:firstLine="480"/>
        <w:rPr>
          <w:rFonts w:hint="eastAsia" w:ascii="宋体" w:hAnsi="宋体"/>
          <w:sz w:val="24"/>
        </w:rPr>
      </w:pPr>
      <w:r>
        <w:rPr>
          <w:rFonts w:ascii="宋体" w:hAnsi="宋体"/>
          <w:sz w:val="24"/>
        </w:rPr>
        <w:t>2、旁路部署模式下无须在被审计数据库系统上安装任何代理即可实现审计。</w:t>
      </w:r>
    </w:p>
    <w:p w14:paraId="09573F33">
      <w:pPr>
        <w:spacing w:line="360" w:lineRule="auto"/>
        <w:ind w:firstLine="480"/>
        <w:rPr>
          <w:rFonts w:hint="eastAsia" w:ascii="宋体" w:hAnsi="宋体"/>
          <w:sz w:val="24"/>
        </w:rPr>
      </w:pPr>
      <w:r>
        <w:rPr>
          <w:rFonts w:ascii="宋体" w:hAnsi="宋体"/>
          <w:sz w:val="24"/>
        </w:rPr>
        <w:t>3、可在云环境操作系统中安装软件代理</w:t>
      </w:r>
      <w:r>
        <w:rPr>
          <w:rFonts w:hint="eastAsia" w:ascii="宋体" w:hAnsi="宋体"/>
          <w:sz w:val="24"/>
        </w:rPr>
        <w:t>。</w:t>
      </w:r>
    </w:p>
    <w:p w14:paraId="732049B0">
      <w:pPr>
        <w:spacing w:line="360" w:lineRule="auto"/>
        <w:ind w:firstLine="480"/>
        <w:rPr>
          <w:rFonts w:hint="eastAsia" w:ascii="宋体" w:hAnsi="宋体"/>
          <w:sz w:val="24"/>
        </w:rPr>
      </w:pPr>
      <w:r>
        <w:rPr>
          <w:rFonts w:ascii="宋体" w:hAnsi="宋体"/>
          <w:sz w:val="24"/>
        </w:rPr>
        <w:t>4、支持Oracle（包括21C版本）、PostgreSQL、SQL Server、DB2、等主流数据库的审计。支持MongoDB、Hbase等非关系型数据库的审计。支持GAUSSDB、TERADATA、人大金仓、达梦（DM）、南大通用数据库（GBASE）、OSCAR、K-DB等国产数据库的审计。</w:t>
      </w:r>
    </w:p>
    <w:p w14:paraId="38B7CDB0">
      <w:pPr>
        <w:spacing w:line="360" w:lineRule="auto"/>
        <w:ind w:firstLine="480"/>
        <w:rPr>
          <w:rFonts w:hint="eastAsia" w:ascii="宋体" w:hAnsi="宋体"/>
          <w:sz w:val="24"/>
        </w:rPr>
      </w:pPr>
      <w:r>
        <w:rPr>
          <w:rFonts w:ascii="宋体" w:hAnsi="宋体"/>
          <w:sz w:val="24"/>
        </w:rPr>
        <w:t>5、审计信息能够记录执行时长，影响行数、执行结果描述与返回结果集。</w:t>
      </w:r>
    </w:p>
    <w:p w14:paraId="7E5AB060">
      <w:pPr>
        <w:spacing w:line="360" w:lineRule="auto"/>
        <w:ind w:firstLine="480"/>
        <w:rPr>
          <w:rFonts w:hint="eastAsia" w:ascii="宋体" w:hAnsi="宋体"/>
          <w:sz w:val="24"/>
        </w:rPr>
      </w:pPr>
      <w:r>
        <w:rPr>
          <w:rFonts w:ascii="宋体" w:hAnsi="宋体"/>
          <w:sz w:val="24"/>
        </w:rPr>
        <w:t>6、支持数据库请求和返回的双向审计，特别是返回字段和结果集、执行状态、返回行数、执行时长、客户端工具、主机名等内容，支持通过返回行数控制返回结果集大小。</w:t>
      </w:r>
    </w:p>
    <w:p w14:paraId="782D521A">
      <w:pPr>
        <w:spacing w:line="360" w:lineRule="auto"/>
        <w:ind w:firstLine="480"/>
        <w:rPr>
          <w:rFonts w:hint="eastAsia" w:ascii="宋体" w:hAnsi="宋体"/>
          <w:sz w:val="24"/>
        </w:rPr>
      </w:pPr>
      <w:r>
        <w:rPr>
          <w:rFonts w:ascii="宋体" w:hAnsi="宋体"/>
          <w:sz w:val="24"/>
        </w:rPr>
        <w:t>7、产品具有内置规则，规则类型有sql注入、账号安全、数据泄露和违规操作等，并可依据规则进行邮件告警；</w:t>
      </w:r>
    </w:p>
    <w:p w14:paraId="7DB399C4">
      <w:pPr>
        <w:spacing w:line="360" w:lineRule="auto"/>
        <w:ind w:firstLine="480"/>
        <w:rPr>
          <w:rFonts w:hint="eastAsia" w:ascii="宋体" w:hAnsi="宋体"/>
          <w:sz w:val="24"/>
        </w:rPr>
      </w:pPr>
      <w:r>
        <w:rPr>
          <w:rFonts w:ascii="宋体" w:hAnsi="宋体"/>
          <w:sz w:val="24"/>
        </w:rPr>
        <w:t>8、内置安全规则不少于900条，如SQL注入、缓冲区溢出等。</w:t>
      </w:r>
    </w:p>
    <w:p w14:paraId="6E1EEAD0">
      <w:pPr>
        <w:spacing w:line="360" w:lineRule="auto"/>
        <w:ind w:firstLine="480"/>
        <w:rPr>
          <w:rFonts w:hint="eastAsia" w:ascii="宋体" w:hAnsi="宋体"/>
          <w:sz w:val="24"/>
        </w:rPr>
      </w:pPr>
      <w:r>
        <w:rPr>
          <w:rFonts w:ascii="宋体" w:hAnsi="宋体"/>
          <w:sz w:val="24"/>
        </w:rPr>
        <w:t>9、支持基于数据库访问日期、时间、源/目的IP、来源、数据库名、数据库表名、字段值、数据库登录账号、SQL关键词、数据库返回码、SQL响应时间、数据库操作类型、影响行数等条件的审计查询；</w:t>
      </w:r>
    </w:p>
    <w:p w14:paraId="33231C15">
      <w:pPr>
        <w:spacing w:line="360" w:lineRule="auto"/>
        <w:ind w:firstLine="480"/>
        <w:rPr>
          <w:rFonts w:hint="eastAsia" w:ascii="宋体" w:hAnsi="宋体"/>
          <w:sz w:val="24"/>
        </w:rPr>
      </w:pPr>
      <w:r>
        <w:rPr>
          <w:rFonts w:ascii="宋体" w:hAnsi="宋体"/>
          <w:sz w:val="24"/>
        </w:rPr>
        <w:t>10、设置日志检索条件时，检索条件可根据历史信息自动弹出，检索条件支持源IP、目的IP、客户端工具、数据库名、数据库账号等，输入检索条件时支持智能联想。</w:t>
      </w:r>
    </w:p>
    <w:p w14:paraId="45927170">
      <w:pPr>
        <w:pStyle w:val="7"/>
      </w:pPr>
      <w:bookmarkStart w:id="3" w:name="_Toc132368732"/>
      <w:r>
        <w:rPr>
          <w:rFonts w:hint="eastAsia"/>
        </w:rPr>
        <w:t>4.2.1.1.4 主机杀毒安全防护系统服务</w:t>
      </w:r>
      <w:bookmarkEnd w:id="3"/>
    </w:p>
    <w:p w14:paraId="1E16BA78">
      <w:pPr>
        <w:spacing w:line="360" w:lineRule="auto"/>
        <w:ind w:firstLine="480"/>
        <w:rPr>
          <w:rFonts w:hint="eastAsia" w:ascii="宋体" w:hAnsi="宋体"/>
          <w:sz w:val="24"/>
        </w:rPr>
      </w:pPr>
      <w:r>
        <w:rPr>
          <w:rFonts w:ascii="宋体" w:hAnsi="宋体"/>
          <w:sz w:val="24"/>
        </w:rPr>
        <w:t>1、软件产品，支持在物理主机、虚拟机/云环境等多种模式下的部署需求；适用于各类型服务器防护、支持主流的信创版本：海光+中标麒麟/统信等。</w:t>
      </w:r>
    </w:p>
    <w:p w14:paraId="68FC4CD5">
      <w:pPr>
        <w:spacing w:line="360" w:lineRule="auto"/>
        <w:ind w:firstLine="480"/>
        <w:rPr>
          <w:rFonts w:hint="eastAsia" w:ascii="宋体" w:hAnsi="宋体"/>
          <w:sz w:val="24"/>
        </w:rPr>
      </w:pPr>
      <w:r>
        <w:rPr>
          <w:rFonts w:ascii="宋体" w:hAnsi="宋体"/>
          <w:sz w:val="24"/>
        </w:rPr>
        <w:t>2、提供1套主机安全管理中心，配置≥200台windows客户端、20台windows server客户端授权，具备主机安全审计、病毒查杀、漏洞管理、网络防护、勒索查杀、违规外联检测与阻断等安全检测与防御能力，从而高效管理内部服务器安全；含一年特征库及软件升级服务。</w:t>
      </w:r>
    </w:p>
    <w:p w14:paraId="321C6CE8">
      <w:pPr>
        <w:spacing w:line="360" w:lineRule="auto"/>
        <w:ind w:firstLine="480"/>
        <w:rPr>
          <w:rFonts w:hint="eastAsia" w:ascii="宋体" w:hAnsi="宋体"/>
          <w:sz w:val="24"/>
        </w:rPr>
      </w:pPr>
      <w:r>
        <w:rPr>
          <w:rFonts w:ascii="宋体" w:hAnsi="宋体"/>
          <w:sz w:val="24"/>
        </w:rPr>
        <w:t>3、支持对CPU、内存、磁盘读写、网络上下行流量达到配置阈值时告警。支持对CPU、内存达到一定阈值时客户端进行熔断。</w:t>
      </w:r>
    </w:p>
    <w:p w14:paraId="078ADED8">
      <w:pPr>
        <w:spacing w:line="360" w:lineRule="auto"/>
        <w:ind w:firstLine="480"/>
        <w:rPr>
          <w:rFonts w:hint="eastAsia" w:ascii="宋体" w:hAnsi="宋体"/>
          <w:sz w:val="24"/>
        </w:rPr>
      </w:pPr>
      <w:r>
        <w:rPr>
          <w:rFonts w:ascii="宋体" w:hAnsi="宋体"/>
          <w:sz w:val="24"/>
        </w:rPr>
        <w:t>4、支持对本机的扩展行为（信息收集、权限提升）进行监测，防止提权行为和信息泄露；对内网的恶意攻击行为进行识别（漏洞利用、横向移动），可阻断恶意探测行为网。</w:t>
      </w:r>
    </w:p>
    <w:p w14:paraId="7593C0C8">
      <w:pPr>
        <w:spacing w:line="360" w:lineRule="auto"/>
        <w:ind w:firstLine="480"/>
        <w:rPr>
          <w:rFonts w:hint="eastAsia" w:ascii="宋体" w:hAnsi="宋体"/>
          <w:sz w:val="24"/>
        </w:rPr>
      </w:pPr>
      <w:r>
        <w:rPr>
          <w:rFonts w:ascii="宋体" w:hAnsi="宋体"/>
          <w:sz w:val="24"/>
        </w:rPr>
        <w:t>5、支持基于IP及域名设置探测地址，实时感知违规外联行为，针对违规外联行为支持多种处置方式，包括不做处理、弹窗提醒用户，并关机、弹窗提醒用户并断网。</w:t>
      </w:r>
    </w:p>
    <w:p w14:paraId="4057C153">
      <w:pPr>
        <w:spacing w:line="360" w:lineRule="auto"/>
        <w:ind w:firstLine="480"/>
        <w:rPr>
          <w:rFonts w:hint="eastAsia" w:ascii="宋体" w:hAnsi="宋体"/>
          <w:sz w:val="24"/>
        </w:rPr>
      </w:pPr>
      <w:r>
        <w:rPr>
          <w:rFonts w:ascii="宋体" w:hAnsi="宋体"/>
          <w:sz w:val="24"/>
        </w:rPr>
        <w:t>6、支持智能检测并防御CC攻击，并可进行高、中、低三档设置；提供内核级防火墙（业务间流量东西向隔离）功能，包括IP、端口、协议、流向等细粒度权限控制。</w:t>
      </w:r>
    </w:p>
    <w:p w14:paraId="01A072FC">
      <w:pPr>
        <w:spacing w:line="360" w:lineRule="auto"/>
        <w:ind w:firstLine="480"/>
        <w:rPr>
          <w:rFonts w:hint="eastAsia" w:ascii="宋体" w:hAnsi="宋体"/>
          <w:sz w:val="24"/>
        </w:rPr>
      </w:pPr>
      <w:r>
        <w:rPr>
          <w:rFonts w:ascii="宋体" w:hAnsi="宋体"/>
          <w:sz w:val="24"/>
        </w:rPr>
        <w:t>7、支持登录防护，包括以系统账号为粒度的异常登录防护、支持4个任意维度（任意IP，任意域名，任意计算机名，任意时间）的系统登录访问策略设置。</w:t>
      </w:r>
    </w:p>
    <w:p w14:paraId="0367DB42">
      <w:pPr>
        <w:spacing w:line="360" w:lineRule="auto"/>
        <w:ind w:firstLine="480"/>
        <w:rPr>
          <w:rFonts w:hint="eastAsia" w:ascii="宋体" w:hAnsi="宋体"/>
          <w:sz w:val="24"/>
        </w:rPr>
      </w:pPr>
      <w:r>
        <w:rPr>
          <w:rFonts w:ascii="宋体" w:hAnsi="宋体"/>
          <w:sz w:val="24"/>
        </w:rPr>
        <w:t>8、支持对文件HASH、IP、域名、邮箱等IOC指标进行动静态鉴定，通过和云端威胁情报进行碰撞，实时返回威胁结果，支持联动威胁情报。</w:t>
      </w:r>
    </w:p>
    <w:p w14:paraId="42531ED0">
      <w:pPr>
        <w:spacing w:line="360" w:lineRule="auto"/>
        <w:ind w:firstLine="480"/>
        <w:rPr>
          <w:rFonts w:hint="eastAsia" w:ascii="宋体" w:hAnsi="宋体"/>
          <w:sz w:val="24"/>
        </w:rPr>
      </w:pPr>
      <w:r>
        <w:rPr>
          <w:rFonts w:ascii="宋体" w:hAnsi="宋体"/>
          <w:sz w:val="24"/>
        </w:rPr>
        <w:t>9、支持多引擎设置，包括默认引擎、深度扫描引擎；针对Windows系统，提供内核级的数据防护能力，保护文件不被恶意修改、加密等，可自定义配置保护的文件及目录，支持设置例外进程。</w:t>
      </w:r>
    </w:p>
    <w:p w14:paraId="09D1DA81">
      <w:pPr>
        <w:spacing w:line="360" w:lineRule="auto"/>
        <w:ind w:firstLine="480"/>
        <w:rPr>
          <w:rFonts w:hint="eastAsia" w:ascii="宋体" w:hAnsi="宋体"/>
          <w:sz w:val="24"/>
        </w:rPr>
      </w:pPr>
      <w:r>
        <w:rPr>
          <w:rFonts w:ascii="宋体" w:hAnsi="宋体"/>
          <w:sz w:val="24"/>
        </w:rPr>
        <w:t>10、支持病毒库、补丁库的离线升级及在线升级；支持管理平台、终端软件安装包、终端软件更新包、系统漏洞库、弱口令库的离线升级。</w:t>
      </w:r>
    </w:p>
    <w:p w14:paraId="52B83F49">
      <w:pPr>
        <w:spacing w:line="360" w:lineRule="auto"/>
        <w:ind w:firstLine="480"/>
        <w:rPr>
          <w:rFonts w:hint="eastAsia" w:ascii="宋体" w:hAnsi="宋体"/>
          <w:sz w:val="24"/>
        </w:rPr>
      </w:pPr>
      <w:r>
        <w:rPr>
          <w:rFonts w:ascii="宋体" w:hAnsi="宋体"/>
          <w:sz w:val="24"/>
        </w:rPr>
        <w:t>11、支持与防火墙、网络安全态势感知平台进行联动封堵，要求与防火墙、网络安全态势感知平台为同一品牌。</w:t>
      </w:r>
    </w:p>
    <w:p w14:paraId="296122D2">
      <w:pPr>
        <w:pStyle w:val="7"/>
      </w:pPr>
      <w:bookmarkStart w:id="4" w:name="_Toc132368736"/>
      <w:r>
        <w:rPr>
          <w:rFonts w:hint="eastAsia"/>
        </w:rPr>
        <w:t>4.2.1.1.5 防火墙服务</w:t>
      </w:r>
    </w:p>
    <w:p w14:paraId="0E81961A">
      <w:pPr>
        <w:spacing w:line="360" w:lineRule="auto"/>
        <w:ind w:firstLine="480"/>
        <w:rPr>
          <w:rFonts w:hint="eastAsia" w:ascii="宋体" w:hAnsi="宋体"/>
          <w:sz w:val="24"/>
        </w:rPr>
      </w:pPr>
      <w:r>
        <w:rPr>
          <w:rFonts w:ascii="宋体" w:hAnsi="宋体"/>
          <w:sz w:val="24"/>
        </w:rPr>
        <w:t>1、标准1U机架式设备，标配≥8个千兆电口、≥8个千兆SFP光口；硬盘容量≥500G。</w:t>
      </w:r>
    </w:p>
    <w:p w14:paraId="1C6825AF">
      <w:pPr>
        <w:spacing w:line="360" w:lineRule="auto"/>
        <w:ind w:firstLine="480"/>
        <w:rPr>
          <w:rFonts w:hint="eastAsia" w:ascii="宋体" w:hAnsi="宋体"/>
          <w:sz w:val="24"/>
        </w:rPr>
      </w:pPr>
      <w:r>
        <w:rPr>
          <w:rFonts w:ascii="宋体" w:hAnsi="宋体"/>
          <w:sz w:val="24"/>
        </w:rPr>
        <w:t>2、设备最大吞吐量≥8Gbps，HTTP吞吐量≥4Gbps，IPS吞吐量≥1Gbps，AV吞吐量≥800Mbps，IPSec VPN性能≥1.2 Gbps，最大并发连接数≥300万，每秒新建连接数≥10万，IPSec VPN隧道数≥1024，SSL VPN接入数≥1500；含一年设备租赁、特征库及软件升级服务。</w:t>
      </w:r>
    </w:p>
    <w:p w14:paraId="627A73ED">
      <w:pPr>
        <w:spacing w:line="360" w:lineRule="auto"/>
        <w:ind w:firstLine="480"/>
        <w:rPr>
          <w:rFonts w:hint="eastAsia" w:ascii="宋体" w:hAnsi="宋体"/>
          <w:sz w:val="24"/>
        </w:rPr>
      </w:pPr>
      <w:r>
        <w:rPr>
          <w:rFonts w:ascii="宋体" w:hAnsi="宋体"/>
          <w:sz w:val="24"/>
        </w:rPr>
        <w:t>3、部署模式：支持路由、网桥、旁路、混合、虚拟线工作模式；支持端口镜像功能，支持入流量、出流量和双向流量等维度镜像；支持链路负载均衡和服务器负载均衡，并支持会话保持和链路健康检查。</w:t>
      </w:r>
    </w:p>
    <w:p w14:paraId="0EBE44A2">
      <w:pPr>
        <w:spacing w:line="360" w:lineRule="auto"/>
        <w:ind w:firstLine="480"/>
        <w:rPr>
          <w:rFonts w:hint="eastAsia" w:ascii="宋体" w:hAnsi="宋体"/>
          <w:sz w:val="24"/>
        </w:rPr>
      </w:pPr>
      <w:r>
        <w:rPr>
          <w:rFonts w:ascii="宋体" w:hAnsi="宋体"/>
          <w:sz w:val="24"/>
        </w:rPr>
        <w:t>4、IPv6防护：支持IPv4/v6双栈协议的源地址转换、目的地址转换；支持IPv6各项安全策略设置，具备IPv6入侵防御、病毒防护、Web防护、风险扫描、安全分析、资产发现等安全功能；</w:t>
      </w:r>
    </w:p>
    <w:p w14:paraId="345BC628">
      <w:pPr>
        <w:spacing w:line="360" w:lineRule="auto"/>
        <w:ind w:firstLine="480"/>
        <w:rPr>
          <w:rFonts w:hint="eastAsia" w:ascii="宋体" w:hAnsi="宋体"/>
          <w:sz w:val="24"/>
        </w:rPr>
      </w:pPr>
      <w:r>
        <w:rPr>
          <w:rFonts w:ascii="宋体" w:hAnsi="宋体"/>
          <w:sz w:val="24"/>
        </w:rPr>
        <w:t>5、支持DNS透明代理；支持指定DNS或继承链路DNS配置，针对多链路支持基于优先级、权重、流量算法进行DNS负载。</w:t>
      </w:r>
    </w:p>
    <w:p w14:paraId="3FCDB510">
      <w:pPr>
        <w:spacing w:line="360" w:lineRule="auto"/>
        <w:ind w:firstLine="480"/>
        <w:rPr>
          <w:rFonts w:hint="eastAsia" w:ascii="宋体" w:hAnsi="宋体"/>
          <w:sz w:val="24"/>
        </w:rPr>
      </w:pPr>
      <w:r>
        <w:rPr>
          <w:rFonts w:ascii="宋体" w:hAnsi="宋体"/>
          <w:sz w:val="24"/>
        </w:rPr>
        <w:t>6、支持与主机杀毒安全防护系统、网络安全态势感知平台进行联动封堵，要求与主机杀毒安全防护系统、网络安全态势感知平台为同一品牌。</w:t>
      </w:r>
    </w:p>
    <w:p w14:paraId="51A7FA0F">
      <w:pPr>
        <w:spacing w:line="360" w:lineRule="auto"/>
        <w:ind w:firstLine="480"/>
        <w:rPr>
          <w:rFonts w:hint="eastAsia" w:ascii="宋体" w:hAnsi="宋体"/>
          <w:sz w:val="24"/>
        </w:rPr>
      </w:pPr>
      <w:r>
        <w:rPr>
          <w:rFonts w:ascii="宋体" w:hAnsi="宋体"/>
          <w:sz w:val="24"/>
        </w:rPr>
        <w:t>7、支持对20级的压缩文件进行解压查杀。</w:t>
      </w:r>
    </w:p>
    <w:p w14:paraId="3430E3B9">
      <w:pPr>
        <w:spacing w:line="360" w:lineRule="auto"/>
        <w:ind w:firstLine="480"/>
        <w:rPr>
          <w:rFonts w:hint="eastAsia" w:ascii="宋体" w:hAnsi="宋体"/>
          <w:sz w:val="24"/>
        </w:rPr>
      </w:pPr>
      <w:r>
        <w:rPr>
          <w:rFonts w:ascii="宋体" w:hAnsi="宋体"/>
          <w:sz w:val="24"/>
        </w:rPr>
        <w:t>8、支持本地认证、Portal认证、Radius认证、LDAP认证、POP3认证、AD域单点登录、短信认证、微信认证、APP认证、二维码认证、互联网钉钉认证、混合认证和免认证，其中微信认证支持通过小程序获取手机号。</w:t>
      </w:r>
    </w:p>
    <w:p w14:paraId="529CF49E">
      <w:pPr>
        <w:spacing w:line="360" w:lineRule="auto"/>
        <w:ind w:firstLine="480"/>
        <w:rPr>
          <w:rFonts w:hint="eastAsia" w:ascii="宋体" w:hAnsi="宋体"/>
          <w:sz w:val="24"/>
        </w:rPr>
      </w:pPr>
      <w:r>
        <w:rPr>
          <w:rFonts w:ascii="宋体" w:hAnsi="宋体"/>
          <w:sz w:val="24"/>
        </w:rPr>
        <w:t>9、内置应用特征不少于7300个，移动应用不少于2400个。</w:t>
      </w:r>
    </w:p>
    <w:p w14:paraId="6A612504">
      <w:pPr>
        <w:spacing w:line="360" w:lineRule="auto"/>
        <w:ind w:firstLine="480"/>
        <w:rPr>
          <w:rFonts w:hint="eastAsia" w:ascii="宋体" w:hAnsi="宋体"/>
          <w:sz w:val="24"/>
        </w:rPr>
      </w:pPr>
      <w:r>
        <w:rPr>
          <w:rFonts w:ascii="宋体" w:hAnsi="宋体"/>
          <w:sz w:val="24"/>
        </w:rPr>
        <w:t>10、支持防网络共享行为，针对私接路由器和非法无线热点行为进行识别和阻断；并针对私接网络行为，惩罚方式包括但不限于无操作、阻断和限速。支持基于流量和时长的流量限额功能，针对超过限额的用户，可选择禁止上网或加入至惩罚流控通道</w:t>
      </w:r>
      <w:r>
        <w:rPr>
          <w:rFonts w:hint="eastAsia" w:ascii="宋体" w:hAnsi="宋体"/>
          <w:sz w:val="24"/>
        </w:rPr>
        <w:t>。</w:t>
      </w:r>
    </w:p>
    <w:p w14:paraId="2BD5FF91">
      <w:pPr>
        <w:spacing w:line="360" w:lineRule="auto"/>
        <w:ind w:firstLine="480"/>
        <w:rPr>
          <w:rFonts w:hint="eastAsia" w:ascii="宋体" w:hAnsi="宋体"/>
          <w:sz w:val="24"/>
        </w:rPr>
      </w:pPr>
      <w:r>
        <w:rPr>
          <w:rFonts w:ascii="宋体" w:hAnsi="宋体"/>
          <w:sz w:val="24"/>
        </w:rPr>
        <w:t>11、支持基于多元组的一体化安全访问控制策略；并支持一键智能化控制策略分析功能，至少支持检测出冗余策略、隐藏策略、冲突策略、可合并策略、空策略、过期策略，并提供问题策略的原因说明、优化建议、快捷的编辑修改方式。</w:t>
      </w:r>
    </w:p>
    <w:p w14:paraId="4BBA33D8">
      <w:pPr>
        <w:spacing w:line="360" w:lineRule="auto"/>
        <w:ind w:firstLine="480"/>
        <w:rPr>
          <w:rFonts w:hint="eastAsia" w:ascii="宋体" w:hAnsi="宋体"/>
          <w:sz w:val="24"/>
        </w:rPr>
      </w:pPr>
      <w:r>
        <w:rPr>
          <w:rFonts w:ascii="宋体" w:hAnsi="宋体"/>
          <w:sz w:val="24"/>
        </w:rPr>
        <w:t>12、系统定义超过8700+条主流攻击规则，包含用户提权、任意代码执行、木马、后门、挖矿、Web序列化、Webshell等主流防护类型；以及对应IPS规则的攻击类型、严重程度、CVE编号、CNNVD编号、协议、操作系统、发布年份、漏洞厂商等详细信息，并支持在线升级和手动升级</w:t>
      </w:r>
      <w:r>
        <w:rPr>
          <w:rFonts w:hint="eastAsia" w:ascii="宋体" w:hAnsi="宋体"/>
          <w:sz w:val="24"/>
        </w:rPr>
        <w:t>。</w:t>
      </w:r>
    </w:p>
    <w:p w14:paraId="65F696FC">
      <w:pPr>
        <w:pStyle w:val="7"/>
      </w:pPr>
      <w:r>
        <w:rPr>
          <w:rFonts w:hint="eastAsia"/>
        </w:rPr>
        <w:t>4.2.1.1.6 网络态势感知平台服务</w:t>
      </w:r>
    </w:p>
    <w:p w14:paraId="400B35C3">
      <w:pPr>
        <w:spacing w:line="360" w:lineRule="auto"/>
        <w:ind w:firstLine="480"/>
        <w:rPr>
          <w:rFonts w:hint="eastAsia" w:ascii="宋体" w:hAnsi="宋体"/>
          <w:sz w:val="24"/>
        </w:rPr>
      </w:pPr>
      <w:r>
        <w:rPr>
          <w:rFonts w:ascii="宋体" w:hAnsi="宋体"/>
          <w:sz w:val="24"/>
        </w:rPr>
        <w:t>1、标准1U机架式设备，支持≥500Mbps流量的输入，配置≥6个千兆电口，内存≥8GB，硬盘容量≥8TB，含一年设备租赁、特征库及软件升级服务。</w:t>
      </w:r>
    </w:p>
    <w:p w14:paraId="091A491E">
      <w:pPr>
        <w:spacing w:line="360" w:lineRule="auto"/>
        <w:ind w:firstLine="480"/>
        <w:rPr>
          <w:rFonts w:hint="eastAsia" w:ascii="宋体" w:hAnsi="宋体"/>
          <w:sz w:val="24"/>
        </w:rPr>
      </w:pPr>
      <w:r>
        <w:rPr>
          <w:rFonts w:ascii="宋体" w:hAnsi="宋体"/>
          <w:sz w:val="24"/>
        </w:rPr>
        <w:t>2、支持双向流量审计，可对请求和响应内容进行审计.</w:t>
      </w:r>
    </w:p>
    <w:p w14:paraId="5073BE1E">
      <w:pPr>
        <w:spacing w:line="360" w:lineRule="auto"/>
        <w:ind w:firstLine="480"/>
        <w:rPr>
          <w:rFonts w:hint="eastAsia" w:ascii="宋体" w:hAnsi="宋体"/>
          <w:sz w:val="24"/>
        </w:rPr>
      </w:pPr>
      <w:r>
        <w:rPr>
          <w:rFonts w:ascii="宋体" w:hAnsi="宋体"/>
          <w:sz w:val="24"/>
        </w:rPr>
        <w:t>3、支持大屏展示网络攻击态势，包括攻击地图、紧急事件数/总数、恶意文件数/扫描总数、风险趋势（高、中、低风险）、流量分析（吞吐量、HTTP流量、DNS流量）、高危风险类别排名、攻击源区域排名、紧急事件/高危事件，并支持全球地图、中国地图切换展示。</w:t>
      </w:r>
    </w:p>
    <w:p w14:paraId="035163E9">
      <w:pPr>
        <w:spacing w:line="360" w:lineRule="auto"/>
        <w:ind w:firstLine="480"/>
        <w:rPr>
          <w:rFonts w:hint="eastAsia" w:ascii="宋体" w:hAnsi="宋体"/>
          <w:sz w:val="24"/>
        </w:rPr>
      </w:pPr>
      <w:r>
        <w:rPr>
          <w:rFonts w:hint="eastAsia" w:ascii="宋体" w:hAnsi="宋体"/>
          <w:sz w:val="24"/>
        </w:rPr>
        <w:t>失陷主机：支持大屏展示失陷主机风险态势，包括失陷主机视角</w:t>
      </w:r>
      <w:r>
        <w:rPr>
          <w:rFonts w:ascii="宋体" w:hAnsi="宋体"/>
          <w:sz w:val="24"/>
        </w:rPr>
        <w:t>/横向攻击视角、失陷主机/黑客组织TOP5、风险类别排名、回连区域排名、失陷主机事件统计柱状图、最新事件、失陷主机数，支持实时数据自动刷新。</w:t>
      </w:r>
    </w:p>
    <w:p w14:paraId="6472A168">
      <w:pPr>
        <w:spacing w:line="360" w:lineRule="auto"/>
        <w:ind w:firstLine="480"/>
        <w:rPr>
          <w:rFonts w:hint="eastAsia" w:ascii="宋体" w:hAnsi="宋体"/>
          <w:sz w:val="24"/>
        </w:rPr>
      </w:pPr>
      <w:r>
        <w:rPr>
          <w:rFonts w:hint="eastAsia" w:ascii="宋体" w:hAnsi="宋体"/>
          <w:sz w:val="24"/>
        </w:rPr>
        <w:t>攻击溯源：支持大屏展示风险较为严重的事件，并进行攻击溯源，包括攻击主机个数最多的情报事件</w:t>
      </w:r>
      <w:r>
        <w:rPr>
          <w:rFonts w:ascii="宋体" w:hAnsi="宋体"/>
          <w:sz w:val="24"/>
        </w:rPr>
        <w:t>TOP10、威胁情报告警类型分布、3D攻击关系图、威胁活动（弱点探测、渗透入侵、获取权限、命令与控制、数据盗取）；支持按IP搜索关联的攻击事件，包括攻击拓扑图、攻击者基本信息、被攻击者信息、攻击过程（攻击过程列表内容包括时间、攻击者、被攻击者、攻击链阶段、风险标签、攻击次数）。</w:t>
      </w:r>
    </w:p>
    <w:p w14:paraId="1CA702BB">
      <w:pPr>
        <w:spacing w:line="360" w:lineRule="auto"/>
        <w:ind w:firstLine="480"/>
        <w:rPr>
          <w:rFonts w:hint="eastAsia" w:ascii="宋体" w:hAnsi="宋体"/>
          <w:sz w:val="24"/>
        </w:rPr>
      </w:pPr>
      <w:r>
        <w:rPr>
          <w:rFonts w:ascii="宋体" w:hAnsi="宋体"/>
          <w:sz w:val="24"/>
        </w:rPr>
        <w:t>4、支持识别QQ、WEB、LDAP、FTP、TELNET、SMTP、POP3、SMB、RADMIN、ORACLE、MSSQL、SYBASE、MYSQL、DB2、PostgreSQL、REDIS、MQTT等登录行为，支持识别DMDB、GBASE、KINGBASE等国产化数据库协议解析，支持多层 VLAN、VXLAN、MPLS、GRE等网络流量的解析检测。</w:t>
      </w:r>
    </w:p>
    <w:p w14:paraId="4E207249">
      <w:pPr>
        <w:spacing w:line="360" w:lineRule="auto"/>
        <w:ind w:firstLine="480"/>
        <w:rPr>
          <w:rFonts w:hint="eastAsia" w:ascii="宋体" w:hAnsi="宋体"/>
          <w:sz w:val="24"/>
        </w:rPr>
      </w:pPr>
      <w:r>
        <w:rPr>
          <w:rFonts w:ascii="宋体" w:hAnsi="宋体"/>
          <w:sz w:val="24"/>
        </w:rPr>
        <w:t>5、支持检测WEB攻击、恶意文件攻击、远程控制、WEB后门访问、WEB行为分析、DGA域名请求、SMB远程溢出攻击、弱口令、拒绝服务攻击、隧道通信、暴力破解、挖矿、恶意工具利用、扫描行为、漏洞利用、邮件社工攻击、ARP欺骗、密码明文形式传输等行为。</w:t>
      </w:r>
    </w:p>
    <w:p w14:paraId="4DCD36C1">
      <w:pPr>
        <w:spacing w:line="360" w:lineRule="auto"/>
        <w:ind w:firstLine="480"/>
        <w:rPr>
          <w:rFonts w:hint="eastAsia" w:ascii="宋体" w:hAnsi="宋体"/>
          <w:sz w:val="24"/>
        </w:rPr>
      </w:pPr>
      <w:r>
        <w:rPr>
          <w:rFonts w:ascii="宋体" w:hAnsi="宋体"/>
          <w:sz w:val="24"/>
        </w:rPr>
        <w:t>6、支持对HTTP、IMAP、SMTP、POP3、Redis、Telnet、FTP、PostgreSQL、MQTT、DMDB、GBASE、KINGBASE等协议的弱口令检测，支持自定义弱口令规则配置（最短口令长度、最少字符类型数），自定义新增弱密码及其检测类型，支持对HTTP协议请求头中用户认证弱口令、对JSON格式(逗号分割和冒号区分键值)的用户信息提取和弱口令、明文口令和MD5加密口令碰撞的弱口令、BASE64加密口令的弱口令等进行检测。</w:t>
      </w:r>
    </w:p>
    <w:p w14:paraId="54BA7AF4">
      <w:pPr>
        <w:spacing w:line="360" w:lineRule="auto"/>
        <w:ind w:firstLine="480"/>
        <w:rPr>
          <w:rFonts w:hint="eastAsia" w:ascii="宋体" w:hAnsi="宋体"/>
          <w:sz w:val="24"/>
        </w:rPr>
      </w:pPr>
      <w:r>
        <w:rPr>
          <w:rFonts w:ascii="宋体" w:hAnsi="宋体"/>
          <w:sz w:val="24"/>
        </w:rPr>
        <w:t>7、支持HTTP、SMB、SMTP、IMAP、POP3、FTP、TELNET、RADMIN、SSH、RDP、ORACLE、MSSQL、SYBASE、MYSQL、DB2、PostgreSQL、LDAP、MQTT、DMDB、GBASE、KINGBASE、OSCAR等协议的暴力破解，能识别出登录次数、账户信息、爆破成功与否的攻击状态，支持自定义启用/禁用暴力破解模型；并支持自定义配置模型统计周期、登录次数、聚合维度、检测机制等参数。</w:t>
      </w:r>
    </w:p>
    <w:p w14:paraId="110BD19D">
      <w:pPr>
        <w:spacing w:line="360" w:lineRule="auto"/>
        <w:ind w:firstLine="480"/>
        <w:rPr>
          <w:rFonts w:hint="eastAsia" w:ascii="宋体" w:hAnsi="宋体"/>
          <w:sz w:val="24"/>
        </w:rPr>
      </w:pPr>
      <w:r>
        <w:rPr>
          <w:rFonts w:ascii="宋体" w:hAnsi="宋体"/>
          <w:sz w:val="24"/>
        </w:rPr>
        <w:t>8、支持自定义开启跨三层MAC地址获取，开启后将定时从交换机获取ARP地址表，能够获取IP和MAC地址之间的真实关联关系，支持真实MAC地址可自行替换风险告警中的MAC地址，并支持外送至大数据平台。</w:t>
      </w:r>
    </w:p>
    <w:p w14:paraId="0D7527E4">
      <w:pPr>
        <w:spacing w:line="360" w:lineRule="auto"/>
        <w:ind w:firstLine="480"/>
        <w:rPr>
          <w:rFonts w:hint="eastAsia" w:ascii="宋体" w:hAnsi="宋体"/>
          <w:sz w:val="24"/>
        </w:rPr>
      </w:pPr>
      <w:r>
        <w:rPr>
          <w:rFonts w:ascii="宋体" w:hAnsi="宋体"/>
          <w:sz w:val="24"/>
        </w:rPr>
        <w:t>9、支持详细展现风险等级、时间、威胁名称、攻击状态、攻击方向、客户端IP、客户端IP所在地理位置、服务端IP、服务端IP所在地理位置、端口、报文、操作等信息，包含请求URL、请求类型、请求内容、请求头、Host、User-Agent、Accept、Accept-Language、Accept-Encoding、Accept-Charset、Keep-Alive、Connection、Cookie、请求参数、响应码、返回长度、ATT&amp;CK矩阵等信息，并提供相应的数据包下载链接。</w:t>
      </w:r>
    </w:p>
    <w:p w14:paraId="6287FD9D">
      <w:pPr>
        <w:spacing w:line="360" w:lineRule="auto"/>
        <w:ind w:firstLine="480"/>
        <w:rPr>
          <w:rFonts w:hint="eastAsia" w:ascii="宋体" w:hAnsi="宋体"/>
          <w:sz w:val="24"/>
        </w:rPr>
      </w:pPr>
      <w:r>
        <w:rPr>
          <w:rFonts w:ascii="宋体" w:hAnsi="宋体"/>
          <w:sz w:val="24"/>
        </w:rPr>
        <w:t>10、支持从多个维度统计风险告警数量，包括但不限于告警类型、客户端IP、服务端IP、威胁情报、告警规则ID，支持导出excel表格，帮助用户进行告警研判。</w:t>
      </w:r>
    </w:p>
    <w:p w14:paraId="16195B2F">
      <w:pPr>
        <w:spacing w:line="360" w:lineRule="auto"/>
        <w:ind w:firstLine="480"/>
        <w:rPr>
          <w:rFonts w:hint="eastAsia" w:ascii="宋体" w:hAnsi="宋体"/>
          <w:sz w:val="24"/>
        </w:rPr>
      </w:pPr>
      <w:r>
        <w:rPr>
          <w:rFonts w:ascii="宋体" w:hAnsi="宋体"/>
          <w:sz w:val="24"/>
        </w:rPr>
        <w:t>11、支持对内网主机进行主机威胁分析，详细展示具体的威胁等级、威胁次数、攻击开始时间、攻击结束时间、威胁性指数统计等。可按攻击链阶段（弱点探测、渗透入侵、获取权限、命令与控制、数据盗取）详细展示主机相关事件数量。</w:t>
      </w:r>
    </w:p>
    <w:p w14:paraId="65CBEA2C">
      <w:pPr>
        <w:spacing w:line="360" w:lineRule="auto"/>
        <w:ind w:firstLine="480"/>
        <w:rPr>
          <w:rFonts w:hint="eastAsia" w:ascii="宋体" w:hAnsi="宋体"/>
          <w:sz w:val="24"/>
        </w:rPr>
      </w:pPr>
      <w:r>
        <w:rPr>
          <w:rFonts w:ascii="宋体" w:hAnsi="宋体"/>
          <w:sz w:val="24"/>
        </w:rPr>
        <w:t>12、支持识别流量中的个人敏感信息，包括身份证、银行卡、手机号、港澳通行证等，并展示传输信息的协议、网站域名、URL、客户端IP、服务端IP，便于用户发现敏感信息的传输安全隐患和处置。</w:t>
      </w:r>
    </w:p>
    <w:p w14:paraId="5AE37A7E">
      <w:pPr>
        <w:spacing w:line="360" w:lineRule="auto"/>
        <w:ind w:firstLine="480"/>
        <w:rPr>
          <w:rFonts w:hint="eastAsia" w:ascii="宋体" w:hAnsi="宋体"/>
          <w:sz w:val="24"/>
        </w:rPr>
      </w:pPr>
      <w:r>
        <w:rPr>
          <w:rFonts w:ascii="宋体" w:hAnsi="宋体"/>
          <w:sz w:val="24"/>
        </w:rPr>
        <w:t>13、支持30个以上的深度检测模块，对流量进行二次分析，提高攻击检测的准确性。</w:t>
      </w:r>
    </w:p>
    <w:p w14:paraId="63DF0BD0">
      <w:pPr>
        <w:spacing w:line="360" w:lineRule="auto"/>
        <w:ind w:firstLine="480"/>
        <w:rPr>
          <w:rFonts w:hint="eastAsia" w:ascii="宋体" w:hAnsi="宋体"/>
          <w:sz w:val="24"/>
        </w:rPr>
      </w:pPr>
      <w:r>
        <w:rPr>
          <w:rFonts w:ascii="宋体" w:hAnsi="宋体"/>
          <w:sz w:val="24"/>
        </w:rPr>
        <w:t>14、支持沙箱逃逸检测，当恶意文件进行逃逸尝试，在沙箱报告中进行体现。</w:t>
      </w:r>
    </w:p>
    <w:p w14:paraId="7ED514CF">
      <w:pPr>
        <w:spacing w:line="360" w:lineRule="auto"/>
        <w:ind w:firstLine="480"/>
        <w:rPr>
          <w:rFonts w:hint="eastAsia" w:ascii="宋体" w:hAnsi="宋体"/>
          <w:sz w:val="24"/>
        </w:rPr>
      </w:pPr>
      <w:r>
        <w:rPr>
          <w:rFonts w:ascii="宋体" w:hAnsi="宋体"/>
          <w:sz w:val="24"/>
        </w:rPr>
        <w:t>15、支持对流量中的IP地址、端口等进行统计，快速识别未登记资产。可基于特定应用或服务对内部资产进行梳理（系统类型、IP、域名、端口等），查看资产端口暴露情况，特别是以非标端口提供的服务情况；可深入识别运行在资产上的设备类型、应用、服务信息详细情况（类型、版本、服务名称等）支持对资产活跃程度分类，便于梳理资产变更。</w:t>
      </w:r>
    </w:p>
    <w:p w14:paraId="4F8C38C4">
      <w:pPr>
        <w:spacing w:line="360" w:lineRule="auto"/>
        <w:ind w:firstLine="480"/>
        <w:rPr>
          <w:rFonts w:hint="eastAsia" w:ascii="宋体" w:hAnsi="宋体"/>
          <w:sz w:val="24"/>
        </w:rPr>
      </w:pPr>
      <w:r>
        <w:rPr>
          <w:rFonts w:ascii="宋体" w:hAnsi="宋体"/>
          <w:sz w:val="24"/>
        </w:rPr>
        <w:t>16、支持与主机杀毒安全防护系统、防火墙进行联动封堵，要求与主机杀毒安全防护系统、防火墙为同一品牌。</w:t>
      </w:r>
    </w:p>
    <w:p w14:paraId="6FB7F6B4">
      <w:pPr>
        <w:pStyle w:val="7"/>
      </w:pPr>
      <w:bookmarkStart w:id="5" w:name="_Toc132368738"/>
      <w:r>
        <w:rPr>
          <w:rFonts w:hint="eastAsia"/>
        </w:rPr>
        <w:t>4.2.1.1.7 上网行为管理系统服务</w:t>
      </w:r>
      <w:bookmarkEnd w:id="5"/>
    </w:p>
    <w:p w14:paraId="7F803858">
      <w:pPr>
        <w:spacing w:line="360" w:lineRule="auto"/>
        <w:ind w:firstLine="480"/>
        <w:rPr>
          <w:rFonts w:hint="eastAsia" w:ascii="宋体" w:hAnsi="宋体"/>
          <w:sz w:val="24"/>
        </w:rPr>
      </w:pPr>
      <w:r>
        <w:rPr>
          <w:rFonts w:ascii="宋体" w:hAnsi="宋体"/>
          <w:sz w:val="24"/>
        </w:rPr>
        <w:t>1、标准1U机架式设备，标配≥8个千兆电口，≥4个千兆光口；硬盘容量≥1TB；含一年设备租赁、特征库及软件升级服务；</w:t>
      </w:r>
    </w:p>
    <w:p w14:paraId="74FE89F7">
      <w:pPr>
        <w:spacing w:line="360" w:lineRule="auto"/>
        <w:ind w:firstLine="480"/>
        <w:rPr>
          <w:rFonts w:hint="eastAsia" w:ascii="宋体" w:hAnsi="宋体"/>
          <w:sz w:val="24"/>
        </w:rPr>
      </w:pPr>
      <w:r>
        <w:rPr>
          <w:rFonts w:ascii="宋体" w:hAnsi="宋体"/>
          <w:sz w:val="24"/>
        </w:rPr>
        <w:t>2、网络层吞吐量≥6Gbps，应用层吞吐量≥1.4 Gbps，IPSec VPN性能≥1 Gbps，最大并发连接数≥300万，每秒新建连接数≥5万，IPSec VPN隧道数≥1024，SSL VPN接入数≥400；</w:t>
      </w:r>
    </w:p>
    <w:p w14:paraId="63FFCEA0">
      <w:pPr>
        <w:spacing w:line="360" w:lineRule="auto"/>
        <w:ind w:firstLine="480"/>
        <w:rPr>
          <w:rFonts w:hint="eastAsia" w:ascii="宋体" w:hAnsi="宋体"/>
          <w:sz w:val="24"/>
        </w:rPr>
      </w:pPr>
      <w:r>
        <w:rPr>
          <w:rFonts w:ascii="宋体" w:hAnsi="宋体"/>
          <w:sz w:val="24"/>
        </w:rPr>
        <w:t>3、支持网关模式、网桥模式、旁路模式；旁路部署支持直接加入2个以上物理接口，无需使用聚合接口；部署模式切换无需重启设备；支持端口镜像功能，支持入流量、出流量和双向流量等维度镜像，支持将接口的流量镜像到另一个接口，方便网络问题定位。</w:t>
      </w:r>
    </w:p>
    <w:p w14:paraId="67A6C0BD">
      <w:pPr>
        <w:spacing w:line="360" w:lineRule="auto"/>
        <w:ind w:firstLine="480"/>
        <w:rPr>
          <w:rFonts w:hint="eastAsia" w:ascii="宋体" w:hAnsi="宋体"/>
          <w:sz w:val="24"/>
        </w:rPr>
      </w:pPr>
      <w:r>
        <w:rPr>
          <w:rFonts w:ascii="宋体" w:hAnsi="宋体"/>
          <w:sz w:val="24"/>
        </w:rPr>
        <w:t>4、支持基于输入接口、源地址、目标地址、用户、服务、应用、时间、域名的策略路由。</w:t>
      </w:r>
    </w:p>
    <w:p w14:paraId="033D1317">
      <w:pPr>
        <w:spacing w:line="360" w:lineRule="auto"/>
        <w:ind w:firstLine="480"/>
        <w:rPr>
          <w:rFonts w:hint="eastAsia" w:ascii="宋体" w:hAnsi="宋体"/>
          <w:sz w:val="24"/>
        </w:rPr>
      </w:pPr>
      <w:r>
        <w:rPr>
          <w:rFonts w:ascii="宋体" w:hAnsi="宋体"/>
          <w:sz w:val="24"/>
        </w:rPr>
        <w:t>5、支持基于7元组、域名的链路负载均衡策略；负载方式支持带宽、优先级和权重；支持接口过载保护、链路健康检查和会话保持，会话保持可实现用户的访问请求均分配至同一出口。</w:t>
      </w:r>
    </w:p>
    <w:p w14:paraId="59121991">
      <w:pPr>
        <w:spacing w:line="360" w:lineRule="auto"/>
        <w:ind w:firstLine="480"/>
        <w:rPr>
          <w:rFonts w:hint="eastAsia" w:ascii="宋体" w:hAnsi="宋体"/>
          <w:sz w:val="24"/>
        </w:rPr>
      </w:pPr>
      <w:r>
        <w:rPr>
          <w:rFonts w:ascii="宋体" w:hAnsi="宋体"/>
          <w:sz w:val="24"/>
        </w:rPr>
        <w:t>6、支持IPv6/IPv4双栈，支持IPv6安全策略、包括审计策略、NAT策略、流量控制策略、会话控制策略、黑名单、白名单、认证策略等。</w:t>
      </w:r>
    </w:p>
    <w:p w14:paraId="266BC312">
      <w:pPr>
        <w:spacing w:line="360" w:lineRule="auto"/>
        <w:ind w:firstLine="480"/>
        <w:rPr>
          <w:rFonts w:hint="eastAsia" w:ascii="宋体" w:hAnsi="宋体"/>
          <w:sz w:val="24"/>
        </w:rPr>
      </w:pPr>
      <w:r>
        <w:rPr>
          <w:rFonts w:ascii="宋体" w:hAnsi="宋体"/>
          <w:sz w:val="24"/>
        </w:rPr>
        <w:t>7、内置URL分类库，支持≥56个URL分类，URL库可在线升级；</w:t>
      </w:r>
    </w:p>
    <w:p w14:paraId="0F274988">
      <w:pPr>
        <w:spacing w:line="360" w:lineRule="auto"/>
        <w:ind w:firstLine="480"/>
        <w:rPr>
          <w:rFonts w:hint="eastAsia" w:ascii="宋体" w:hAnsi="宋体"/>
          <w:sz w:val="24"/>
        </w:rPr>
      </w:pPr>
      <w:r>
        <w:rPr>
          <w:rFonts w:ascii="宋体" w:hAnsi="宋体"/>
          <w:sz w:val="24"/>
        </w:rPr>
        <w:t>8、支持直接对接任子行、派博、虹旭、爱思、锐安、宽广智通、网博、云辰、携网、兆物、恒邦、中新、博网、派博-上海、网博（加密）、美亚柏科、盛世光明、烽火科技、中科新业、新网程、网盾、海康、白虹、西软、兴容、佰安、珠海网盈、网络督察、安博通、纳斯威尔、中科新业（国标）、任子行（加密）、浙江青兴等30多个网监后端平台。</w:t>
      </w:r>
    </w:p>
    <w:p w14:paraId="713C9E86">
      <w:pPr>
        <w:spacing w:line="360" w:lineRule="auto"/>
        <w:ind w:firstLine="480"/>
        <w:rPr>
          <w:rFonts w:hint="eastAsia" w:ascii="宋体" w:hAnsi="宋体"/>
          <w:sz w:val="24"/>
        </w:rPr>
      </w:pPr>
      <w:r>
        <w:rPr>
          <w:rFonts w:ascii="宋体" w:hAnsi="宋体"/>
          <w:sz w:val="24"/>
        </w:rPr>
        <w:t>9、支持文件缓存，缓存文件形式不限于视频、APP等；设备智能解析用户流量，针对域名或者文件请求，设备推送文件至终端，帮助用户缓解互联网出口压力，实现文件下载加速的效果。</w:t>
      </w:r>
    </w:p>
    <w:p w14:paraId="3D9A7CC1">
      <w:pPr>
        <w:spacing w:line="360" w:lineRule="auto"/>
        <w:ind w:firstLine="480"/>
        <w:rPr>
          <w:rFonts w:hint="eastAsia" w:ascii="宋体" w:hAnsi="宋体"/>
          <w:sz w:val="24"/>
        </w:rPr>
      </w:pPr>
      <w:r>
        <w:rPr>
          <w:rFonts w:ascii="宋体" w:hAnsi="宋体"/>
          <w:sz w:val="24"/>
        </w:rPr>
        <w:t>10、支持针对SSL加密的网站、论坛发帖、Web邮箱以及客户端邮箱（如闪电邮）的内容进行关键字过滤；针对SSL加密的网站、论坛发帖、Web邮箱以及客户。</w:t>
      </w:r>
    </w:p>
    <w:p w14:paraId="6AB0DE8A">
      <w:pPr>
        <w:spacing w:line="360" w:lineRule="auto"/>
        <w:ind w:firstLine="480"/>
        <w:rPr>
          <w:rFonts w:hint="eastAsia" w:ascii="宋体" w:hAnsi="宋体"/>
          <w:sz w:val="24"/>
        </w:rPr>
      </w:pPr>
      <w:r>
        <w:rPr>
          <w:rFonts w:ascii="宋体" w:hAnsi="宋体"/>
          <w:sz w:val="24"/>
        </w:rPr>
        <w:t>11、支持基于线路和多层通道嵌套的带宽管理和流量控制功能，提供至少四层管道嵌套；支持基于地址、用户、服务、应用、时间、终端型号、VLAN、DSCP等匹配条件进行流量控制；并支持配置保障带宽、最大带宽、每IP带宽、每用户带宽、带宽优先级等QoS动作。</w:t>
      </w:r>
    </w:p>
    <w:p w14:paraId="1E563997">
      <w:pPr>
        <w:spacing w:line="360" w:lineRule="auto"/>
        <w:ind w:firstLine="480"/>
        <w:rPr>
          <w:rFonts w:hint="eastAsia" w:ascii="宋体" w:hAnsi="宋体"/>
          <w:sz w:val="24"/>
        </w:rPr>
      </w:pPr>
      <w:r>
        <w:rPr>
          <w:rFonts w:ascii="宋体" w:hAnsi="宋体"/>
          <w:sz w:val="24"/>
        </w:rPr>
        <w:t>12、支持IP准入、MAC准入、IP+MAC准入、本地认证、Portal认证、Radius认证、LDAP认证、POP3认证、AD域单点登录、短信认证、微信公众号认证、APP认证、IC卡认证、二维码认证、互联网钉钉认证、企业微信认证、混合认证和免认证，其中微信认证支持通过小程序获取手机号；支持对接深澜、城市热点、PPPOE、安美等常见认证服务器；支持通过解析Radius、HTTP流量，获取用户名、IP和MAC信息，实现无认证实名上线。</w:t>
      </w:r>
    </w:p>
    <w:p w14:paraId="264EA601">
      <w:pPr>
        <w:pStyle w:val="7"/>
      </w:pPr>
      <w:bookmarkStart w:id="6" w:name="_Toc132368742"/>
      <w:r>
        <w:rPr>
          <w:rFonts w:hint="eastAsia"/>
        </w:rPr>
        <w:t>4.2.1.1.8 人员安全服务</w:t>
      </w:r>
      <w:bookmarkEnd w:id="6"/>
    </w:p>
    <w:p w14:paraId="32432F68">
      <w:pPr>
        <w:spacing w:line="360" w:lineRule="auto"/>
        <w:rPr>
          <w:b/>
          <w:bCs/>
          <w:szCs w:val="21"/>
        </w:rPr>
      </w:pPr>
      <w:r>
        <w:rPr>
          <w:rFonts w:hint="eastAsia"/>
          <w:b/>
          <w:bCs/>
          <w:szCs w:val="21"/>
        </w:rPr>
        <w:t>服务要求</w:t>
      </w:r>
    </w:p>
    <w:p w14:paraId="567E87B7">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提供不少于20人天的第三方安全服务人员，提供重保、攻防演练、渗透测试、风险评估、应急响应等服务。服务期：一年(如当年未使用完可延续到下一年使用,最多不超过两年)。</w:t>
      </w:r>
    </w:p>
    <w:p w14:paraId="4F2956A4">
      <w:pPr>
        <w:spacing w:line="360" w:lineRule="auto"/>
        <w:rPr>
          <w:b/>
          <w:bCs/>
          <w:szCs w:val="21"/>
        </w:rPr>
      </w:pPr>
      <w:r>
        <w:rPr>
          <w:rFonts w:hint="eastAsia"/>
          <w:b/>
          <w:bCs/>
          <w:szCs w:val="21"/>
        </w:rPr>
        <w:t>服务内容</w:t>
      </w:r>
    </w:p>
    <w:p w14:paraId="7FED9F46">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在重大活动期间，派出安全攻防经验丰富的安全专家，进驻现场，进行现场安全值守和保障，对业务系统的安全状况进行实时监控和日志分析。在现场安全保障期间，当目标遭受黑客入侵攻击时，现场值守人员立即对入侵事件进行分析、检测、抑制、处理，查找入侵来源并恢复系统正常运行，完成后给出应急响应报告，报告中将还原入侵过程，同时给出对应的解决建议。</w:t>
      </w:r>
    </w:p>
    <w:p w14:paraId="28013080">
      <w:pPr>
        <w:spacing w:line="360" w:lineRule="auto"/>
        <w:rPr>
          <w:b/>
          <w:bCs/>
          <w:szCs w:val="21"/>
        </w:rPr>
      </w:pPr>
      <w:r>
        <w:rPr>
          <w:rFonts w:hint="eastAsia"/>
          <w:b/>
          <w:bCs/>
          <w:szCs w:val="21"/>
        </w:rPr>
        <w:t>服务对象</w:t>
      </w:r>
    </w:p>
    <w:p w14:paraId="5E1A90A2">
      <w:pPr>
        <w:pStyle w:val="2"/>
        <w:spacing w:line="360" w:lineRule="auto"/>
        <w:ind w:left="0" w:firstLine="480" w:firstLineChars="200"/>
        <w:rPr>
          <w:rFonts w:hint="eastAsia" w:ascii="宋体" w:hAnsi="宋体" w:cs="宋体" w:eastAsiaTheme="minorEastAsia"/>
          <w:smallCaps w:val="0"/>
          <w:color w:val="000000"/>
          <w:kern w:val="0"/>
          <w:sz w:val="24"/>
          <w:szCs w:val="24"/>
        </w:rPr>
      </w:pPr>
      <w:r>
        <w:rPr>
          <w:rFonts w:hint="eastAsia" w:ascii="宋体" w:hAnsi="宋体" w:cs="宋体" w:eastAsiaTheme="minorEastAsia"/>
          <w:smallCaps w:val="0"/>
          <w:color w:val="000000"/>
          <w:kern w:val="0"/>
          <w:sz w:val="24"/>
          <w:szCs w:val="24"/>
        </w:rPr>
        <w:t>包含但不限于武汉图书馆官方网站、图创集群管理系统、24小时图书馆业务系统等。</w:t>
      </w:r>
    </w:p>
    <w:p w14:paraId="5A044E7E">
      <w:pPr>
        <w:pStyle w:val="7"/>
      </w:pPr>
      <w:bookmarkStart w:id="7" w:name="_Toc132368743"/>
      <w:r>
        <w:rPr>
          <w:rFonts w:hint="eastAsia"/>
        </w:rPr>
        <w:t>4.2.1.1.6 网站安全防护服务</w:t>
      </w:r>
      <w:bookmarkEnd w:id="7"/>
    </w:p>
    <w:p w14:paraId="72442098">
      <w:pPr>
        <w:spacing w:line="360" w:lineRule="auto"/>
        <w:rPr>
          <w:b/>
          <w:bCs/>
          <w:szCs w:val="21"/>
        </w:rPr>
      </w:pPr>
      <w:r>
        <w:rPr>
          <w:rFonts w:hint="eastAsia"/>
          <w:b/>
          <w:bCs/>
          <w:szCs w:val="21"/>
        </w:rPr>
        <w:t>服务范围</w:t>
      </w:r>
    </w:p>
    <w:p w14:paraId="3AA36BD8">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官网及甲方所有业务系统、主机等，服务期：一年。</w:t>
      </w:r>
    </w:p>
    <w:p w14:paraId="2A6D046D">
      <w:pPr>
        <w:spacing w:line="360" w:lineRule="auto"/>
        <w:rPr>
          <w:b/>
          <w:bCs/>
          <w:szCs w:val="21"/>
        </w:rPr>
      </w:pPr>
      <w:r>
        <w:rPr>
          <w:rFonts w:hint="eastAsia"/>
          <w:b/>
          <w:bCs/>
          <w:szCs w:val="21"/>
        </w:rPr>
        <w:t>服务内容</w:t>
      </w:r>
    </w:p>
    <w:p w14:paraId="334FA3F6">
      <w:pPr>
        <w:spacing w:line="360" w:lineRule="auto"/>
        <w:ind w:firstLine="480"/>
        <w:rPr>
          <w:sz w:val="24"/>
        </w:rPr>
      </w:pPr>
      <w:r>
        <w:rPr>
          <w:rFonts w:hint="eastAsia" w:ascii="宋体" w:hAnsi="宋体" w:cs="宋体"/>
          <w:color w:val="000000"/>
          <w:kern w:val="0"/>
          <w:sz w:val="24"/>
        </w:rPr>
        <w:t>将外部访问官网及业务系统的流量迁移至第三方云安全防护中心，提升安全防护水平。</w:t>
      </w:r>
    </w:p>
    <w:p w14:paraId="1151F075">
      <w:pPr>
        <w:spacing w:line="360" w:lineRule="auto"/>
        <w:rPr>
          <w:b/>
          <w:bCs/>
          <w:szCs w:val="21"/>
        </w:rPr>
      </w:pPr>
      <w:r>
        <w:rPr>
          <w:rFonts w:hint="eastAsia"/>
          <w:b/>
          <w:bCs/>
          <w:szCs w:val="21"/>
        </w:rPr>
        <w:t>云端防护要求</w:t>
      </w:r>
    </w:p>
    <w:p w14:paraId="0F82750D">
      <w:pPr>
        <w:spacing w:line="360" w:lineRule="auto"/>
        <w:ind w:firstLine="480"/>
        <w:rPr>
          <w:rFonts w:hint="eastAsia" w:ascii="宋体" w:hAnsi="宋体"/>
          <w:sz w:val="24"/>
        </w:rPr>
      </w:pPr>
      <w:r>
        <w:rPr>
          <w:rFonts w:ascii="宋体" w:hAnsi="宋体"/>
          <w:sz w:val="24"/>
        </w:rPr>
        <w:t>1、系统基于云化SaaS架构，无需消耗虚拟机资源或本地物理资源，通过云端服务平台完成站点管理，为用户提供云防护服务。支持主域名数量≥1个，子域名数量≥10个。</w:t>
      </w:r>
    </w:p>
    <w:p w14:paraId="1AD11E36">
      <w:pPr>
        <w:spacing w:line="360" w:lineRule="auto"/>
        <w:ind w:firstLine="480"/>
        <w:rPr>
          <w:rFonts w:hint="eastAsia" w:ascii="宋体" w:hAnsi="宋体"/>
          <w:sz w:val="24"/>
        </w:rPr>
      </w:pPr>
      <w:r>
        <w:rPr>
          <w:rFonts w:ascii="宋体" w:hAnsi="宋体"/>
          <w:sz w:val="24"/>
        </w:rPr>
        <w:t>2、支持通过统一界面展示网站访问次数、拦截攻击次数、网站出入总流量、疑似攻击元IP数量，并以时间维度展示攻击与访问趋势图。</w:t>
      </w:r>
    </w:p>
    <w:p w14:paraId="6380B0B7">
      <w:pPr>
        <w:spacing w:line="360" w:lineRule="auto"/>
        <w:ind w:firstLine="480"/>
        <w:rPr>
          <w:rFonts w:hint="eastAsia" w:ascii="宋体" w:hAnsi="宋体"/>
          <w:sz w:val="24"/>
        </w:rPr>
      </w:pPr>
      <w:r>
        <w:rPr>
          <w:rFonts w:ascii="宋体" w:hAnsi="宋体"/>
          <w:sz w:val="24"/>
        </w:rPr>
        <w:t>3、支持通过服务平台以手工导入和批量导入的方式完成防护站点的添加申请，支持添加HTTP和HTTPS类型的站点，并支持自主上传网站公钥或和私钥。</w:t>
      </w:r>
    </w:p>
    <w:p w14:paraId="5B085809">
      <w:pPr>
        <w:spacing w:line="360" w:lineRule="auto"/>
        <w:ind w:firstLine="480"/>
        <w:rPr>
          <w:rFonts w:hint="eastAsia" w:ascii="宋体" w:hAnsi="宋体"/>
          <w:sz w:val="24"/>
        </w:rPr>
      </w:pPr>
      <w:r>
        <w:rPr>
          <w:rFonts w:ascii="宋体" w:hAnsi="宋体"/>
          <w:sz w:val="24"/>
        </w:rPr>
        <w:t>4、支持HTTP强制跳转HTTPS，当用户访问HTTP端口（如80）时，支持强制将访问牵引至HTTPS端口（如443）。</w:t>
      </w:r>
    </w:p>
    <w:p w14:paraId="6A263F43">
      <w:pPr>
        <w:spacing w:line="360" w:lineRule="auto"/>
        <w:ind w:firstLine="480"/>
        <w:rPr>
          <w:rFonts w:hint="eastAsia" w:ascii="宋体" w:hAnsi="宋体"/>
          <w:sz w:val="24"/>
        </w:rPr>
      </w:pPr>
      <w:r>
        <w:rPr>
          <w:rFonts w:ascii="宋体" w:hAnsi="宋体"/>
          <w:sz w:val="24"/>
        </w:rPr>
        <w:t>5、支持检查提交的报文是否符合HTTP协议框架，如异常的请求方法、特殊字符、重点字段的缺失、超长报文造成的溢出攻击以及对高危文件的访问等。</w:t>
      </w:r>
    </w:p>
    <w:p w14:paraId="5855E00E">
      <w:pPr>
        <w:spacing w:line="360" w:lineRule="auto"/>
        <w:ind w:firstLine="480"/>
        <w:rPr>
          <w:rFonts w:hint="eastAsia" w:ascii="宋体" w:hAnsi="宋体"/>
          <w:sz w:val="24"/>
        </w:rPr>
      </w:pPr>
      <w:r>
        <w:rPr>
          <w:rFonts w:ascii="宋体" w:hAnsi="宋体"/>
          <w:sz w:val="24"/>
        </w:rPr>
        <w:t>6、支持针对主流Web服务器及插件的已知漏洞防护。Web服务器应覆盖主流服务器：apache、tomcat、lightpd、NGINX、IIS等。</w:t>
      </w:r>
    </w:p>
    <w:p w14:paraId="71815672">
      <w:pPr>
        <w:spacing w:line="360" w:lineRule="auto"/>
        <w:ind w:firstLine="480"/>
        <w:rPr>
          <w:rFonts w:hint="eastAsia" w:ascii="宋体" w:hAnsi="宋体"/>
          <w:sz w:val="24"/>
        </w:rPr>
      </w:pPr>
      <w:r>
        <w:rPr>
          <w:rFonts w:ascii="宋体" w:hAnsi="宋体"/>
          <w:sz w:val="24"/>
        </w:rPr>
        <w:t>7、支持流量监测的功能，基于用户的访问记录，实时检查被访问页面的安全状况，能够发现更深层次的暗链、Webshell等安全事件。</w:t>
      </w:r>
    </w:p>
    <w:p w14:paraId="09DE39B2">
      <w:pPr>
        <w:spacing w:line="360" w:lineRule="auto"/>
        <w:ind w:firstLine="480"/>
        <w:rPr>
          <w:rFonts w:hint="eastAsia" w:ascii="宋体" w:hAnsi="宋体"/>
          <w:sz w:val="24"/>
        </w:rPr>
      </w:pPr>
      <w:r>
        <w:rPr>
          <w:rFonts w:ascii="宋体" w:hAnsi="宋体"/>
          <w:sz w:val="24"/>
        </w:rPr>
        <w:t>8、支持一键关停功能，当网站出现紧急安全事件时，可通过浏览器一键完成关停，防止产生恶劣影响。</w:t>
      </w:r>
    </w:p>
    <w:p w14:paraId="2D5812E5">
      <w:pPr>
        <w:spacing w:line="360" w:lineRule="auto"/>
        <w:ind w:firstLine="480"/>
        <w:rPr>
          <w:rFonts w:hint="eastAsia" w:ascii="宋体" w:hAnsi="宋体"/>
          <w:sz w:val="24"/>
        </w:rPr>
      </w:pPr>
      <w:r>
        <w:rPr>
          <w:rFonts w:ascii="宋体" w:hAnsi="宋体"/>
          <w:sz w:val="24"/>
        </w:rPr>
        <w:t>9、支持通过微信公众号查看网站整体防护态势，包含受攻击域名排行、攻击类型排行、攻击IP排行、攻击区域分布等状态信息。</w:t>
      </w:r>
    </w:p>
    <w:p w14:paraId="26D99BA2">
      <w:pPr>
        <w:spacing w:line="360" w:lineRule="auto"/>
        <w:ind w:firstLine="480"/>
        <w:rPr>
          <w:rFonts w:hint="eastAsia" w:ascii="宋体" w:hAnsi="宋体"/>
          <w:sz w:val="24"/>
        </w:rPr>
      </w:pPr>
      <w:r>
        <w:rPr>
          <w:rFonts w:ascii="宋体" w:hAnsi="宋体"/>
          <w:sz w:val="24"/>
        </w:rPr>
        <w:t>10、支持与威胁情报联动，在可视化大屏界面对发现的恶意IP进行下钻分析，获取IP地理位置、置信度、威胁等级、情报源、历史解析域名等信息。</w:t>
      </w:r>
    </w:p>
    <w:p w14:paraId="4B1F9625">
      <w:pPr>
        <w:spacing w:line="360" w:lineRule="auto"/>
        <w:ind w:firstLine="480"/>
        <w:rPr>
          <w:rFonts w:hint="eastAsia" w:ascii="宋体" w:hAnsi="宋体"/>
          <w:sz w:val="24"/>
        </w:rPr>
      </w:pPr>
      <w:r>
        <w:rPr>
          <w:rFonts w:ascii="宋体" w:hAnsi="宋体"/>
          <w:sz w:val="24"/>
        </w:rPr>
        <w:t>11、具有云端7*24远程安全专家服务能力，提供7*24小时安全值守和应急响应服务。提供策略优化、配置调整、规则更新、问题处理、技术咨询安全事件通告等常规技术支持服务，实时监测感知持续性攻击、0day攻击等事件，并及时响应和对抗，同时在重大节会期间提供更高级别的安全响应服务。</w:t>
      </w:r>
    </w:p>
    <w:p w14:paraId="6467FDD0">
      <w:pPr>
        <w:pStyle w:val="6"/>
      </w:pPr>
      <w:r>
        <w:rPr>
          <w:rFonts w:hint="eastAsia"/>
        </w:rPr>
        <w:t>4.2.1.2 人员驻场及其他服务</w:t>
      </w:r>
    </w:p>
    <w:bookmarkEnd w:id="4"/>
    <w:p w14:paraId="29CE434C">
      <w:pPr>
        <w:pStyle w:val="7"/>
      </w:pPr>
      <w:bookmarkStart w:id="8" w:name="_Toc132368739"/>
      <w:r>
        <w:rPr>
          <w:rFonts w:hint="eastAsia"/>
        </w:rPr>
        <w:t>4.2.1.2.1 接入交换机服务</w:t>
      </w:r>
      <w:bookmarkEnd w:id="8"/>
    </w:p>
    <w:p w14:paraId="22166074">
      <w:pPr>
        <w:spacing w:line="360" w:lineRule="auto"/>
        <w:ind w:firstLine="480"/>
        <w:rPr>
          <w:rFonts w:hint="eastAsia" w:ascii="宋体" w:hAnsi="宋体"/>
          <w:sz w:val="24"/>
        </w:rPr>
      </w:pPr>
      <w:r>
        <w:rPr>
          <w:rFonts w:ascii="宋体" w:hAnsi="宋体"/>
          <w:sz w:val="24"/>
        </w:rPr>
        <w:t>1、标准1U机架式设备，交换容量≥2.4Tbps/24Tbps，包转发率≥432Mpps，实际配置≥48千兆电口、≥4千兆万口</w:t>
      </w:r>
      <w:r>
        <w:rPr>
          <w:rFonts w:hint="eastAsia" w:ascii="宋体" w:hAnsi="宋体"/>
          <w:sz w:val="24"/>
        </w:rPr>
        <w:t>（含万兆多模模块）</w:t>
      </w:r>
      <w:r>
        <w:rPr>
          <w:rFonts w:ascii="宋体" w:hAnsi="宋体"/>
          <w:sz w:val="24"/>
        </w:rPr>
        <w:t>，含一年设备租赁及软件升级服务；</w:t>
      </w:r>
    </w:p>
    <w:p w14:paraId="4F7F06D9">
      <w:pPr>
        <w:spacing w:line="360" w:lineRule="auto"/>
        <w:ind w:firstLine="480"/>
        <w:rPr>
          <w:rFonts w:hint="eastAsia" w:ascii="宋体" w:hAnsi="宋体"/>
          <w:sz w:val="24"/>
        </w:rPr>
      </w:pPr>
      <w:r>
        <w:rPr>
          <w:rFonts w:ascii="宋体" w:hAnsi="宋体"/>
          <w:sz w:val="24"/>
        </w:rPr>
        <w:t>2、支持MAC地址≥32K，支持4K VLAN，支持QinQ，灵活QinQ、支持端口VLAN、协议VLAN、IP子网VLAN。</w:t>
      </w:r>
    </w:p>
    <w:p w14:paraId="5736A253">
      <w:pPr>
        <w:spacing w:line="360" w:lineRule="auto"/>
        <w:ind w:firstLine="480"/>
        <w:rPr>
          <w:rFonts w:hint="eastAsia" w:ascii="宋体" w:hAnsi="宋体"/>
          <w:sz w:val="24"/>
        </w:rPr>
      </w:pPr>
      <w:r>
        <w:rPr>
          <w:rFonts w:ascii="宋体" w:hAnsi="宋体"/>
          <w:sz w:val="24"/>
        </w:rPr>
        <w:t>3、支持VXLAN功能，支持VXLAN二层网关、三层网关，支持BGP EVPN，实现自动建立隧道。</w:t>
      </w:r>
    </w:p>
    <w:p w14:paraId="65FE2EC7">
      <w:pPr>
        <w:spacing w:line="360" w:lineRule="auto"/>
        <w:ind w:firstLine="480"/>
        <w:rPr>
          <w:rFonts w:hint="eastAsia" w:ascii="宋体" w:hAnsi="宋体"/>
          <w:sz w:val="24"/>
        </w:rPr>
      </w:pPr>
      <w:r>
        <w:rPr>
          <w:rFonts w:ascii="宋体" w:hAnsi="宋体"/>
          <w:sz w:val="24"/>
        </w:rPr>
        <w:t>4、支持静态路由、RIP v1/v2、OSPF、BGP、ISIS、RIPng、OSPFv3、ISISv6、BGP4+。</w:t>
      </w:r>
    </w:p>
    <w:p w14:paraId="63558652">
      <w:pPr>
        <w:spacing w:line="360" w:lineRule="auto"/>
        <w:ind w:firstLine="480"/>
        <w:rPr>
          <w:rFonts w:hint="eastAsia" w:ascii="宋体" w:hAnsi="宋体"/>
          <w:sz w:val="24"/>
        </w:rPr>
      </w:pPr>
      <w:r>
        <w:rPr>
          <w:rFonts w:ascii="宋体" w:hAnsi="宋体"/>
          <w:sz w:val="24"/>
        </w:rPr>
        <w:t>5、支持G.8032标准以太环网协议，支持真实业务流实时检测技术，实时检测网络故障。</w:t>
      </w:r>
    </w:p>
    <w:p w14:paraId="4D897CC2">
      <w:pPr>
        <w:spacing w:line="360" w:lineRule="auto"/>
        <w:ind w:firstLine="480"/>
        <w:rPr>
          <w:rFonts w:hint="eastAsia" w:ascii="宋体" w:hAnsi="宋体"/>
          <w:sz w:val="24"/>
        </w:rPr>
      </w:pPr>
      <w:r>
        <w:rPr>
          <w:rFonts w:ascii="宋体" w:hAnsi="宋体"/>
          <w:sz w:val="24"/>
        </w:rPr>
        <w:t>6、支持虚拟化功能。</w:t>
      </w:r>
    </w:p>
    <w:p w14:paraId="0470EB49">
      <w:pPr>
        <w:pStyle w:val="7"/>
      </w:pPr>
      <w:r>
        <w:rPr>
          <w:rFonts w:hint="eastAsia"/>
        </w:rPr>
        <w:t>4.2.1.2.2 驻场运维服务</w:t>
      </w:r>
    </w:p>
    <w:p w14:paraId="40BE43C4">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1、提供一名人员驻场一年。</w:t>
      </w:r>
    </w:p>
    <w:p w14:paraId="434F0BAC">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2、人员要求：</w:t>
      </w:r>
    </w:p>
    <w:p w14:paraId="3FDC55FD">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（1）具备HCIE、CISP或同级别以上证书，具备5年以上的工作经验。</w:t>
      </w:r>
    </w:p>
    <w:p w14:paraId="61882031">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（2）熟悉CISCO、H3C、华为、三石、</w:t>
      </w:r>
      <w:bookmarkStart w:id="11" w:name="_GoBack"/>
      <w:bookmarkEnd w:id="11"/>
      <w:r>
        <w:rPr>
          <w:rFonts w:hint="eastAsia" w:ascii="宋体" w:hAnsi="宋体" w:cs="宋体"/>
          <w:color w:val="000000"/>
          <w:kern w:val="0"/>
          <w:sz w:val="24"/>
        </w:rPr>
        <w:t>联想、EMC、Vmware等主流厂商的设备及软件的常规配置运维。</w:t>
      </w:r>
    </w:p>
    <w:p w14:paraId="48197C9D">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（3）熟悉windows、linux等操作系统，具备日常安全加固的服务能力。</w:t>
      </w:r>
    </w:p>
    <w:p w14:paraId="20A9AC70">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（4）具备本科及以上学历。</w:t>
      </w:r>
    </w:p>
    <w:p w14:paraId="4F8FFFCB">
      <w:pPr>
        <w:spacing w:line="360" w:lineRule="auto"/>
        <w:ind w:firstLine="480"/>
        <w:rPr>
          <w:rFonts w:hint="eastAsia" w:ascii="宋体" w:hAnsi="宋体" w:cs="宋体"/>
          <w:kern w:val="0"/>
          <w:sz w:val="24"/>
        </w:rPr>
      </w:pPr>
      <w:r>
        <w:rPr>
          <w:rFonts w:hint="eastAsia" w:ascii="宋体" w:hAnsi="宋体" w:cs="宋体"/>
          <w:kern w:val="0"/>
          <w:sz w:val="24"/>
        </w:rPr>
        <w:t>3、工作清单：</w:t>
      </w:r>
    </w:p>
    <w:tbl>
      <w:tblPr>
        <w:tblStyle w:val="14"/>
        <w:tblW w:w="10065"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127"/>
        <w:gridCol w:w="7087"/>
      </w:tblGrid>
      <w:tr w14:paraId="2554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Pr>
          <w:p w14:paraId="387900A1">
            <w:pPr>
              <w:pStyle w:val="2"/>
              <w:spacing w:line="360" w:lineRule="auto"/>
              <w:ind w:left="0"/>
              <w:jc w:val="center"/>
              <w:rPr>
                <w:rFonts w:hint="eastAsia" w:ascii="宋体" w:hAnsi="宋体" w:cs="宋体" w:eastAsiaTheme="minorEastAsia"/>
                <w:b/>
                <w:bCs/>
                <w:smallCaps w:val="0"/>
                <w:kern w:val="0"/>
                <w:sz w:val="24"/>
                <w:szCs w:val="24"/>
              </w:rPr>
            </w:pPr>
            <w:r>
              <w:rPr>
                <w:rFonts w:hint="eastAsia" w:ascii="宋体" w:hAnsi="宋体" w:cs="宋体" w:eastAsiaTheme="minorEastAsia"/>
                <w:b/>
                <w:bCs/>
                <w:smallCaps w:val="0"/>
                <w:kern w:val="0"/>
                <w:sz w:val="24"/>
                <w:szCs w:val="24"/>
              </w:rPr>
              <w:t>序号</w:t>
            </w:r>
          </w:p>
        </w:tc>
        <w:tc>
          <w:tcPr>
            <w:tcW w:w="2127" w:type="dxa"/>
          </w:tcPr>
          <w:p w14:paraId="1519F0F7">
            <w:pPr>
              <w:pStyle w:val="2"/>
              <w:spacing w:line="360" w:lineRule="auto"/>
              <w:ind w:left="0"/>
              <w:jc w:val="center"/>
              <w:rPr>
                <w:rFonts w:hint="eastAsia" w:ascii="宋体" w:hAnsi="宋体" w:cs="宋体" w:eastAsiaTheme="minorEastAsia"/>
                <w:b/>
                <w:bCs/>
                <w:smallCaps w:val="0"/>
                <w:kern w:val="0"/>
                <w:sz w:val="24"/>
                <w:szCs w:val="24"/>
              </w:rPr>
            </w:pPr>
            <w:r>
              <w:rPr>
                <w:rFonts w:hint="eastAsia" w:ascii="宋体" w:hAnsi="宋体" w:cs="宋体" w:eastAsiaTheme="minorEastAsia"/>
                <w:b/>
                <w:bCs/>
                <w:smallCaps w:val="0"/>
                <w:kern w:val="0"/>
                <w:sz w:val="24"/>
                <w:szCs w:val="24"/>
              </w:rPr>
              <w:t>工作内容</w:t>
            </w:r>
          </w:p>
        </w:tc>
        <w:tc>
          <w:tcPr>
            <w:tcW w:w="7087" w:type="dxa"/>
          </w:tcPr>
          <w:p w14:paraId="1F3DEA5B">
            <w:pPr>
              <w:pStyle w:val="2"/>
              <w:spacing w:line="360" w:lineRule="auto"/>
              <w:ind w:left="0"/>
              <w:jc w:val="center"/>
              <w:rPr>
                <w:rFonts w:hint="eastAsia" w:ascii="宋体" w:hAnsi="宋体" w:cs="宋体" w:eastAsiaTheme="minorEastAsia"/>
                <w:b/>
                <w:bCs/>
                <w:smallCaps w:val="0"/>
                <w:kern w:val="0"/>
                <w:sz w:val="24"/>
                <w:szCs w:val="24"/>
              </w:rPr>
            </w:pPr>
            <w:r>
              <w:rPr>
                <w:rFonts w:hint="eastAsia" w:ascii="宋体" w:hAnsi="宋体" w:cs="宋体" w:eastAsiaTheme="minorEastAsia"/>
                <w:b/>
                <w:bCs/>
                <w:smallCaps w:val="0"/>
                <w:kern w:val="0"/>
                <w:sz w:val="24"/>
                <w:szCs w:val="24"/>
              </w:rPr>
              <w:t>工作要求</w:t>
            </w:r>
          </w:p>
        </w:tc>
      </w:tr>
      <w:tr w14:paraId="3B42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323995E5">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1</w:t>
            </w:r>
          </w:p>
        </w:tc>
        <w:tc>
          <w:tcPr>
            <w:tcW w:w="2127" w:type="dxa"/>
            <w:vAlign w:val="center"/>
          </w:tcPr>
          <w:p w14:paraId="66385026">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日常运维</w:t>
            </w:r>
          </w:p>
        </w:tc>
        <w:tc>
          <w:tcPr>
            <w:tcW w:w="7087" w:type="dxa"/>
            <w:vAlign w:val="center"/>
          </w:tcPr>
          <w:p w14:paraId="1967B978">
            <w:pPr>
              <w:pStyle w:val="2"/>
              <w:spacing w:line="360" w:lineRule="auto"/>
              <w:ind w:left="0" w:firstLine="480" w:firstLineChars="200"/>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每天对</w:t>
            </w:r>
            <w:r>
              <w:rPr>
                <w:rFonts w:hint="eastAsia" w:ascii="宋体" w:hAnsi="宋体" w:cs="宋体"/>
                <w:kern w:val="0"/>
                <w:sz w:val="24"/>
              </w:rPr>
              <w:t>武汉图书馆内的网络设备、安全设备</w:t>
            </w:r>
            <w:r>
              <w:rPr>
                <w:rFonts w:hint="eastAsia" w:ascii="宋体" w:hAnsi="宋体" w:eastAsia="宋体" w:cs="宋体"/>
                <w:kern w:val="0"/>
                <w:sz w:val="24"/>
              </w:rPr>
              <w:t>进行巡检、特征库更新等，并做好记录。</w:t>
            </w:r>
          </w:p>
        </w:tc>
      </w:tr>
      <w:tr w14:paraId="36B63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10AA32E9">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2</w:t>
            </w:r>
          </w:p>
        </w:tc>
        <w:tc>
          <w:tcPr>
            <w:tcW w:w="2127" w:type="dxa"/>
            <w:vAlign w:val="center"/>
          </w:tcPr>
          <w:p w14:paraId="6C6FDE85">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告警分析及处置</w:t>
            </w:r>
          </w:p>
        </w:tc>
        <w:tc>
          <w:tcPr>
            <w:tcW w:w="7087" w:type="dxa"/>
            <w:vAlign w:val="center"/>
          </w:tcPr>
          <w:p w14:paraId="1AB89845">
            <w:pPr>
              <w:pStyle w:val="2"/>
              <w:spacing w:line="360" w:lineRule="auto"/>
              <w:ind w:left="0" w:firstLine="480" w:firstLineChars="200"/>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每天对</w:t>
            </w:r>
            <w:r>
              <w:rPr>
                <w:rFonts w:hint="eastAsia" w:ascii="宋体" w:hAnsi="宋体" w:cs="宋体"/>
                <w:kern w:val="0"/>
                <w:sz w:val="24"/>
              </w:rPr>
              <w:t>武汉图书馆内的</w:t>
            </w:r>
            <w:r>
              <w:rPr>
                <w:rFonts w:hint="eastAsia" w:ascii="宋体" w:hAnsi="宋体" w:eastAsia="宋体" w:cs="宋体"/>
                <w:kern w:val="0"/>
                <w:sz w:val="24"/>
              </w:rPr>
              <w:t>互联网出口防火墙、24小时防火墙、态势感知平台上的告警进行分析处理，同时将处置任务分配到各系统对应的服务商。</w:t>
            </w:r>
          </w:p>
        </w:tc>
      </w:tr>
      <w:tr w14:paraId="094F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0865E8B5">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3</w:t>
            </w:r>
          </w:p>
        </w:tc>
        <w:tc>
          <w:tcPr>
            <w:tcW w:w="2127" w:type="dxa"/>
            <w:vAlign w:val="center"/>
          </w:tcPr>
          <w:p w14:paraId="489D1E3A">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设备配置及运维</w:t>
            </w:r>
          </w:p>
        </w:tc>
        <w:tc>
          <w:tcPr>
            <w:tcW w:w="7087" w:type="dxa"/>
            <w:vAlign w:val="center"/>
          </w:tcPr>
          <w:p w14:paraId="4E9D72EF">
            <w:pPr>
              <w:pStyle w:val="2"/>
              <w:spacing w:line="360" w:lineRule="auto"/>
              <w:ind w:left="0" w:firstLine="480" w:firstLineChars="200"/>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根据武汉图书馆的业务需求，对馆内的网络设备、安全设备进行配置调试及备份配置。</w:t>
            </w:r>
          </w:p>
        </w:tc>
      </w:tr>
      <w:tr w14:paraId="4E2F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381263DD">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4</w:t>
            </w:r>
          </w:p>
        </w:tc>
        <w:tc>
          <w:tcPr>
            <w:tcW w:w="2127" w:type="dxa"/>
            <w:vAlign w:val="center"/>
          </w:tcPr>
          <w:p w14:paraId="348DEDA0">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安全整改信息收集跟进</w:t>
            </w:r>
          </w:p>
        </w:tc>
        <w:tc>
          <w:tcPr>
            <w:tcW w:w="7087" w:type="dxa"/>
            <w:vAlign w:val="center"/>
          </w:tcPr>
          <w:p w14:paraId="43E1F2E2">
            <w:pPr>
              <w:pStyle w:val="2"/>
              <w:spacing w:line="360" w:lineRule="auto"/>
              <w:ind w:left="0" w:firstLine="480" w:firstLineChars="200"/>
              <w:rPr>
                <w:rFonts w:hint="eastAsia" w:ascii="宋体" w:hAnsi="宋体" w:cs="宋体" w:eastAsiaTheme="minorEastAsia"/>
                <w:smallCaps w:val="0"/>
                <w:kern w:val="0"/>
                <w:sz w:val="24"/>
                <w:szCs w:val="24"/>
              </w:rPr>
            </w:pPr>
            <w:r>
              <w:rPr>
                <w:rFonts w:hint="eastAsia" w:ascii="宋体" w:hAnsi="宋体" w:cs="宋体"/>
                <w:kern w:val="0"/>
                <w:sz w:val="24"/>
              </w:rPr>
              <w:t>对武汉图书馆内的服务器、存储</w:t>
            </w:r>
            <w:r>
              <w:rPr>
                <w:rFonts w:hint="eastAsia" w:ascii="宋体" w:hAnsi="宋体" w:eastAsia="宋体" w:cs="宋体"/>
                <w:kern w:val="0"/>
                <w:sz w:val="24"/>
              </w:rPr>
              <w:t>、24小时图书馆业务服务器/终端</w:t>
            </w:r>
            <w:r>
              <w:rPr>
                <w:rFonts w:hint="eastAsia" w:ascii="宋体" w:hAnsi="宋体" w:cs="宋体"/>
                <w:kern w:val="0"/>
                <w:sz w:val="24"/>
              </w:rPr>
              <w:t>等设备进行安全加固、督促整改等。</w:t>
            </w:r>
          </w:p>
        </w:tc>
      </w:tr>
      <w:tr w14:paraId="3DFA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152DA32C">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5</w:t>
            </w:r>
          </w:p>
        </w:tc>
        <w:tc>
          <w:tcPr>
            <w:tcW w:w="2127" w:type="dxa"/>
            <w:vAlign w:val="center"/>
          </w:tcPr>
          <w:p w14:paraId="12D99472">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定期杀毒</w:t>
            </w:r>
          </w:p>
        </w:tc>
        <w:tc>
          <w:tcPr>
            <w:tcW w:w="7087" w:type="dxa"/>
            <w:vAlign w:val="center"/>
          </w:tcPr>
          <w:p w14:paraId="40209B80">
            <w:pPr>
              <w:pStyle w:val="2"/>
              <w:spacing w:line="360" w:lineRule="auto"/>
              <w:ind w:left="0" w:firstLine="480" w:firstLineChars="200"/>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配合武汉图书馆工作人员对馆内的终端设备定期进行杀毒、安全加固等。</w:t>
            </w:r>
          </w:p>
        </w:tc>
      </w:tr>
      <w:tr w14:paraId="6FD2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49262892">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6</w:t>
            </w:r>
          </w:p>
        </w:tc>
        <w:tc>
          <w:tcPr>
            <w:tcW w:w="2127" w:type="dxa"/>
            <w:vAlign w:val="center"/>
          </w:tcPr>
          <w:p w14:paraId="57EF3397">
            <w:pPr>
              <w:pStyle w:val="2"/>
              <w:spacing w:line="360" w:lineRule="auto"/>
              <w:ind w:left="0"/>
              <w:jc w:val="center"/>
              <w:rPr>
                <w:rFonts w:hint="eastAsia" w:ascii="宋体" w:hAnsi="宋体" w:cs="宋体" w:eastAsiaTheme="minorEastAsia"/>
                <w:smallCaps w:val="0"/>
                <w:kern w:val="0"/>
                <w:sz w:val="24"/>
                <w:szCs w:val="24"/>
              </w:rPr>
            </w:pPr>
            <w:r>
              <w:rPr>
                <w:rFonts w:hint="eastAsia" w:ascii="宋体" w:hAnsi="宋体" w:cs="宋体" w:eastAsiaTheme="minorEastAsia"/>
                <w:smallCaps w:val="0"/>
                <w:kern w:val="0"/>
                <w:sz w:val="24"/>
                <w:szCs w:val="24"/>
              </w:rPr>
              <w:t>其他工作</w:t>
            </w:r>
          </w:p>
        </w:tc>
        <w:tc>
          <w:tcPr>
            <w:tcW w:w="7087" w:type="dxa"/>
            <w:vAlign w:val="center"/>
          </w:tcPr>
          <w:p w14:paraId="0E9B1DCC">
            <w:pPr>
              <w:pStyle w:val="2"/>
              <w:spacing w:line="360" w:lineRule="auto"/>
              <w:ind w:left="0" w:firstLine="480" w:firstLineChars="200"/>
              <w:rPr>
                <w:rFonts w:hint="eastAsia" w:ascii="宋体" w:hAnsi="宋体" w:cs="宋体" w:eastAsiaTheme="minorEastAsia"/>
                <w:smallCaps w:val="0"/>
                <w:kern w:val="0"/>
                <w:sz w:val="24"/>
                <w:szCs w:val="24"/>
              </w:rPr>
            </w:pPr>
            <w:r>
              <w:rPr>
                <w:rFonts w:hint="eastAsia" w:ascii="宋体" w:hAnsi="宋体" w:cs="宋体"/>
                <w:kern w:val="0"/>
                <w:sz w:val="24"/>
              </w:rPr>
              <w:t>完成武汉图书馆工作人员安排的其他工作内容。</w:t>
            </w:r>
          </w:p>
        </w:tc>
      </w:tr>
    </w:tbl>
    <w:p w14:paraId="0FC8F34C">
      <w:pPr>
        <w:pStyle w:val="7"/>
      </w:pPr>
      <w:bookmarkStart w:id="9" w:name="_Toc132368734"/>
      <w:bookmarkStart w:id="10" w:name="_Toc132368737"/>
      <w:r>
        <w:rPr>
          <w:rFonts w:hint="eastAsia"/>
        </w:rPr>
        <w:t>4.2.1.2.3 SSL证书服务</w:t>
      </w:r>
      <w:bookmarkEnd w:id="9"/>
    </w:p>
    <w:p w14:paraId="2B2A6102">
      <w:pPr>
        <w:spacing w:line="360" w:lineRule="auto"/>
        <w:ind w:firstLine="480"/>
        <w:rPr>
          <w:sz w:val="24"/>
        </w:rPr>
      </w:pPr>
      <w:r>
        <w:rPr>
          <w:rFonts w:hint="eastAsia" w:ascii="宋体" w:hAnsi="宋体" w:cs="宋体"/>
          <w:color w:val="000000"/>
          <w:kern w:val="0"/>
          <w:sz w:val="24"/>
        </w:rPr>
        <w:t>提供官网及业务系统SSL证书（证书有效期一年）。</w:t>
      </w:r>
    </w:p>
    <w:bookmarkEnd w:id="10"/>
    <w:p w14:paraId="3DE4DB97">
      <w:pPr>
        <w:pStyle w:val="6"/>
      </w:pPr>
      <w:r>
        <w:rPr>
          <w:rFonts w:hint="eastAsia"/>
        </w:rPr>
        <w:t>4.2.1.3 等保测评服务</w:t>
      </w:r>
    </w:p>
    <w:p w14:paraId="4422D221">
      <w:pPr>
        <w:pStyle w:val="7"/>
      </w:pPr>
      <w:r>
        <w:rPr>
          <w:rFonts w:hint="eastAsia"/>
        </w:rPr>
        <w:t>4.2.1.3.1 服务范围</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2"/>
        <w:gridCol w:w="4077"/>
        <w:gridCol w:w="2923"/>
      </w:tblGrid>
      <w:tr w14:paraId="4EA1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3" w:type="pct"/>
            <w:vAlign w:val="center"/>
          </w:tcPr>
          <w:p w14:paraId="06E41981">
            <w:pPr>
              <w:spacing w:line="360" w:lineRule="auto"/>
              <w:jc w:val="center"/>
              <w:rPr>
                <w:rFonts w:hint="eastAsia" w:ascii="宋体" w:hAnsi="宋体"/>
                <w:b/>
                <w:bCs/>
                <w:sz w:val="24"/>
              </w:rPr>
            </w:pPr>
            <w:r>
              <w:rPr>
                <w:rFonts w:hint="eastAsia" w:ascii="宋体" w:hAnsi="宋体"/>
                <w:b/>
                <w:bCs/>
                <w:sz w:val="24"/>
              </w:rPr>
              <w:t>序号</w:t>
            </w:r>
          </w:p>
        </w:tc>
        <w:tc>
          <w:tcPr>
            <w:tcW w:w="2392" w:type="pct"/>
            <w:vAlign w:val="center"/>
          </w:tcPr>
          <w:p w14:paraId="77B31159">
            <w:pPr>
              <w:spacing w:line="360" w:lineRule="auto"/>
              <w:ind w:firstLine="200" w:firstLineChars="83"/>
              <w:jc w:val="center"/>
              <w:rPr>
                <w:rFonts w:hint="eastAsia" w:ascii="宋体" w:hAnsi="宋体"/>
                <w:b/>
                <w:bCs/>
                <w:sz w:val="24"/>
              </w:rPr>
            </w:pPr>
            <w:r>
              <w:rPr>
                <w:rFonts w:hint="eastAsia" w:ascii="宋体" w:hAnsi="宋体"/>
                <w:b/>
                <w:bCs/>
                <w:sz w:val="24"/>
              </w:rPr>
              <w:t>服务内容</w:t>
            </w:r>
          </w:p>
        </w:tc>
        <w:tc>
          <w:tcPr>
            <w:tcW w:w="1715" w:type="pct"/>
          </w:tcPr>
          <w:p w14:paraId="3906A2D4">
            <w:pPr>
              <w:spacing w:line="360" w:lineRule="auto"/>
              <w:jc w:val="center"/>
              <w:rPr>
                <w:rFonts w:hint="eastAsia" w:ascii="宋体" w:hAnsi="宋体"/>
                <w:b/>
                <w:bCs/>
                <w:sz w:val="24"/>
              </w:rPr>
            </w:pPr>
            <w:r>
              <w:rPr>
                <w:rFonts w:hint="eastAsia" w:ascii="宋体" w:hAnsi="宋体"/>
                <w:b/>
                <w:bCs/>
                <w:sz w:val="24"/>
              </w:rPr>
              <w:t>等级保护级别</w:t>
            </w:r>
          </w:p>
        </w:tc>
      </w:tr>
      <w:tr w14:paraId="4ECA8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3" w:type="pct"/>
            <w:vAlign w:val="center"/>
          </w:tcPr>
          <w:p w14:paraId="20C37C78">
            <w:pPr>
              <w:spacing w:line="360" w:lineRule="auto"/>
              <w:jc w:val="center"/>
              <w:rPr>
                <w:rFonts w:hint="eastAsia" w:ascii="宋体" w:hAnsi="宋体"/>
                <w:sz w:val="24"/>
              </w:rPr>
            </w:pPr>
            <w:r>
              <w:rPr>
                <w:rFonts w:hint="eastAsia" w:ascii="宋体" w:hAnsi="宋体"/>
                <w:sz w:val="24"/>
              </w:rPr>
              <w:t>1</w:t>
            </w:r>
          </w:p>
        </w:tc>
        <w:tc>
          <w:tcPr>
            <w:tcW w:w="2392" w:type="pct"/>
            <w:vAlign w:val="center"/>
          </w:tcPr>
          <w:p w14:paraId="068AD1ED">
            <w:pPr>
              <w:spacing w:line="360" w:lineRule="auto"/>
              <w:jc w:val="center"/>
              <w:rPr>
                <w:rFonts w:hint="eastAsia" w:ascii="宋体" w:hAnsi="宋体"/>
                <w:sz w:val="24"/>
              </w:rPr>
            </w:pPr>
            <w:r>
              <w:rPr>
                <w:rFonts w:hint="eastAsia" w:ascii="宋体" w:hAnsi="宋体"/>
                <w:sz w:val="24"/>
              </w:rPr>
              <w:t>官网</w:t>
            </w:r>
          </w:p>
        </w:tc>
        <w:tc>
          <w:tcPr>
            <w:tcW w:w="1715" w:type="pct"/>
            <w:vAlign w:val="center"/>
          </w:tcPr>
          <w:p w14:paraId="332FE0A9">
            <w:pPr>
              <w:spacing w:line="360" w:lineRule="auto"/>
              <w:jc w:val="center"/>
              <w:rPr>
                <w:rFonts w:hint="eastAsia" w:ascii="宋体" w:hAnsi="宋体"/>
                <w:sz w:val="24"/>
              </w:rPr>
            </w:pPr>
            <w:r>
              <w:rPr>
                <w:rFonts w:hint="eastAsia" w:ascii="宋体" w:hAnsi="宋体"/>
                <w:sz w:val="24"/>
              </w:rPr>
              <w:t>二级</w:t>
            </w:r>
          </w:p>
        </w:tc>
      </w:tr>
      <w:tr w14:paraId="57116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3" w:type="pct"/>
            <w:vAlign w:val="center"/>
          </w:tcPr>
          <w:p w14:paraId="49BBDDF0">
            <w:pPr>
              <w:spacing w:line="360" w:lineRule="auto"/>
              <w:jc w:val="center"/>
              <w:rPr>
                <w:rFonts w:hint="eastAsia" w:ascii="宋体" w:hAnsi="宋体"/>
                <w:sz w:val="24"/>
              </w:rPr>
            </w:pPr>
            <w:r>
              <w:rPr>
                <w:rFonts w:hint="eastAsia" w:ascii="宋体" w:hAnsi="宋体"/>
                <w:sz w:val="24"/>
              </w:rPr>
              <w:t>2</w:t>
            </w:r>
          </w:p>
        </w:tc>
        <w:tc>
          <w:tcPr>
            <w:tcW w:w="2392" w:type="pct"/>
            <w:vAlign w:val="center"/>
          </w:tcPr>
          <w:p w14:paraId="473E1322">
            <w:pPr>
              <w:spacing w:line="360" w:lineRule="auto"/>
              <w:jc w:val="center"/>
              <w:rPr>
                <w:rFonts w:hint="eastAsia" w:ascii="宋体" w:hAnsi="宋体"/>
                <w:sz w:val="24"/>
              </w:rPr>
            </w:pPr>
            <w:r>
              <w:rPr>
                <w:rFonts w:hint="eastAsia" w:ascii="宋体" w:hAnsi="宋体"/>
                <w:sz w:val="24"/>
              </w:rPr>
              <w:t>业务系统</w:t>
            </w:r>
          </w:p>
        </w:tc>
        <w:tc>
          <w:tcPr>
            <w:tcW w:w="1715" w:type="pct"/>
            <w:vAlign w:val="center"/>
          </w:tcPr>
          <w:p w14:paraId="0BB9196F">
            <w:pPr>
              <w:spacing w:line="360" w:lineRule="auto"/>
              <w:jc w:val="center"/>
              <w:rPr>
                <w:rFonts w:hint="eastAsia" w:ascii="宋体" w:hAnsi="宋体"/>
                <w:sz w:val="24"/>
              </w:rPr>
            </w:pPr>
            <w:r>
              <w:rPr>
                <w:rFonts w:hint="eastAsia" w:ascii="宋体" w:hAnsi="宋体"/>
                <w:sz w:val="24"/>
              </w:rPr>
              <w:t>二级</w:t>
            </w:r>
          </w:p>
        </w:tc>
      </w:tr>
    </w:tbl>
    <w:p w14:paraId="5112F977">
      <w:pPr>
        <w:pStyle w:val="7"/>
      </w:pPr>
      <w:r>
        <w:rPr>
          <w:rFonts w:hint="eastAsia"/>
        </w:rPr>
        <w:t>4.2.1.3.2 服务要求</w:t>
      </w:r>
    </w:p>
    <w:p w14:paraId="5FF92617">
      <w:pPr>
        <w:spacing w:line="360" w:lineRule="auto"/>
        <w:ind w:firstLine="480"/>
        <w:rPr>
          <w:rFonts w:hint="eastAsia" w:ascii="宋体" w:hAnsi="宋体" w:cs="宋体"/>
          <w:color w:val="000000"/>
          <w:kern w:val="0"/>
          <w:sz w:val="24"/>
        </w:rPr>
      </w:pPr>
      <w:r>
        <w:rPr>
          <w:rFonts w:hint="eastAsia" w:ascii="宋体" w:hAnsi="宋体" w:cs="宋体"/>
          <w:color w:val="000000"/>
          <w:kern w:val="0"/>
          <w:sz w:val="24"/>
        </w:rPr>
        <w:t>1、协助武汉图书馆完成官网、图创业务系统两个系统的定级、备案、测评等工作；</w:t>
      </w:r>
    </w:p>
    <w:p w14:paraId="743734B7">
      <w:pPr>
        <w:spacing w:line="360" w:lineRule="auto"/>
        <w:ind w:firstLine="480"/>
        <w:rPr>
          <w:rFonts w:hint="eastAsia" w:ascii="宋体" w:hAnsi="宋体" w:cs="宋体"/>
          <w:color w:val="000000"/>
          <w:kern w:val="0"/>
          <w:sz w:val="24"/>
        </w:rPr>
      </w:pPr>
      <w:r>
        <w:rPr>
          <w:rFonts w:ascii="宋体" w:hAnsi="宋体" w:cs="宋体"/>
          <w:color w:val="000000"/>
          <w:kern w:val="0"/>
          <w:sz w:val="24"/>
        </w:rPr>
        <w:t>2</w:t>
      </w:r>
      <w:r>
        <w:rPr>
          <w:rFonts w:hint="eastAsia" w:ascii="宋体" w:hAnsi="宋体" w:cs="宋体"/>
          <w:color w:val="000000"/>
          <w:kern w:val="0"/>
          <w:sz w:val="24"/>
        </w:rPr>
        <w:t>、配合武汉图书馆制定网络安全管理制度文档；</w:t>
      </w:r>
    </w:p>
    <w:p w14:paraId="4A504010">
      <w:pPr>
        <w:spacing w:line="360" w:lineRule="auto"/>
        <w:ind w:firstLine="480"/>
        <w:rPr>
          <w:rFonts w:hint="eastAsia" w:ascii="宋体" w:hAnsi="宋体" w:cs="宋体"/>
          <w:color w:val="000000"/>
          <w:kern w:val="0"/>
          <w:sz w:val="24"/>
        </w:rPr>
      </w:pPr>
      <w:r>
        <w:rPr>
          <w:rFonts w:ascii="宋体" w:hAnsi="宋体" w:cs="宋体"/>
          <w:color w:val="000000"/>
          <w:kern w:val="0"/>
          <w:sz w:val="24"/>
        </w:rPr>
        <w:t>3</w:t>
      </w:r>
      <w:r>
        <w:rPr>
          <w:rFonts w:hint="eastAsia" w:ascii="宋体" w:hAnsi="宋体" w:cs="宋体"/>
          <w:color w:val="000000"/>
          <w:kern w:val="0"/>
          <w:sz w:val="24"/>
        </w:rPr>
        <w:t>、取得公安机关颁发的备案证明；</w:t>
      </w:r>
    </w:p>
    <w:p w14:paraId="368F81FA">
      <w:pPr>
        <w:pStyle w:val="5"/>
        <w:numPr>
          <w:ilvl w:val="0"/>
          <w:numId w:val="0"/>
        </w:numPr>
      </w:pPr>
      <w:r>
        <w:rPr>
          <w:rFonts w:hint="eastAsia"/>
        </w:rPr>
        <w:t>4.</w:t>
      </w:r>
      <w:r>
        <w:t xml:space="preserve">2.2 </w:t>
      </w:r>
      <w:r>
        <w:rPr>
          <w:rFonts w:hint="eastAsia"/>
        </w:rPr>
        <w:t>商务要求</w:t>
      </w:r>
    </w:p>
    <w:p w14:paraId="3A7A37B3">
      <w:pPr>
        <w:snapToGrid w:val="0"/>
        <w:spacing w:line="360" w:lineRule="auto"/>
        <w:ind w:firstLine="480" w:firstLineChars="200"/>
        <w:rPr>
          <w:rFonts w:hint="eastAsia" w:cs="仿宋" w:asciiTheme="minorEastAsia" w:hAnsiTheme="minorEastAsia"/>
          <w:bCs/>
          <w:sz w:val="24"/>
        </w:rPr>
      </w:pPr>
      <w:r>
        <w:rPr>
          <w:rFonts w:hint="eastAsia" w:cs="仿宋" w:asciiTheme="minorEastAsia" w:hAnsiTheme="minorEastAsia"/>
          <w:bCs/>
          <w:sz w:val="24"/>
        </w:rPr>
        <w:t>售后服务要求：一年上门服务。</w:t>
      </w:r>
    </w:p>
    <w:p w14:paraId="7DB7ACBC">
      <w:pPr>
        <w:snapToGrid w:val="0"/>
        <w:spacing w:line="360" w:lineRule="auto"/>
        <w:ind w:firstLine="480" w:firstLineChars="200"/>
        <w:rPr>
          <w:rFonts w:hint="eastAsia" w:cs="仿宋" w:asciiTheme="minorEastAsia" w:hAnsiTheme="minorEastAsia"/>
          <w:bCs/>
          <w:sz w:val="24"/>
        </w:rPr>
      </w:pPr>
      <w:r>
        <w:rPr>
          <w:rFonts w:hint="eastAsia" w:cs="仿宋" w:asciiTheme="minorEastAsia" w:hAnsiTheme="minorEastAsia"/>
          <w:bCs/>
          <w:sz w:val="24"/>
        </w:rPr>
        <w:t>交付时间：合同签订后15个工作日。</w:t>
      </w:r>
    </w:p>
    <w:p w14:paraId="2F11151A">
      <w:pPr>
        <w:snapToGrid w:val="0"/>
        <w:spacing w:line="360" w:lineRule="auto"/>
        <w:ind w:firstLine="480" w:firstLineChars="200"/>
        <w:rPr>
          <w:rFonts w:hint="eastAsia" w:cs="仿宋" w:asciiTheme="minorEastAsia" w:hAnsiTheme="minorEastAsia"/>
          <w:bCs/>
          <w:sz w:val="24"/>
        </w:rPr>
      </w:pPr>
      <w:r>
        <w:rPr>
          <w:rFonts w:hint="eastAsia" w:cs="仿宋" w:asciiTheme="minorEastAsia" w:hAnsiTheme="minorEastAsia"/>
          <w:bCs/>
          <w:sz w:val="24"/>
        </w:rPr>
        <w:t>交付地点：武汉图书馆。</w:t>
      </w:r>
    </w:p>
    <w:p w14:paraId="74064566">
      <w:pPr>
        <w:snapToGrid w:val="0"/>
        <w:spacing w:line="360" w:lineRule="auto"/>
        <w:ind w:firstLine="480" w:firstLineChars="200"/>
        <w:rPr>
          <w:rFonts w:hint="eastAsia" w:cs="仿宋" w:asciiTheme="minorEastAsia" w:hAnsiTheme="minorEastAsia"/>
          <w:bCs/>
          <w:sz w:val="24"/>
        </w:rPr>
      </w:pPr>
      <w:r>
        <w:rPr>
          <w:rFonts w:hint="eastAsia" w:cs="仿宋" w:asciiTheme="minorEastAsia" w:hAnsiTheme="minorEastAsia"/>
          <w:bCs/>
          <w:sz w:val="24"/>
        </w:rPr>
        <w:t>付款条件：项目验收后5个工作日。</w:t>
      </w:r>
    </w:p>
    <w:p w14:paraId="60462FFC">
      <w:pPr>
        <w:pStyle w:val="3"/>
        <w:numPr>
          <w:ilvl w:val="0"/>
          <w:numId w:val="0"/>
        </w:numPr>
      </w:pPr>
      <w:r>
        <w:rPr>
          <w:rFonts w:hint="eastAsia"/>
        </w:rPr>
        <w:t>五</w:t>
      </w:r>
      <w:r>
        <w:t>、采购</w:t>
      </w:r>
      <w:r>
        <w:rPr>
          <w:rFonts w:hint="eastAsia"/>
        </w:rPr>
        <w:t>实施计划</w:t>
      </w:r>
    </w:p>
    <w:p w14:paraId="7FABC5D0">
      <w:pPr>
        <w:pStyle w:val="4"/>
        <w:numPr>
          <w:ilvl w:val="0"/>
          <w:numId w:val="0"/>
        </w:numPr>
      </w:pPr>
      <w:r>
        <w:rPr>
          <w:rFonts w:hint="eastAsia"/>
        </w:rPr>
        <w:t>5.</w:t>
      </w:r>
      <w:r>
        <w:t xml:space="preserve">1 </w:t>
      </w:r>
      <w:r>
        <w:rPr>
          <w:rFonts w:hint="eastAsia"/>
        </w:rPr>
        <w:t>合同订立安排</w:t>
      </w:r>
    </w:p>
    <w:p w14:paraId="7BD0B2A5">
      <w:pPr>
        <w:pStyle w:val="5"/>
        <w:numPr>
          <w:ilvl w:val="0"/>
          <w:numId w:val="0"/>
        </w:numPr>
      </w:pPr>
      <w:r>
        <w:t>5</w:t>
      </w:r>
      <w:r>
        <w:rPr>
          <w:rFonts w:hint="eastAsia"/>
        </w:rPr>
        <w:t>.</w:t>
      </w:r>
      <w:r>
        <w:t>1.1</w:t>
      </w:r>
      <w:r>
        <w:rPr>
          <w:rFonts w:hint="eastAsia"/>
        </w:rPr>
        <w:t xml:space="preserve"> </w:t>
      </w:r>
      <w:r>
        <w:t>采购项目预（概）算、最高限价</w:t>
      </w:r>
    </w:p>
    <w:p w14:paraId="10626E56">
      <w:pPr>
        <w:snapToGrid w:val="0"/>
        <w:spacing w:line="360" w:lineRule="auto"/>
        <w:ind w:firstLine="480" w:firstLineChars="200"/>
        <w:rPr>
          <w:rFonts w:hint="eastAsia" w:cs="仿宋" w:asciiTheme="minorEastAsia" w:hAnsiTheme="minorEastAsia"/>
          <w:sz w:val="24"/>
        </w:rPr>
      </w:pPr>
      <w:r>
        <w:rPr>
          <w:rFonts w:hint="eastAsia" w:cs="仿宋" w:asciiTheme="minorEastAsia" w:hAnsiTheme="minorEastAsia"/>
          <w:kern w:val="0"/>
          <w:sz w:val="24"/>
        </w:rPr>
        <w:t>采购项目预（概）算：</w:t>
      </w:r>
      <w:r>
        <w:rPr>
          <w:rFonts w:hint="eastAsia" w:cs="仿宋" w:asciiTheme="minorEastAsia" w:hAnsiTheme="minorEastAsia"/>
          <w:kern w:val="0"/>
          <w:sz w:val="24"/>
          <w:lang w:val="en-US" w:eastAsia="zh-CN"/>
        </w:rPr>
        <w:t>55</w:t>
      </w:r>
      <w:r>
        <w:rPr>
          <w:rFonts w:hint="eastAsia" w:cs="仿宋" w:asciiTheme="minorEastAsia" w:hAnsiTheme="minorEastAsia"/>
          <w:kern w:val="0"/>
          <w:sz w:val="24"/>
        </w:rPr>
        <w:t>万。</w:t>
      </w:r>
    </w:p>
    <w:p w14:paraId="2B2F9F9A">
      <w:pPr>
        <w:pStyle w:val="5"/>
        <w:numPr>
          <w:ilvl w:val="0"/>
          <w:numId w:val="0"/>
        </w:numPr>
      </w:pPr>
      <w:r>
        <w:t>5</w:t>
      </w:r>
      <w:r>
        <w:rPr>
          <w:rFonts w:hint="eastAsia"/>
        </w:rPr>
        <w:t>.</w:t>
      </w:r>
      <w:r>
        <w:t>1.2</w:t>
      </w:r>
      <w:r>
        <w:rPr>
          <w:rFonts w:hint="eastAsia"/>
        </w:rPr>
        <w:t xml:space="preserve"> </w:t>
      </w:r>
      <w:r>
        <w:t>开展采购活动的时间安排</w:t>
      </w:r>
    </w:p>
    <w:p w14:paraId="5D0A9FED">
      <w:pPr>
        <w:snapToGrid w:val="0"/>
        <w:spacing w:line="360" w:lineRule="auto"/>
        <w:ind w:firstLine="480" w:firstLineChars="200"/>
        <w:rPr>
          <w:rFonts w:hint="eastAsia" w:cs="仿宋" w:asciiTheme="minorEastAsia" w:hAnsiTheme="minorEastAsia"/>
          <w:b/>
          <w:bCs/>
          <w:sz w:val="24"/>
        </w:rPr>
      </w:pPr>
      <w:r>
        <w:rPr>
          <w:rFonts w:hint="eastAsia" w:cs="仿宋_GB2312" w:asciiTheme="minorEastAsia" w:hAnsiTheme="minorEastAsia"/>
          <w:sz w:val="24"/>
        </w:rPr>
        <w:t>计划于</w:t>
      </w:r>
      <w:r>
        <w:rPr>
          <w:rFonts w:hint="eastAsia" w:cs="仿宋_GB2312" w:asciiTheme="minorEastAsia" w:hAnsiTheme="minorEastAsia"/>
          <w:sz w:val="24"/>
          <w:lang w:val="en-US" w:eastAsia="zh-CN"/>
        </w:rPr>
        <w:t>11</w:t>
      </w:r>
      <w:r>
        <w:rPr>
          <w:rFonts w:hint="eastAsia" w:cs="仿宋_GB2312" w:asciiTheme="minorEastAsia" w:hAnsiTheme="minorEastAsia"/>
          <w:sz w:val="24"/>
        </w:rPr>
        <w:t>月进行采购。</w:t>
      </w:r>
    </w:p>
    <w:p w14:paraId="7BA61DC9">
      <w:pPr>
        <w:pStyle w:val="5"/>
        <w:numPr>
          <w:ilvl w:val="0"/>
          <w:numId w:val="0"/>
        </w:numPr>
      </w:pPr>
      <w:r>
        <w:t>5</w:t>
      </w:r>
      <w:r>
        <w:rPr>
          <w:rFonts w:hint="eastAsia"/>
        </w:rPr>
        <w:t>.</w:t>
      </w:r>
      <w:r>
        <w:t>1.3落实政府采购政策功能</w:t>
      </w:r>
      <w:r>
        <w:rPr>
          <w:rFonts w:hint="eastAsia"/>
        </w:rPr>
        <w:t>情况</w:t>
      </w:r>
    </w:p>
    <w:p w14:paraId="2ED1AE4B">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（1）《政府采购促进中小企业发展管理办法》财库〔2020〕46号；</w:t>
      </w:r>
    </w:p>
    <w:p w14:paraId="3D1839E7">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sym w:font="Wingdings 2" w:char="00A3"/>
      </w:r>
      <w:r>
        <w:rPr>
          <w:rFonts w:hint="eastAsia" w:cs="仿宋_GB2312" w:asciiTheme="minorEastAsia" w:hAnsiTheme="minorEastAsia"/>
          <w:sz w:val="24"/>
        </w:rPr>
        <w:t xml:space="preserve">专门面向中小企业  </w:t>
      </w:r>
    </w:p>
    <w:p w14:paraId="657237C5">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sym w:font="Wingdings 2" w:char="0052"/>
      </w:r>
      <w:r>
        <w:rPr>
          <w:rFonts w:hint="eastAsia" w:cs="仿宋_GB2312" w:asciiTheme="minorEastAsia" w:hAnsiTheme="minorEastAsia"/>
          <w:sz w:val="24"/>
        </w:rPr>
        <w:t>非专门面向中小企业</w:t>
      </w:r>
    </w:p>
    <w:p w14:paraId="69D26D23">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sym w:font="Wingdings 2" w:char="00A3"/>
      </w:r>
      <w:r>
        <w:rPr>
          <w:rFonts w:hint="eastAsia" w:cs="仿宋_GB2312" w:asciiTheme="minorEastAsia" w:hAnsiTheme="minorEastAsia"/>
          <w:sz w:val="24"/>
        </w:rPr>
        <w:t>非预留份额的采购项目</w:t>
      </w:r>
    </w:p>
    <w:p w14:paraId="48B1B91F">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（2）《关于促进残疾人就业政府采购政策的通知》财库〔2017〕141号。</w:t>
      </w:r>
    </w:p>
    <w:p w14:paraId="6517B932">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（3）《关于政府采购支持监狱企业发展有关问题的通知》财库〔2014〕68号。</w:t>
      </w:r>
    </w:p>
    <w:p w14:paraId="5A289252">
      <w:pPr>
        <w:pStyle w:val="5"/>
        <w:numPr>
          <w:ilvl w:val="0"/>
          <w:numId w:val="0"/>
        </w:numPr>
      </w:pPr>
      <w:r>
        <w:t>5</w:t>
      </w:r>
      <w:r>
        <w:rPr>
          <w:rFonts w:hint="eastAsia"/>
        </w:rPr>
        <w:t>.</w:t>
      </w:r>
      <w:r>
        <w:t>1.4</w:t>
      </w:r>
      <w:r>
        <w:rPr>
          <w:rFonts w:hint="eastAsia"/>
        </w:rPr>
        <w:t xml:space="preserve"> </w:t>
      </w:r>
      <w:r>
        <w:t>采购组织形式和委托代理安排</w:t>
      </w:r>
    </w:p>
    <w:p w14:paraId="618247DA">
      <w:pPr>
        <w:snapToGrid w:val="0"/>
        <w:spacing w:line="360" w:lineRule="auto"/>
        <w:ind w:firstLine="480" w:firstLineChars="200"/>
        <w:rPr>
          <w:rFonts w:hint="eastAsia" w:cs="宋体" w:asciiTheme="minorEastAsia" w:hAnsiTheme="minorEastAsia"/>
          <w:kern w:val="0"/>
          <w:sz w:val="24"/>
        </w:rPr>
      </w:pPr>
      <w:r>
        <w:rPr>
          <w:rFonts w:hint="eastAsia" w:cs="仿宋_GB2312" w:asciiTheme="minorEastAsia" w:hAnsiTheme="minorEastAsia"/>
          <w:sz w:val="24"/>
        </w:rPr>
        <w:t>通过武汉市政府电子商城进行采购活动。</w:t>
      </w:r>
    </w:p>
    <w:p w14:paraId="5E0B5DE5">
      <w:pPr>
        <w:pStyle w:val="5"/>
        <w:numPr>
          <w:ilvl w:val="0"/>
          <w:numId w:val="0"/>
        </w:numPr>
      </w:pPr>
      <w:r>
        <w:t>5</w:t>
      </w:r>
      <w:r>
        <w:rPr>
          <w:rFonts w:hint="eastAsia"/>
        </w:rPr>
        <w:t>.</w:t>
      </w:r>
      <w:r>
        <w:t>1.5</w:t>
      </w:r>
      <w:r>
        <w:rPr>
          <w:rFonts w:hint="eastAsia"/>
        </w:rPr>
        <w:t xml:space="preserve"> </w:t>
      </w:r>
      <w:r>
        <w:t>采购包划分与合同分包</w:t>
      </w:r>
    </w:p>
    <w:p w14:paraId="751E0303">
      <w:pPr>
        <w:snapToGrid w:val="0"/>
        <w:spacing w:line="360" w:lineRule="auto"/>
        <w:ind w:firstLine="560"/>
        <w:rPr>
          <w:rFonts w:hint="eastAsia" w:cs="宋体" w:asciiTheme="minorEastAsia" w:hAnsiTheme="minorEastAsia"/>
          <w:kern w:val="0"/>
          <w:sz w:val="24"/>
        </w:rPr>
      </w:pPr>
      <w:r>
        <w:rPr>
          <w:rFonts w:hint="eastAsia" w:cs="仿宋_GB2312" w:asciiTheme="minorEastAsia" w:hAnsiTheme="minorEastAsia"/>
          <w:sz w:val="24"/>
        </w:rPr>
        <w:t>本项目共1个项目包，且不接受中标后分包。</w:t>
      </w:r>
    </w:p>
    <w:p w14:paraId="1B668EB7">
      <w:pPr>
        <w:pStyle w:val="5"/>
        <w:numPr>
          <w:ilvl w:val="0"/>
          <w:numId w:val="0"/>
        </w:numPr>
      </w:pPr>
      <w:r>
        <w:t>5</w:t>
      </w:r>
      <w:r>
        <w:rPr>
          <w:rFonts w:hint="eastAsia"/>
        </w:rPr>
        <w:t>.</w:t>
      </w:r>
      <w:r>
        <w:t>1.6</w:t>
      </w:r>
      <w:r>
        <w:rPr>
          <w:rFonts w:hint="eastAsia"/>
        </w:rPr>
        <w:t xml:space="preserve"> </w:t>
      </w:r>
      <w:r>
        <w:t>供应商资格条件</w:t>
      </w:r>
    </w:p>
    <w:p w14:paraId="487DC970">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1）满足《中华人民共和国政府采购法》第二十二条规定，即：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p>
    <w:p w14:paraId="1CA5A80E">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（2）单位负责人为同一人或者存在直接控股、管理关系的不同供应商，不得参加本项目同一合同项下的政府采购活动。</w:t>
      </w:r>
    </w:p>
    <w:p w14:paraId="1A2CD6D0">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（3）为本采购项目提供整体设计、规范编制或者项目管理、监理、检测等服务的，不得再参加本项目的其他招标采购活动。</w:t>
      </w:r>
    </w:p>
    <w:p w14:paraId="4539A61B">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（4）未被列入失信被执行人、重大税收违法案件当事人名单，未被列入政府采购严重违法失信行为记录名单。</w:t>
      </w:r>
    </w:p>
    <w:p w14:paraId="4FA62AA8">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（5）供应商在“信用中国”网站（www.creditchina.gov.cn）无不良记录及失信记录且在中国政府采购网（www.ccgp.gov.cn）无严重违法失信行为信息记录(查询截止时点:以磋商响应文件递交截止当日查询结果为准)。</w:t>
      </w:r>
    </w:p>
    <w:p w14:paraId="34BF487F">
      <w:pPr>
        <w:pStyle w:val="5"/>
        <w:numPr>
          <w:ilvl w:val="0"/>
          <w:numId w:val="0"/>
        </w:numPr>
        <w:rPr>
          <w:rFonts w:cs="宋体"/>
          <w:kern w:val="0"/>
        </w:rPr>
      </w:pPr>
      <w:r>
        <w:t>5</w:t>
      </w:r>
      <w:r>
        <w:rPr>
          <w:rFonts w:hint="eastAsia"/>
        </w:rPr>
        <w:t>.</w:t>
      </w:r>
      <w:r>
        <w:t>1.7</w:t>
      </w:r>
      <w:r>
        <w:rPr>
          <w:rFonts w:hint="eastAsia"/>
        </w:rPr>
        <w:t xml:space="preserve"> </w:t>
      </w:r>
      <w:r>
        <w:rPr>
          <w:rFonts w:cs="宋体"/>
          <w:kern w:val="0"/>
        </w:rPr>
        <w:t>采购方式</w:t>
      </w:r>
    </w:p>
    <w:p w14:paraId="294D0555">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通过武汉市政府电子商城进行采购活动。</w:t>
      </w:r>
    </w:p>
    <w:p w14:paraId="0AD25584">
      <w:pPr>
        <w:pStyle w:val="5"/>
        <w:numPr>
          <w:ilvl w:val="0"/>
          <w:numId w:val="0"/>
        </w:numPr>
        <w:rPr>
          <w:rFonts w:cs="宋体"/>
          <w:kern w:val="0"/>
        </w:rPr>
      </w:pPr>
      <w:r>
        <w:t>5</w:t>
      </w:r>
      <w:r>
        <w:rPr>
          <w:rFonts w:hint="eastAsia"/>
        </w:rPr>
        <w:t>.</w:t>
      </w:r>
      <w:r>
        <w:t>1.8</w:t>
      </w:r>
      <w:r>
        <w:rPr>
          <w:rFonts w:hint="eastAsia"/>
        </w:rPr>
        <w:t xml:space="preserve"> </w:t>
      </w:r>
      <w:r>
        <w:rPr>
          <w:rFonts w:cs="宋体"/>
          <w:kern w:val="0"/>
        </w:rPr>
        <w:t>竞争范围</w:t>
      </w:r>
    </w:p>
    <w:p w14:paraId="42274EF1">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通过电子商城进行比价。</w:t>
      </w:r>
    </w:p>
    <w:p w14:paraId="790C50E9">
      <w:pPr>
        <w:pStyle w:val="5"/>
        <w:numPr>
          <w:ilvl w:val="0"/>
          <w:numId w:val="0"/>
        </w:numPr>
        <w:rPr>
          <w:rFonts w:cs="宋体"/>
          <w:kern w:val="0"/>
        </w:rPr>
      </w:pPr>
      <w:r>
        <w:t>5</w:t>
      </w:r>
      <w:r>
        <w:rPr>
          <w:rFonts w:hint="eastAsia"/>
        </w:rPr>
        <w:t>.</w:t>
      </w:r>
      <w:r>
        <w:t>1.9</w:t>
      </w:r>
      <w:r>
        <w:rPr>
          <w:rFonts w:hint="eastAsia"/>
        </w:rPr>
        <w:t xml:space="preserve"> </w:t>
      </w:r>
      <w:r>
        <w:rPr>
          <w:rFonts w:cs="宋体"/>
          <w:kern w:val="0"/>
        </w:rPr>
        <w:t>评审规则</w:t>
      </w:r>
    </w:p>
    <w:p w14:paraId="6888E0EB">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通过电子商城进行比价。</w:t>
      </w:r>
    </w:p>
    <w:p w14:paraId="66299553">
      <w:pPr>
        <w:pStyle w:val="5"/>
        <w:numPr>
          <w:ilvl w:val="0"/>
          <w:numId w:val="0"/>
        </w:numPr>
        <w:rPr>
          <w:rFonts w:cs="宋体"/>
          <w:kern w:val="0"/>
        </w:rPr>
      </w:pPr>
      <w:r>
        <w:t>5</w:t>
      </w:r>
      <w:r>
        <w:rPr>
          <w:rFonts w:hint="eastAsia"/>
        </w:rPr>
        <w:t>.</w:t>
      </w:r>
      <w:r>
        <w:t>1.10</w:t>
      </w:r>
      <w:r>
        <w:rPr>
          <w:rFonts w:hint="eastAsia"/>
        </w:rPr>
        <w:t xml:space="preserve"> </w:t>
      </w:r>
      <w:r>
        <w:rPr>
          <w:rFonts w:hint="eastAsia" w:cs="宋体"/>
          <w:kern w:val="0"/>
        </w:rPr>
        <w:t>其它</w:t>
      </w:r>
    </w:p>
    <w:p w14:paraId="645277F4">
      <w:pPr>
        <w:pStyle w:val="4"/>
        <w:numPr>
          <w:ilvl w:val="0"/>
          <w:numId w:val="0"/>
        </w:numPr>
      </w:pPr>
      <w:r>
        <w:rPr>
          <w:rFonts w:hint="eastAsia"/>
        </w:rPr>
        <w:t>5.2 合同管理安排</w:t>
      </w:r>
    </w:p>
    <w:p w14:paraId="4AD0AD92">
      <w:pPr>
        <w:pStyle w:val="5"/>
        <w:numPr>
          <w:ilvl w:val="0"/>
          <w:numId w:val="0"/>
        </w:numPr>
        <w:rPr>
          <w:rFonts w:cs="宋体"/>
          <w:kern w:val="0"/>
        </w:rPr>
      </w:pPr>
      <w:r>
        <w:t>5</w:t>
      </w:r>
      <w:r>
        <w:rPr>
          <w:rFonts w:hint="eastAsia"/>
        </w:rPr>
        <w:t>.</w:t>
      </w:r>
      <w:r>
        <w:t>2.1</w:t>
      </w:r>
      <w:r>
        <w:rPr>
          <w:rFonts w:hint="eastAsia"/>
        </w:rPr>
        <w:t xml:space="preserve"> </w:t>
      </w:r>
      <w:r>
        <w:rPr>
          <w:rFonts w:cs="宋体"/>
          <w:kern w:val="0"/>
        </w:rPr>
        <w:t>合同类型</w:t>
      </w:r>
    </w:p>
    <w:p w14:paraId="429FA363">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电子商城固定合同。</w:t>
      </w:r>
    </w:p>
    <w:p w14:paraId="014BF5A5">
      <w:pPr>
        <w:pStyle w:val="5"/>
        <w:numPr>
          <w:ilvl w:val="0"/>
          <w:numId w:val="0"/>
        </w:numPr>
        <w:rPr>
          <w:rFonts w:cs="宋体"/>
          <w:kern w:val="0"/>
        </w:rPr>
      </w:pPr>
      <w:r>
        <w:t>5</w:t>
      </w:r>
      <w:r>
        <w:rPr>
          <w:rFonts w:hint="eastAsia"/>
        </w:rPr>
        <w:t>.</w:t>
      </w:r>
      <w:r>
        <w:t>2.2</w:t>
      </w:r>
      <w:r>
        <w:rPr>
          <w:rFonts w:hint="eastAsia"/>
        </w:rPr>
        <w:t xml:space="preserve"> </w:t>
      </w:r>
      <w:r>
        <w:rPr>
          <w:rFonts w:cs="宋体"/>
          <w:kern w:val="0"/>
        </w:rPr>
        <w:t>定价方式</w:t>
      </w:r>
    </w:p>
    <w:p w14:paraId="5A1B64E6">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固定总价。</w:t>
      </w:r>
    </w:p>
    <w:p w14:paraId="67FAC0F7">
      <w:pPr>
        <w:pStyle w:val="5"/>
        <w:numPr>
          <w:ilvl w:val="0"/>
          <w:numId w:val="0"/>
        </w:numPr>
      </w:pPr>
      <w:r>
        <w:t>5</w:t>
      </w:r>
      <w:r>
        <w:rPr>
          <w:rFonts w:hint="eastAsia"/>
        </w:rPr>
        <w:t>.</w:t>
      </w:r>
      <w:r>
        <w:t>2.3</w:t>
      </w:r>
      <w:r>
        <w:rPr>
          <w:rFonts w:hint="eastAsia"/>
        </w:rPr>
        <w:t xml:space="preserve"> </w:t>
      </w:r>
      <w:r>
        <w:t>合同文本的主要条款</w:t>
      </w:r>
    </w:p>
    <w:p w14:paraId="19C9C13D">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售后服务要求：一年上门服务。</w:t>
      </w:r>
    </w:p>
    <w:p w14:paraId="6C06FE26">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交付时间：合同签订后15个工作日。</w:t>
      </w:r>
    </w:p>
    <w:p w14:paraId="6350F276">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交付地点：武汉图书馆。</w:t>
      </w:r>
    </w:p>
    <w:p w14:paraId="3372800B">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付款条件：货物验收后5个工作日。</w:t>
      </w:r>
    </w:p>
    <w:p w14:paraId="4AA70468">
      <w:pPr>
        <w:pStyle w:val="5"/>
        <w:numPr>
          <w:ilvl w:val="0"/>
          <w:numId w:val="0"/>
        </w:numPr>
      </w:pPr>
      <w:r>
        <w:t>5</w:t>
      </w:r>
      <w:r>
        <w:rPr>
          <w:rFonts w:hint="eastAsia"/>
        </w:rPr>
        <w:t>.</w:t>
      </w:r>
      <w:r>
        <w:t>2.4</w:t>
      </w:r>
      <w:r>
        <w:rPr>
          <w:rFonts w:hint="eastAsia"/>
        </w:rPr>
        <w:t xml:space="preserve"> </w:t>
      </w:r>
      <w:r>
        <w:t>履约验收方案</w:t>
      </w:r>
    </w:p>
    <w:p w14:paraId="0460DE87">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拟由业务主管处室，按照采购文件及成交供应商投标承诺，对项目履约情况进行验收。</w:t>
      </w:r>
    </w:p>
    <w:p w14:paraId="1345A53B">
      <w:pPr>
        <w:pStyle w:val="5"/>
        <w:numPr>
          <w:ilvl w:val="0"/>
          <w:numId w:val="0"/>
        </w:numPr>
      </w:pPr>
      <w:r>
        <w:t>5</w:t>
      </w:r>
      <w:r>
        <w:rPr>
          <w:rFonts w:hint="eastAsia"/>
        </w:rPr>
        <w:t>.</w:t>
      </w:r>
      <w:r>
        <w:t>2.5</w:t>
      </w:r>
      <w:r>
        <w:rPr>
          <w:rFonts w:hint="eastAsia"/>
        </w:rPr>
        <w:t xml:space="preserve"> </w:t>
      </w:r>
      <w:r>
        <w:t>风险管控措施</w:t>
      </w:r>
    </w:p>
    <w:p w14:paraId="71E08725">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1）围标串标风险管控措施：在开标前查询供应商基本信息，杜绝单位负责人为同一人或者存在直接控股、管理关系的不同供应商，参加同一合同项下的政府采购活动。评标时查阅投标文件如发现：“（一）不同供应商的投标文件由同一单位或者个人编制；（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的情况，及时向评标委员会和监管部门予以说明。</w:t>
      </w:r>
    </w:p>
    <w:p w14:paraId="4DAD97EB">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2）合同签订风险管控措施：及时通知中标人在30日内签订政府采购合同，如发现供应商有拖拉情形应发函至供应商在规定的时间内签订合同，如超过规定时间未签订合同及时向监管部门说明原因规避自身法律风险。</w:t>
      </w:r>
    </w:p>
    <w:p w14:paraId="6433EB64">
      <w:pPr>
        <w:snapToGrid w:val="0"/>
        <w:spacing w:line="360" w:lineRule="auto"/>
        <w:ind w:firstLine="480" w:firstLineChars="200"/>
        <w:rPr>
          <w:rFonts w:hint="eastAsia" w:cs="仿宋_GB2312" w:asciiTheme="minorEastAsia" w:hAnsiTheme="minorEastAsia"/>
          <w:sz w:val="24"/>
        </w:rPr>
      </w:pPr>
      <w:r>
        <w:rPr>
          <w:rFonts w:hint="eastAsia" w:cs="仿宋_GB2312" w:asciiTheme="minorEastAsia" w:hAnsiTheme="minorEastAsia"/>
          <w:sz w:val="24"/>
        </w:rPr>
        <w:t>（3）采购需求和采购文件编制环节的风险管控措施：严格执行武汉市政府采购负面清单。</w:t>
      </w:r>
    </w:p>
    <w:p w14:paraId="6C1FAD90">
      <w:pPr>
        <w:pStyle w:val="3"/>
        <w:numPr>
          <w:ilvl w:val="0"/>
          <w:numId w:val="0"/>
        </w:numPr>
      </w:pPr>
      <w:r>
        <w:rPr>
          <w:rFonts w:hint="eastAsia"/>
        </w:rPr>
        <w:t>六、审查情况</w:t>
      </w:r>
    </w:p>
    <w:p w14:paraId="16526846">
      <w:pPr>
        <w:pStyle w:val="4"/>
        <w:numPr>
          <w:ilvl w:val="0"/>
          <w:numId w:val="0"/>
        </w:numPr>
      </w:pPr>
      <w:r>
        <w:rPr>
          <w:rFonts w:hint="eastAsia"/>
        </w:rPr>
        <w:t>6.1 审查意见</w:t>
      </w:r>
    </w:p>
    <w:p w14:paraId="7276FBC0">
      <w:pPr>
        <w:pStyle w:val="5"/>
        <w:numPr>
          <w:ilvl w:val="0"/>
          <w:numId w:val="0"/>
        </w:numPr>
      </w:pPr>
      <w:r>
        <w:rPr>
          <w:rFonts w:hint="eastAsia"/>
        </w:rPr>
        <w:t>6</w:t>
      </w:r>
      <w:r>
        <w:t xml:space="preserve">.1.1 </w:t>
      </w:r>
      <w:r>
        <w:rPr>
          <w:rFonts w:hint="eastAsia"/>
        </w:rPr>
        <w:t>对采购需求的审查意见</w:t>
      </w:r>
    </w:p>
    <w:p w14:paraId="59A4E90A">
      <w:pPr>
        <w:snapToGrid w:val="0"/>
        <w:spacing w:line="360" w:lineRule="auto"/>
        <w:ind w:firstLine="480" w:firstLineChars="200"/>
        <w:rPr>
          <w:rFonts w:hint="eastAsia" w:asciiTheme="minorEastAsia" w:hAnsiTheme="minorEastAsia"/>
          <w:bCs/>
          <w:sz w:val="24"/>
        </w:rPr>
      </w:pPr>
      <w:r>
        <w:rPr>
          <w:rFonts w:hint="eastAsia" w:cs="仿宋_GB2312" w:asciiTheme="minorEastAsia" w:hAnsiTheme="minorEastAsia"/>
          <w:bCs/>
          <w:sz w:val="24"/>
        </w:rPr>
        <w:t>本项目不适用。</w:t>
      </w:r>
    </w:p>
    <w:p w14:paraId="268CFAE1">
      <w:pPr>
        <w:pStyle w:val="5"/>
        <w:numPr>
          <w:ilvl w:val="0"/>
          <w:numId w:val="0"/>
        </w:numPr>
      </w:pPr>
      <w:r>
        <w:rPr>
          <w:rFonts w:hint="eastAsia"/>
        </w:rPr>
        <w:t>6</w:t>
      </w:r>
      <w:r>
        <w:t xml:space="preserve">.1.2 </w:t>
      </w:r>
      <w:r>
        <w:rPr>
          <w:rFonts w:hint="eastAsia"/>
        </w:rPr>
        <w:t>对采购实施计划的审查意见</w:t>
      </w:r>
    </w:p>
    <w:p w14:paraId="0928B23C">
      <w:pPr>
        <w:snapToGrid w:val="0"/>
        <w:spacing w:line="360" w:lineRule="auto"/>
        <w:ind w:firstLine="480" w:firstLineChars="200"/>
        <w:rPr>
          <w:rFonts w:hint="eastAsia" w:cs="仿宋_GB2312" w:asciiTheme="minorEastAsia" w:hAnsiTheme="minorEastAsia"/>
          <w:bCs/>
          <w:sz w:val="24"/>
        </w:rPr>
      </w:pPr>
      <w:r>
        <w:rPr>
          <w:rFonts w:hint="eastAsia" w:cs="仿宋_GB2312" w:asciiTheme="minorEastAsia" w:hAnsiTheme="minorEastAsia"/>
          <w:bCs/>
          <w:sz w:val="24"/>
        </w:rPr>
        <w:t>本项目不适用。</w:t>
      </w:r>
    </w:p>
    <w:p w14:paraId="06255E10">
      <w:pPr>
        <w:pStyle w:val="2"/>
        <w:rPr>
          <w:rFonts w:eastAsiaTheme="minorEastAsia"/>
        </w:rPr>
      </w:pPr>
    </w:p>
    <w:p w14:paraId="37859CE3"/>
    <w:p w14:paraId="794A5CC5">
      <w:pPr>
        <w:snapToGrid w:val="0"/>
        <w:spacing w:line="360" w:lineRule="auto"/>
        <w:ind w:firstLine="240" w:firstLineChars="100"/>
        <w:jc w:val="right"/>
        <w:rPr>
          <w:rFonts w:hint="eastAsia" w:cs="宋体" w:asciiTheme="minorEastAsia" w:hAnsiTheme="minorEastAsia"/>
          <w:kern w:val="0"/>
          <w:sz w:val="24"/>
        </w:rPr>
      </w:pPr>
      <w:r>
        <w:rPr>
          <w:rFonts w:hint="eastAsia" w:cs="宋体" w:asciiTheme="minorEastAsia" w:hAnsiTheme="minorEastAsia"/>
          <w:kern w:val="0"/>
          <w:sz w:val="24"/>
        </w:rPr>
        <w:t xml:space="preserve">     武汉图书馆（盖章）</w:t>
      </w:r>
    </w:p>
    <w:p w14:paraId="1CF4F64E">
      <w:pPr>
        <w:snapToGrid w:val="0"/>
        <w:spacing w:line="360" w:lineRule="auto"/>
        <w:ind w:firstLine="6240" w:firstLineChars="2600"/>
        <w:rPr>
          <w:rFonts w:hint="eastAsia" w:cs="宋体" w:asciiTheme="minorEastAsia" w:hAnsiTheme="minorEastAsia"/>
          <w:kern w:val="0"/>
          <w:sz w:val="24"/>
        </w:rPr>
      </w:pPr>
      <w:r>
        <w:rPr>
          <w:rFonts w:hint="eastAsia" w:cs="宋体" w:asciiTheme="minorEastAsia" w:hAnsiTheme="minorEastAsia"/>
          <w:kern w:val="0"/>
          <w:sz w:val="24"/>
        </w:rPr>
        <w:t>2025年 10月</w:t>
      </w:r>
      <w:r>
        <w:rPr>
          <w:rFonts w:hint="eastAsia" w:cs="宋体" w:asciiTheme="minorEastAsia" w:hAnsiTheme="minorEastAsia"/>
          <w:kern w:val="0"/>
          <w:sz w:val="24"/>
          <w:lang w:val="en-US" w:eastAsia="zh-CN"/>
        </w:rPr>
        <w:t>23</w:t>
      </w:r>
      <w:r>
        <w:rPr>
          <w:rFonts w:hint="eastAsia" w:cs="宋体" w:asciiTheme="minorEastAsia" w:hAnsiTheme="minorEastAsia"/>
          <w:kern w:val="0"/>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B71C90"/>
    <w:multiLevelType w:val="multilevel"/>
    <w:tmpl w:val="63B71C90"/>
    <w:lvl w:ilvl="0" w:tentative="0">
      <w:start w:val="1"/>
      <w:numFmt w:val="decimal"/>
      <w:pStyle w:val="3"/>
      <w:suff w:val="space"/>
      <w:lvlText w:val="%1"/>
      <w:lvlJc w:val="left"/>
      <w:pPr>
        <w:ind w:left="0" w:firstLine="0"/>
      </w:pPr>
      <w:rPr>
        <w:rFonts w:hint="eastAsia"/>
      </w:rPr>
    </w:lvl>
    <w:lvl w:ilvl="1" w:tentative="0">
      <w:start w:val="1"/>
      <w:numFmt w:val="decimal"/>
      <w:pStyle w:val="4"/>
      <w:suff w:val="space"/>
      <w:lvlText w:val="%1.%2"/>
      <w:lvlJc w:val="left"/>
      <w:pPr>
        <w:ind w:left="0" w:firstLine="0"/>
      </w:pPr>
      <w:rPr>
        <w:rFonts w:hint="eastAsia"/>
      </w:rPr>
    </w:lvl>
    <w:lvl w:ilvl="2" w:tentative="0">
      <w:start w:val="1"/>
      <w:numFmt w:val="decimal"/>
      <w:pStyle w:val="5"/>
      <w:suff w:val="space"/>
      <w:lvlText w:val="%1.%2.%3"/>
      <w:lvlJc w:val="left"/>
      <w:pPr>
        <w:ind w:left="3261" w:firstLine="0"/>
      </w:pPr>
      <w:rPr>
        <w:rFonts w:hint="eastAsia"/>
      </w:rPr>
    </w:lvl>
    <w:lvl w:ilvl="3" w:tentative="0">
      <w:start w:val="1"/>
      <w:numFmt w:val="decimal"/>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suff w:val="space"/>
      <w:lvlText w:val="%1.%2.%3.%4.%5.%6"/>
      <w:lvlJc w:val="left"/>
      <w:pPr>
        <w:ind w:left="0" w:firstLine="0"/>
      </w:pPr>
      <w:rPr>
        <w:rFonts w:hint="eastAsia"/>
      </w:rPr>
    </w:lvl>
    <w:lvl w:ilvl="6" w:tentative="0">
      <w:start w:val="1"/>
      <w:numFmt w:val="decimal"/>
      <w:suff w:val="space"/>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JlOTdjY2E5MjlmMjE0MzkzM2M4OWQzYjNhZmI4M2QifQ=="/>
  </w:docVars>
  <w:rsids>
    <w:rsidRoot w:val="00B00686"/>
    <w:rsid w:val="00002113"/>
    <w:rsid w:val="000115F1"/>
    <w:rsid w:val="000208F2"/>
    <w:rsid w:val="000219A3"/>
    <w:rsid w:val="00023503"/>
    <w:rsid w:val="00025728"/>
    <w:rsid w:val="00026333"/>
    <w:rsid w:val="00041EFA"/>
    <w:rsid w:val="000558F2"/>
    <w:rsid w:val="00086307"/>
    <w:rsid w:val="000D674D"/>
    <w:rsid w:val="000E756B"/>
    <w:rsid w:val="000F11B0"/>
    <w:rsid w:val="00105CCB"/>
    <w:rsid w:val="001078E8"/>
    <w:rsid w:val="001249FE"/>
    <w:rsid w:val="00146E28"/>
    <w:rsid w:val="00161BF0"/>
    <w:rsid w:val="00164CF7"/>
    <w:rsid w:val="00170BCE"/>
    <w:rsid w:val="00176DA5"/>
    <w:rsid w:val="00195311"/>
    <w:rsid w:val="001D1C68"/>
    <w:rsid w:val="001F5680"/>
    <w:rsid w:val="00244B5F"/>
    <w:rsid w:val="00247A99"/>
    <w:rsid w:val="00275419"/>
    <w:rsid w:val="002775FE"/>
    <w:rsid w:val="00295A6E"/>
    <w:rsid w:val="002B05EE"/>
    <w:rsid w:val="002F139F"/>
    <w:rsid w:val="003202EF"/>
    <w:rsid w:val="003367E1"/>
    <w:rsid w:val="00337C1C"/>
    <w:rsid w:val="00342BF7"/>
    <w:rsid w:val="00392292"/>
    <w:rsid w:val="0039349D"/>
    <w:rsid w:val="003D27E6"/>
    <w:rsid w:val="003D32C2"/>
    <w:rsid w:val="003D5FEA"/>
    <w:rsid w:val="0040686F"/>
    <w:rsid w:val="00420707"/>
    <w:rsid w:val="00424A69"/>
    <w:rsid w:val="00430339"/>
    <w:rsid w:val="00433A9D"/>
    <w:rsid w:val="004D4DE7"/>
    <w:rsid w:val="004D7594"/>
    <w:rsid w:val="004F04BD"/>
    <w:rsid w:val="004F7CF3"/>
    <w:rsid w:val="00504D37"/>
    <w:rsid w:val="00561BAA"/>
    <w:rsid w:val="00576F68"/>
    <w:rsid w:val="00583899"/>
    <w:rsid w:val="005853A3"/>
    <w:rsid w:val="00594211"/>
    <w:rsid w:val="005B6EEC"/>
    <w:rsid w:val="00604DB5"/>
    <w:rsid w:val="00645975"/>
    <w:rsid w:val="0065120E"/>
    <w:rsid w:val="00655453"/>
    <w:rsid w:val="0069618B"/>
    <w:rsid w:val="006A37C3"/>
    <w:rsid w:val="00707CE2"/>
    <w:rsid w:val="007231FE"/>
    <w:rsid w:val="0072734F"/>
    <w:rsid w:val="00735901"/>
    <w:rsid w:val="007570EC"/>
    <w:rsid w:val="00784715"/>
    <w:rsid w:val="007A5001"/>
    <w:rsid w:val="007A6242"/>
    <w:rsid w:val="007F2F74"/>
    <w:rsid w:val="008028CB"/>
    <w:rsid w:val="0082713B"/>
    <w:rsid w:val="0087615D"/>
    <w:rsid w:val="008B72A9"/>
    <w:rsid w:val="008C79DC"/>
    <w:rsid w:val="008E5DDD"/>
    <w:rsid w:val="0090502F"/>
    <w:rsid w:val="009670CA"/>
    <w:rsid w:val="009967F7"/>
    <w:rsid w:val="009E3C70"/>
    <w:rsid w:val="00A00920"/>
    <w:rsid w:val="00A1171D"/>
    <w:rsid w:val="00A266FC"/>
    <w:rsid w:val="00A40431"/>
    <w:rsid w:val="00A56430"/>
    <w:rsid w:val="00A730B5"/>
    <w:rsid w:val="00A96A72"/>
    <w:rsid w:val="00AA0B6D"/>
    <w:rsid w:val="00AF5F65"/>
    <w:rsid w:val="00B00686"/>
    <w:rsid w:val="00B05B90"/>
    <w:rsid w:val="00B06FE0"/>
    <w:rsid w:val="00B24A68"/>
    <w:rsid w:val="00B57D85"/>
    <w:rsid w:val="00B60C19"/>
    <w:rsid w:val="00B75094"/>
    <w:rsid w:val="00BB1E4E"/>
    <w:rsid w:val="00BB3509"/>
    <w:rsid w:val="00BD3795"/>
    <w:rsid w:val="00BF2809"/>
    <w:rsid w:val="00BF7B54"/>
    <w:rsid w:val="00C20D21"/>
    <w:rsid w:val="00C33A49"/>
    <w:rsid w:val="00C52FA5"/>
    <w:rsid w:val="00C854FD"/>
    <w:rsid w:val="00CB2E5A"/>
    <w:rsid w:val="00D8539A"/>
    <w:rsid w:val="00D93BC1"/>
    <w:rsid w:val="00DA16E8"/>
    <w:rsid w:val="00DA6EBD"/>
    <w:rsid w:val="00DC2F6F"/>
    <w:rsid w:val="00DF1318"/>
    <w:rsid w:val="00DF5589"/>
    <w:rsid w:val="00E0393D"/>
    <w:rsid w:val="00E17D02"/>
    <w:rsid w:val="00E23AB5"/>
    <w:rsid w:val="00E679E3"/>
    <w:rsid w:val="00EA5669"/>
    <w:rsid w:val="00EC1C9A"/>
    <w:rsid w:val="00ED66CE"/>
    <w:rsid w:val="00F003F0"/>
    <w:rsid w:val="00F420AE"/>
    <w:rsid w:val="00F61487"/>
    <w:rsid w:val="00F65EE9"/>
    <w:rsid w:val="00F71489"/>
    <w:rsid w:val="00F731CE"/>
    <w:rsid w:val="00FA67A3"/>
    <w:rsid w:val="00FA7E9E"/>
    <w:rsid w:val="00FC5881"/>
    <w:rsid w:val="00FF51EE"/>
    <w:rsid w:val="133E363B"/>
    <w:rsid w:val="145777BB"/>
    <w:rsid w:val="17E472D6"/>
    <w:rsid w:val="1AD003D6"/>
    <w:rsid w:val="1C5F1F3C"/>
    <w:rsid w:val="20D777E4"/>
    <w:rsid w:val="24FC40EF"/>
    <w:rsid w:val="2FA91724"/>
    <w:rsid w:val="30FC47DC"/>
    <w:rsid w:val="371F408B"/>
    <w:rsid w:val="3CC2763E"/>
    <w:rsid w:val="400F2D8B"/>
    <w:rsid w:val="429F6BED"/>
    <w:rsid w:val="460E1777"/>
    <w:rsid w:val="5BFC5718"/>
    <w:rsid w:val="601F26D7"/>
    <w:rsid w:val="61061602"/>
    <w:rsid w:val="69DF102E"/>
    <w:rsid w:val="6CB1691E"/>
    <w:rsid w:val="77F70816"/>
    <w:rsid w:val="7C76119B"/>
    <w:rsid w:val="7EA60265"/>
    <w:rsid w:val="7FB32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numPr>
        <w:ilvl w:val="0"/>
        <w:numId w:val="1"/>
      </w:numPr>
      <w:spacing w:before="100" w:beforeAutospacing="1" w:after="100" w:afterAutospacing="1"/>
      <w:outlineLvl w:val="0"/>
    </w:pPr>
    <w:rPr>
      <w:b/>
      <w:bCs/>
      <w:kern w:val="44"/>
      <w:sz w:val="36"/>
      <w:szCs w:val="44"/>
    </w:rPr>
  </w:style>
  <w:style w:type="paragraph" w:styleId="4">
    <w:name w:val="heading 2"/>
    <w:basedOn w:val="1"/>
    <w:next w:val="1"/>
    <w:unhideWhenUsed/>
    <w:qFormat/>
    <w:uiPriority w:val="9"/>
    <w:pPr>
      <w:numPr>
        <w:ilvl w:val="1"/>
        <w:numId w:val="1"/>
      </w:numPr>
      <w:spacing w:before="100" w:beforeAutospacing="1" w:after="100" w:afterAutospacing="1"/>
      <w:outlineLvl w:val="1"/>
    </w:pPr>
    <w:rPr>
      <w:rFonts w:asciiTheme="majorHAnsi" w:hAnsiTheme="majorHAnsi" w:cstheme="majorBidi"/>
      <w:b/>
      <w:bCs/>
      <w:sz w:val="32"/>
      <w:szCs w:val="32"/>
    </w:rPr>
  </w:style>
  <w:style w:type="paragraph" w:styleId="5">
    <w:name w:val="heading 3"/>
    <w:basedOn w:val="1"/>
    <w:next w:val="1"/>
    <w:unhideWhenUsed/>
    <w:qFormat/>
    <w:uiPriority w:val="9"/>
    <w:pPr>
      <w:numPr>
        <w:ilvl w:val="2"/>
        <w:numId w:val="1"/>
      </w:numPr>
      <w:spacing w:before="100" w:beforeAutospacing="1" w:after="100" w:afterAutospacing="1"/>
      <w:ind w:left="0"/>
      <w:outlineLvl w:val="2"/>
    </w:pPr>
    <w:rPr>
      <w:b/>
      <w:bCs/>
      <w:sz w:val="30"/>
      <w:szCs w:val="32"/>
    </w:rPr>
  </w:style>
  <w:style w:type="paragraph" w:styleId="6">
    <w:name w:val="heading 4"/>
    <w:basedOn w:val="1"/>
    <w:next w:val="1"/>
    <w:link w:val="23"/>
    <w:unhideWhenUsed/>
    <w:qFormat/>
    <w:uiPriority w:val="0"/>
    <w:pPr>
      <w:keepNext/>
      <w:keepLines/>
      <w:spacing w:before="280" w:after="290" w:line="372" w:lineRule="auto"/>
      <w:outlineLvl w:val="3"/>
    </w:pPr>
    <w:rPr>
      <w:rFonts w:ascii="Arial" w:hAnsi="Arial" w:eastAsia="黑体"/>
      <w:b/>
      <w:sz w:val="28"/>
    </w:rPr>
  </w:style>
  <w:style w:type="paragraph" w:styleId="7">
    <w:name w:val="heading 5"/>
    <w:basedOn w:val="1"/>
    <w:next w:val="1"/>
    <w:link w:val="22"/>
    <w:unhideWhenUsed/>
    <w:qFormat/>
    <w:uiPriority w:val="0"/>
    <w:pPr>
      <w:keepNext/>
      <w:keepLines/>
      <w:spacing w:before="280" w:after="290" w:line="376" w:lineRule="auto"/>
      <w:outlineLvl w:val="4"/>
    </w:pPr>
    <w:rPr>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unhideWhenUsed/>
    <w:qFormat/>
    <w:uiPriority w:val="39"/>
    <w:pPr>
      <w:ind w:left="240"/>
    </w:pPr>
    <w:rPr>
      <w:rFonts w:eastAsiaTheme="minorHAnsi"/>
      <w:smallCaps/>
      <w:sz w:val="20"/>
      <w:szCs w:val="20"/>
    </w:rPr>
  </w:style>
  <w:style w:type="paragraph" w:styleId="8">
    <w:name w:val="Normal Indent"/>
    <w:basedOn w:val="1"/>
    <w:qFormat/>
    <w:uiPriority w:val="0"/>
    <w:pPr>
      <w:adjustRightInd w:val="0"/>
      <w:spacing w:line="312" w:lineRule="atLeast"/>
      <w:ind w:firstLine="420"/>
      <w:textAlignment w:val="baseline"/>
    </w:pPr>
    <w:rPr>
      <w:kern w:val="0"/>
      <w:szCs w:val="20"/>
    </w:rPr>
  </w:style>
  <w:style w:type="paragraph" w:styleId="9">
    <w:name w:val="Body Text"/>
    <w:basedOn w:val="1"/>
    <w:qFormat/>
    <w:uiPriority w:val="99"/>
    <w:pPr>
      <w:spacing w:after="120"/>
    </w:pPr>
    <w:rPr>
      <w:rFonts w:ascii="Calibri" w:hAnsi="Calibri" w:cs="Times New Roman"/>
    </w:rPr>
  </w:style>
  <w:style w:type="paragraph" w:styleId="10">
    <w:name w:val="footer"/>
    <w:basedOn w:val="1"/>
    <w:link w:val="20"/>
    <w:qFormat/>
    <w:uiPriority w:val="0"/>
    <w:pPr>
      <w:tabs>
        <w:tab w:val="center" w:pos="4153"/>
        <w:tab w:val="right" w:pos="8306"/>
      </w:tabs>
      <w:snapToGrid w:val="0"/>
      <w:jc w:val="left"/>
    </w:pPr>
    <w:rPr>
      <w:sz w:val="18"/>
      <w:szCs w:val="18"/>
    </w:rPr>
  </w:style>
  <w:style w:type="paragraph" w:styleId="11">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spacing w:beforeAutospacing="1" w:afterAutospacing="1"/>
      <w:jc w:val="left"/>
    </w:pPr>
    <w:rPr>
      <w:rFonts w:cs="Times New Roman"/>
      <w:kern w:val="0"/>
      <w:sz w:val="24"/>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Emphasis"/>
    <w:basedOn w:val="15"/>
    <w:qFormat/>
    <w:uiPriority w:val="0"/>
    <w:rPr>
      <w:i/>
    </w:rPr>
  </w:style>
  <w:style w:type="character" w:styleId="18">
    <w:name w:val="Hyperlink"/>
    <w:basedOn w:val="15"/>
    <w:qFormat/>
    <w:uiPriority w:val="0"/>
    <w:rPr>
      <w:color w:val="000000"/>
      <w:u w:val="none"/>
    </w:rPr>
  </w:style>
  <w:style w:type="character" w:customStyle="1" w:styleId="19">
    <w:name w:val="页眉 字符"/>
    <w:basedOn w:val="15"/>
    <w:link w:val="11"/>
    <w:qFormat/>
    <w:uiPriority w:val="0"/>
    <w:rPr>
      <w:rFonts w:asciiTheme="minorHAnsi" w:hAnsiTheme="minorHAnsi" w:eastAsiaTheme="minorEastAsia" w:cstheme="minorBidi"/>
      <w:kern w:val="2"/>
      <w:sz w:val="18"/>
      <w:szCs w:val="18"/>
    </w:rPr>
  </w:style>
  <w:style w:type="character" w:customStyle="1" w:styleId="20">
    <w:name w:val="页脚 字符"/>
    <w:basedOn w:val="15"/>
    <w:link w:val="10"/>
    <w:qFormat/>
    <w:uiPriority w:val="0"/>
    <w:rPr>
      <w:rFonts w:asciiTheme="minorHAnsi" w:hAnsiTheme="minorHAnsi" w:eastAsiaTheme="minorEastAsia" w:cstheme="minorBidi"/>
      <w:kern w:val="2"/>
      <w:sz w:val="18"/>
      <w:szCs w:val="18"/>
    </w:rPr>
  </w:style>
  <w:style w:type="paragraph" w:styleId="21">
    <w:name w:val="List Paragraph"/>
    <w:basedOn w:val="1"/>
    <w:qFormat/>
    <w:uiPriority w:val="34"/>
    <w:pPr>
      <w:ind w:firstLine="420" w:firstLineChars="200"/>
    </w:pPr>
    <w:rPr>
      <w:rFonts w:ascii="Times New Roman" w:hAnsi="Times New Roman" w:eastAsia="宋体" w:cs="Times New Roman"/>
    </w:rPr>
  </w:style>
  <w:style w:type="character" w:customStyle="1" w:styleId="22">
    <w:name w:val="标题 5 字符"/>
    <w:basedOn w:val="15"/>
    <w:link w:val="7"/>
    <w:qFormat/>
    <w:uiPriority w:val="0"/>
    <w:rPr>
      <w:rFonts w:asciiTheme="minorHAnsi" w:hAnsiTheme="minorHAnsi" w:eastAsiaTheme="minorEastAsia" w:cstheme="minorBidi"/>
      <w:b/>
      <w:bCs/>
      <w:kern w:val="2"/>
      <w:sz w:val="28"/>
      <w:szCs w:val="28"/>
    </w:rPr>
  </w:style>
  <w:style w:type="character" w:customStyle="1" w:styleId="23">
    <w:name w:val="标题 4 字符"/>
    <w:basedOn w:val="15"/>
    <w:link w:val="6"/>
    <w:qFormat/>
    <w:uiPriority w:val="0"/>
    <w:rPr>
      <w:rFonts w:ascii="Arial" w:hAnsi="Arial" w:eastAsia="黑体" w:cstheme="minorBidi"/>
      <w:b/>
      <w:kern w:val="2"/>
      <w:sz w:val="28"/>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8C43E-71A6-4B28-B484-9E5D416245BE}">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1001</Words>
  <Characters>1072</Characters>
  <Lines>95</Lines>
  <Paragraphs>26</Paragraphs>
  <TotalTime>5</TotalTime>
  <ScaleCrop>false</ScaleCrop>
  <LinksUpToDate>false</LinksUpToDate>
  <CharactersWithSpaces>1075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2023-05-30T06:49:00Z</dcterms:created>
  <dc:creator>Administrator</dc:creator>
  <cp:lastModifiedBy>一米</cp:lastModifiedBy>
  <cp:lastPrinted>2021-09-26T00:55:00Z</cp:lastPrinted>
  <dcterms:modified xsi:type="dcterms:W3CDTF">2025-11-12T07:44:11Z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256F1EB5322B46AABAFB65561B4218E7_13</vt:lpwstr>
  </property>
  <property fmtid="{D5CDD505-2E9C-101B-9397-08002B2CF9AE}" pid="4" name="KSOTemplateDocerSaveRecord">
    <vt:lpwstr>eyJoZGlkIjoiNjk0MmVkZDRlM2RiNTZjNTgyNDcyZmJkZDUwOTQwNjkiLCJ1c2VySWQiOiIxMDE2MzA4NTc3In0=</vt:lpwstr>
  </property>
</Properties>
</file>