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ECB86">
      <w:pPr>
        <w:jc w:val="center"/>
        <w:rPr>
          <w:rFonts w:hint="default"/>
          <w:b/>
          <w:bCs w:val="0"/>
          <w:sz w:val="44"/>
          <w:szCs w:val="36"/>
          <w:lang w:val="en-US" w:eastAsia="zh-CN"/>
        </w:rPr>
      </w:pPr>
      <w:r>
        <w:rPr>
          <w:rFonts w:hint="eastAsia"/>
          <w:b/>
          <w:bCs w:val="0"/>
          <w:sz w:val="44"/>
          <w:szCs w:val="36"/>
          <w:lang w:val="en-US" w:eastAsia="zh-CN"/>
        </w:rPr>
        <w:t>院前收费</w:t>
      </w:r>
      <w:r>
        <w:rPr>
          <w:rFonts w:hint="eastAsia"/>
          <w:b/>
          <w:bCs w:val="0"/>
          <w:sz w:val="44"/>
          <w:szCs w:val="36"/>
        </w:rPr>
        <w:t>系统</w:t>
      </w:r>
      <w:r>
        <w:rPr>
          <w:rFonts w:hint="eastAsia"/>
          <w:b/>
          <w:bCs w:val="0"/>
          <w:sz w:val="44"/>
          <w:szCs w:val="36"/>
          <w:lang w:val="en-US" w:eastAsia="zh-CN"/>
        </w:rPr>
        <w:t>及电子票据系统</w:t>
      </w:r>
    </w:p>
    <w:p w14:paraId="508C39F2">
      <w:pPr>
        <w:jc w:val="center"/>
        <w:rPr>
          <w:rFonts w:hint="eastAsia"/>
          <w:b/>
          <w:bCs w:val="0"/>
          <w:sz w:val="44"/>
          <w:szCs w:val="36"/>
        </w:rPr>
      </w:pPr>
      <w:r>
        <w:rPr>
          <w:rFonts w:hint="eastAsia"/>
          <w:b/>
          <w:bCs w:val="0"/>
          <w:sz w:val="44"/>
          <w:szCs w:val="36"/>
          <w:lang w:val="en-US" w:eastAsia="zh-CN"/>
        </w:rPr>
        <w:t>运维服务</w:t>
      </w:r>
      <w:r>
        <w:rPr>
          <w:rFonts w:hint="eastAsia"/>
          <w:b/>
          <w:bCs w:val="0"/>
          <w:sz w:val="44"/>
          <w:szCs w:val="36"/>
        </w:rPr>
        <w:t>采购需求</w:t>
      </w:r>
    </w:p>
    <w:p w14:paraId="007DE614">
      <w:pPr>
        <w:pStyle w:val="2"/>
        <w:keepNext/>
        <w:keepLines/>
        <w:pageBreakBefore w:val="0"/>
        <w:widowControl w:val="0"/>
        <w:kinsoku/>
        <w:wordWrap/>
        <w:overflowPunct/>
        <w:topLinePunct w:val="0"/>
        <w:autoSpaceDE/>
        <w:autoSpaceDN/>
        <w:bidi w:val="0"/>
        <w:adjustRightInd/>
        <w:snapToGrid/>
        <w:spacing w:before="0" w:after="0" w:line="560" w:lineRule="exact"/>
        <w:textAlignment w:val="auto"/>
        <w:rPr>
          <w:rFonts w:hint="eastAsia" w:ascii="仿宋_GB2312" w:hAnsi="仿宋_GB2312" w:eastAsia="仿宋_GB2312" w:cs="仿宋_GB2312"/>
          <w:sz w:val="32"/>
          <w:szCs w:val="32"/>
          <w:lang w:val="en-US" w:eastAsia="zh-CN"/>
        </w:rPr>
      </w:pPr>
    </w:p>
    <w:p w14:paraId="44DFC3FF">
      <w:pPr>
        <w:pStyle w:val="2"/>
        <w:keepNext/>
        <w:keepLines/>
        <w:pageBreakBefore w:val="0"/>
        <w:widowControl w:val="0"/>
        <w:kinsoku/>
        <w:wordWrap/>
        <w:overflowPunct/>
        <w:topLinePunct w:val="0"/>
        <w:autoSpaceDE/>
        <w:autoSpaceDN/>
        <w:bidi w:val="0"/>
        <w:adjustRightInd/>
        <w:snapToGrid/>
        <w:spacing w:before="0" w:after="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一、项目基本情况</w:t>
      </w:r>
    </w:p>
    <w:p w14:paraId="39595336">
      <w:pPr>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为</w:t>
      </w:r>
      <w:r>
        <w:rPr>
          <w:rFonts w:hint="eastAsia" w:ascii="仿宋_GB2312" w:hAnsi="仿宋_GB2312" w:eastAsia="仿宋_GB2312" w:cs="仿宋_GB2312"/>
          <w:sz w:val="32"/>
          <w:szCs w:val="32"/>
          <w:lang w:val="en-US" w:eastAsia="zh-CN"/>
        </w:rPr>
        <w:t>保障武汉市急救中心院前收费系统及电子票据系统</w:t>
      </w:r>
      <w:r>
        <w:rPr>
          <w:rFonts w:hint="eastAsia" w:ascii="仿宋_GB2312" w:hAnsi="仿宋_GB2312" w:eastAsia="仿宋_GB2312" w:cs="仿宋_GB2312"/>
          <w:sz w:val="32"/>
          <w:szCs w:val="32"/>
        </w:rPr>
        <w:t>稳定运行，通过</w:t>
      </w:r>
      <w:r>
        <w:rPr>
          <w:rFonts w:hint="eastAsia" w:ascii="仿宋_GB2312" w:hAnsi="仿宋_GB2312" w:eastAsia="仿宋_GB2312" w:cs="仿宋_GB2312"/>
          <w:sz w:val="32"/>
          <w:szCs w:val="32"/>
          <w:lang w:val="en-US" w:eastAsia="zh-CN"/>
        </w:rPr>
        <w:t>采购院前收费系统及电子票据系统</w:t>
      </w:r>
      <w:r>
        <w:rPr>
          <w:rFonts w:hint="eastAsia" w:ascii="仿宋_GB2312" w:hAnsi="仿宋_GB2312" w:eastAsia="仿宋_GB2312" w:cs="仿宋_GB2312"/>
          <w:sz w:val="32"/>
          <w:szCs w:val="32"/>
        </w:rPr>
        <w:t>运维服务</w:t>
      </w:r>
      <w:r>
        <w:rPr>
          <w:rFonts w:hint="eastAsia" w:ascii="仿宋_GB2312" w:hAnsi="仿宋_GB2312" w:eastAsia="仿宋_GB2312" w:cs="仿宋_GB2312"/>
          <w:sz w:val="32"/>
          <w:szCs w:val="32"/>
          <w:lang w:val="en-US" w:eastAsia="zh-CN"/>
        </w:rPr>
        <w:t>，获取有效技术保障与实施服务，以</w:t>
      </w:r>
      <w:r>
        <w:rPr>
          <w:rFonts w:hint="eastAsia" w:ascii="仿宋_GB2312" w:hAnsi="仿宋_GB2312" w:eastAsia="仿宋_GB2312" w:cs="仿宋_GB2312"/>
          <w:sz w:val="32"/>
          <w:szCs w:val="32"/>
        </w:rPr>
        <w:t>保障业务系统的稳定运行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满足业务与管理科室工作需要。</w:t>
      </w:r>
    </w:p>
    <w:p w14:paraId="476118C9">
      <w:pPr>
        <w:pageBreakBefore w:val="0"/>
        <w:widowControl w:val="0"/>
        <w:kinsoku/>
        <w:wordWrap/>
        <w:overflowPunct/>
        <w:topLinePunct w:val="0"/>
        <w:autoSpaceDE/>
        <w:autoSpaceDN/>
        <w:bidi w:val="0"/>
        <w:adjustRightInd/>
        <w:snapToGrid/>
        <w:spacing w:line="560" w:lineRule="exact"/>
        <w:ind w:firstLine="48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项目名称：</w:t>
      </w:r>
      <w:r>
        <w:rPr>
          <w:rFonts w:hint="eastAsia" w:ascii="仿宋_GB2312" w:hAnsi="仿宋_GB2312" w:eastAsia="仿宋_GB2312" w:cs="仿宋_GB2312"/>
          <w:sz w:val="32"/>
          <w:szCs w:val="32"/>
          <w:lang w:val="en-US" w:eastAsia="zh-CN"/>
        </w:rPr>
        <w:t>武汉市急救中心院前收费系统及电子票据系统</w:t>
      </w:r>
      <w:bookmarkStart w:id="0" w:name="_GoBack"/>
      <w:bookmarkEnd w:id="0"/>
      <w:r>
        <w:rPr>
          <w:rFonts w:hint="eastAsia" w:ascii="仿宋_GB2312" w:hAnsi="仿宋_GB2312" w:eastAsia="仿宋_GB2312" w:cs="仿宋_GB2312"/>
          <w:sz w:val="32"/>
          <w:szCs w:val="32"/>
          <w:lang w:val="en-US" w:eastAsia="zh-CN"/>
        </w:rPr>
        <w:t>运维服务</w:t>
      </w:r>
    </w:p>
    <w:p w14:paraId="7265FD27">
      <w:pPr>
        <w:pageBreakBefore w:val="0"/>
        <w:widowControl w:val="0"/>
        <w:kinsoku/>
        <w:wordWrap/>
        <w:overflowPunct/>
        <w:topLinePunct w:val="0"/>
        <w:autoSpaceDE/>
        <w:autoSpaceDN/>
        <w:bidi w:val="0"/>
        <w:adjustRightInd/>
        <w:snapToGrid/>
        <w:spacing w:line="560" w:lineRule="exact"/>
        <w:ind w:firstLine="48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预算金额：¥150,000元</w:t>
      </w:r>
    </w:p>
    <w:p w14:paraId="2DC8D3E3">
      <w:pPr>
        <w:pageBreakBefore w:val="0"/>
        <w:widowControl w:val="0"/>
        <w:kinsoku/>
        <w:wordWrap/>
        <w:overflowPunct/>
        <w:topLinePunct w:val="0"/>
        <w:autoSpaceDE/>
        <w:autoSpaceDN/>
        <w:bidi w:val="0"/>
        <w:adjustRightInd/>
        <w:snapToGrid/>
        <w:spacing w:line="560" w:lineRule="exact"/>
        <w:ind w:firstLine="48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服务期限</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1年</w:t>
      </w:r>
    </w:p>
    <w:p w14:paraId="14AF9F37">
      <w:pPr>
        <w:pageBreakBefore w:val="0"/>
        <w:widowControl w:val="0"/>
        <w:kinsoku/>
        <w:wordWrap/>
        <w:overflowPunct/>
        <w:topLinePunct w:val="0"/>
        <w:autoSpaceDE/>
        <w:autoSpaceDN/>
        <w:bidi w:val="0"/>
        <w:adjustRightInd/>
        <w:snapToGrid/>
        <w:spacing w:line="560" w:lineRule="exact"/>
        <w:ind w:firstLine="48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运维方式：现场或远程</w:t>
      </w:r>
    </w:p>
    <w:p w14:paraId="1E089E42">
      <w:pPr>
        <w:pageBreakBefore w:val="0"/>
        <w:widowControl w:val="0"/>
        <w:kinsoku/>
        <w:wordWrap/>
        <w:overflowPunct/>
        <w:topLinePunct w:val="0"/>
        <w:autoSpaceDE/>
        <w:autoSpaceDN/>
        <w:bidi w:val="0"/>
        <w:adjustRightInd/>
        <w:snapToGrid/>
        <w:spacing w:line="560" w:lineRule="exact"/>
        <w:ind w:firstLine="480"/>
        <w:textAlignment w:val="auto"/>
        <w:rPr>
          <w:rFonts w:hint="eastAsia" w:ascii="仿宋_GB2312" w:hAnsi="仿宋_GB2312" w:eastAsia="仿宋_GB2312" w:cs="仿宋_GB2312"/>
          <w:sz w:val="32"/>
          <w:szCs w:val="32"/>
          <w:lang w:val="en-US" w:eastAsia="zh-CN"/>
        </w:rPr>
      </w:pPr>
    </w:p>
    <w:p w14:paraId="1D943466">
      <w:pPr>
        <w:pStyle w:val="2"/>
        <w:keepNext/>
        <w:keepLines/>
        <w:pageBreakBefore w:val="0"/>
        <w:widowControl w:val="0"/>
        <w:kinsoku/>
        <w:wordWrap/>
        <w:overflowPunct/>
        <w:topLinePunct w:val="0"/>
        <w:autoSpaceDE/>
        <w:autoSpaceDN/>
        <w:bidi w:val="0"/>
        <w:adjustRightInd/>
        <w:snapToGrid/>
        <w:spacing w:before="0" w:after="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二、运维服务内容</w:t>
      </w:r>
    </w:p>
    <w:p w14:paraId="1CA20F2B">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2.1、运维整体概况</w:t>
      </w:r>
    </w:p>
    <w:p w14:paraId="1DF87B78">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武汉市急救中心院前收费系统运维工作，以保障系统稳定运行、支撑院前急救收费与电子票据管理为核心目标，依托专业团队、标准化流程及多层次技术保障体系，围绕系统全生命周期提供全方位运维服务，助力“患者少跑腿、数据多跑路”数字化管理理念落地。</w:t>
      </w:r>
    </w:p>
    <w:p w14:paraId="6688AB3B">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基于电信天翼云搭建的云服务器、云数据库、云防火墙、云堡垒机+实体前置服务器、数字签名服务器的服务器集群底层架构，提供 “稳定保障 + 安全防护 + 高效响应” 三位一体的运维服务，确保系统在业务量爆发式增长、新建急救站点持续增加的背景下，仍能保持高效、安全、可靠运行。</w:t>
      </w:r>
    </w:p>
    <w:p w14:paraId="2A089771">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运维服务贯穿系统“云服务器集群 - 软件 - 数据 - 用户” 全链条，具体包括：</w:t>
      </w:r>
    </w:p>
    <w:p w14:paraId="5D1CC9B3">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基础支撑层：云服务器集群、存储设备、网络设备等基础支撑设备的状态监控、故障维修、维保管理；</w:t>
      </w:r>
    </w:p>
    <w:p w14:paraId="06CA54DD">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软件层：系统应用程序、数据库、中间件（如 Web Service 接口）、操作系统（Linux等）的巡检、漏洞修复、版本更新、性能优化；</w:t>
      </w:r>
    </w:p>
    <w:p w14:paraId="1843E47A">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数据层：数据备份、数据恢复、数据加密、访问权限管控等数据安全与数据质量保障工作；</w:t>
      </w:r>
    </w:p>
    <w:p w14:paraId="1D942DBF">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用户层：为系统用户提供操作咨询、问题答疑、操作指导等技术支持，辅助用户快速上手系统功能。</w:t>
      </w:r>
    </w:p>
    <w:p w14:paraId="5500BEC9">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从运维服务方每月提交的运维巡检报告和运维服务记录来看，院前收费系统运行平稳，未发现明显软、硬件及架构缺陷，系统宕机率＜99%。</w:t>
      </w:r>
    </w:p>
    <w:p w14:paraId="55D32359">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2.2、软件运维</w:t>
      </w:r>
    </w:p>
    <w:p w14:paraId="64BCA821">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院前收费系统运维需求包括日常运维巡检、安全防护、系统加固、7×24小时响应的技术支持，以及对系统故障的应急处理等。这些需求旨在保障平台的稳定运行，确保各项功能的正常运作。</w:t>
      </w:r>
    </w:p>
    <w:p w14:paraId="461183EB">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具体来说，日常运维巡检需要对系统各功能模块的性能状况、基础支撑平台状态、存储容量状况、业务连续性等方面进行全面检查，以发现潜在问题并及时处理。</w:t>
      </w:r>
    </w:p>
    <w:p w14:paraId="4FE5229A">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安全防护则涉及多层次的安全措施，包括防火墙、数据加密等，以防止外部攻击。</w:t>
      </w:r>
    </w:p>
    <w:p w14:paraId="1EAE21B4">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系统加固通过定期扫描和加固操作系统、数据库、中间件、应用程序框架等系统基础应用环境，增强系统的安全性。</w:t>
      </w:r>
    </w:p>
    <w:p w14:paraId="37F528CF">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7×24小时响应的技术支持确保用户在任何时间遇到问题时都能获得及时帮助，而应急处理则需要制定详细的应急预案，确保在系统故障或突发事件中能够快速恢复应用系统的正常运行。</w:t>
      </w:r>
    </w:p>
    <w:p w14:paraId="1AE4E3E5">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技术需求包括熟悉云服务器集群技术架构、Linux系统、运行环境监控、HTML5的WEB标准、Web Service的接口规范中间件、数据库等。这些技术需求确保系统能够高效、安全地运行。</w:t>
      </w:r>
    </w:p>
    <w:p w14:paraId="0B21A761">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2.2.1、系统巡检</w:t>
      </w:r>
    </w:p>
    <w:p w14:paraId="472597ED">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应用服务器系统运维：</w:t>
      </w:r>
    </w:p>
    <w:p w14:paraId="62977644">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涵盖 CPU 性能、内存使用、硬盘利用、系统进程、主机性能等多方面的管理，同时监控主机 HA 运行状况、系统文件系统、存储交换网络状态和端口状态等。</w:t>
      </w:r>
    </w:p>
    <w:p w14:paraId="5E4A39AF">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目的是确保应用服务器及应用中间件的各项服务连续正常运行，无重大事故，通过及时的故障受理、跟踪、解决和统计分析，挖掘问题根源，规避问题浮现，保障业务连续性。</w:t>
      </w:r>
    </w:p>
    <w:p w14:paraId="7BB89BF0">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2.2.2、数据库服务器系统运维</w:t>
      </w:r>
    </w:p>
    <w:p w14:paraId="1FB29701">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重点在于主动数据库性能管理，了解数据库日常运行状态，识别性能问题并进行针对性优化，同时能快速发现、诊断和解决性能问题，维护高效的应用系统。</w:t>
      </w:r>
    </w:p>
    <w:p w14:paraId="617552A0">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2.2.3、故障排查</w:t>
      </w:r>
    </w:p>
    <w:p w14:paraId="423EDB47">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针对院前收费系统在实际使用中用户遇到的程序报错，提供问题定位、程序修复、测试反馈等服务。这要求运维人员具备较强的问题分析和解决能力，能够快速响应并解决问题，避免因系统故障影响用户正常业务工作。</w:t>
      </w:r>
    </w:p>
    <w:p w14:paraId="565846AE">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2.2.4、问题咨询</w:t>
      </w:r>
    </w:p>
    <w:p w14:paraId="5DDE394C">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为院前收费系统的用户群体提供常规问题答疑，辅助用户快速上手使用系统。这需要运维人员熟悉系统的各项功能和操作流程，能够用简洁明了的语言为用户解答疑问，提升用户的使用体验。</w:t>
      </w:r>
    </w:p>
    <w:p w14:paraId="50DC180B">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2.2.5、应急响应</w:t>
      </w:r>
    </w:p>
    <w:p w14:paraId="4570CA7F">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响应流程：明确了故障发生的获取途径（监控系统告警、用户发现、运维值班人员发现）、故障受理、信息研判处理、故障解除和结果处理等环节，确保在系统出现服务器非正常重启、网络攻击等导致系统崩溃、数据丢失等紧急情况时，能够有序、高效地进行处理。</w:t>
      </w:r>
    </w:p>
    <w:p w14:paraId="7F8F3486">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预防措施：包括正常工作日的设备及系统运行监控、节假日的通信畅通保障，以降低应急事件发生的概率。</w:t>
      </w:r>
    </w:p>
    <w:p w14:paraId="5178F615">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突发事件应急策略：针对通信线路中断、服务器软件系统故障、大流量网络攻击、服务器硬件故障、业务数据损坏等不同类型的突发事件，制定了相应的解决策略，如联系 IDC 机房或硬件设备厂商、切换备机等，以最快速度恢复系统正常应用。</w:t>
      </w:r>
    </w:p>
    <w:p w14:paraId="37EB3256">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2.2.6、业务保障</w:t>
      </w:r>
    </w:p>
    <w:p w14:paraId="105633ED">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当用户因操作不当等原因导致数据错误时，尽最大能力提供技术恢复、回退调整服务，辅助用户业务工作正常持续开展。这需要运维人员具备数据恢复和调整的技术能力，确保用户数据的准确性和业务的连续性。</w:t>
      </w:r>
    </w:p>
    <w:p w14:paraId="250CFF2B">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2.2.7、安全运维</w:t>
      </w:r>
    </w:p>
    <w:p w14:paraId="3721A169">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安全是系统的生命基线，需建立安全体系，从系统级、数据级别、应用级别等多个维度保障系统安全。对于数据安全，要建立分级体系，针对不同数据分级制定包括访问密码加密、访问日志脱敏、数据隔离访问、数据加密、数据加密获取等在内的不同管理策略和数据使用策略，确保数据的安全性和保密性。</w:t>
      </w:r>
    </w:p>
    <w:p w14:paraId="48A05177">
      <w:pPr>
        <w:pageBreakBefore w:val="0"/>
        <w:widowControl w:val="0"/>
        <w:kinsoku/>
        <w:wordWrap/>
        <w:overflowPunct/>
        <w:topLinePunct w:val="0"/>
        <w:autoSpaceDE/>
        <w:autoSpaceDN/>
        <w:bidi w:val="0"/>
        <w:adjustRightInd/>
        <w:snapToGrid/>
        <w:spacing w:line="560" w:lineRule="exact"/>
        <w:ind w:firstLine="420" w:firstLineChars="0"/>
        <w:textAlignment w:val="auto"/>
        <w:rPr>
          <w:rFonts w:hint="eastAsia"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0352CF"/>
    <w:multiLevelType w:val="singleLevel"/>
    <w:tmpl w:val="870352CF"/>
    <w:lvl w:ilvl="0" w:tentative="0">
      <w:start w:val="1"/>
      <w:numFmt w:val="decimal"/>
      <w:pStyle w:val="3"/>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60A49"/>
    <w:rsid w:val="06E635A4"/>
    <w:rsid w:val="0766272E"/>
    <w:rsid w:val="1A8E286A"/>
    <w:rsid w:val="1B526187"/>
    <w:rsid w:val="1D814083"/>
    <w:rsid w:val="1EAA4B98"/>
    <w:rsid w:val="1EDF1B87"/>
    <w:rsid w:val="22A00F1D"/>
    <w:rsid w:val="25F84E4C"/>
    <w:rsid w:val="2B470864"/>
    <w:rsid w:val="2D393B7E"/>
    <w:rsid w:val="2FAA10DB"/>
    <w:rsid w:val="3DC2658A"/>
    <w:rsid w:val="3E35213F"/>
    <w:rsid w:val="40D60A49"/>
    <w:rsid w:val="448F1ECD"/>
    <w:rsid w:val="4A040E57"/>
    <w:rsid w:val="4FA479D2"/>
    <w:rsid w:val="5C89392A"/>
    <w:rsid w:val="60E41007"/>
    <w:rsid w:val="612E7275"/>
    <w:rsid w:val="669176A0"/>
    <w:rsid w:val="6965127B"/>
    <w:rsid w:val="6AC50223"/>
    <w:rsid w:val="6C5B7B46"/>
    <w:rsid w:val="7AC120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Arial" w:hAnsi="Arial" w:eastAsia="微软雅黑" w:cstheme="minorBidi"/>
      <w:bCs/>
      <w:kern w:val="2"/>
      <w:sz w:val="28"/>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keepNext/>
      <w:keepLines/>
      <w:numPr>
        <w:ilvl w:val="0"/>
        <w:numId w:val="1"/>
      </w:numPr>
      <w:spacing w:before="260" w:beforeLines="0" w:after="260" w:afterLines="0" w:line="360" w:lineRule="auto"/>
      <w:jc w:val="left"/>
      <w:outlineLvl w:val="1"/>
    </w:pPr>
    <w:rPr>
      <w:rFonts w:ascii="宋体" w:hAnsi="宋体" w:eastAsia="宋体" w:cs="宋体"/>
      <w:b/>
      <w:sz w:val="32"/>
      <w:szCs w:val="32"/>
    </w:rPr>
  </w:style>
  <w:style w:type="paragraph" w:styleId="4">
    <w:name w:val="heading 3"/>
    <w:basedOn w:val="1"/>
    <w:next w:val="1"/>
    <w:unhideWhenUsed/>
    <w:qFormat/>
    <w:uiPriority w:val="9"/>
    <w:pPr>
      <w:keepNext/>
      <w:keepLines/>
      <w:spacing w:before="260" w:after="260" w:line="416" w:lineRule="auto"/>
      <w:outlineLvl w:val="2"/>
    </w:pPr>
    <w:rPr>
      <w:rFonts w:eastAsia="仿宋"/>
      <w:b/>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Body Text"/>
    <w:qFormat/>
    <w:uiPriority w:val="0"/>
    <w:pPr>
      <w:spacing w:after="120" w:afterAutospacing="0" w:line="300" w:lineRule="auto"/>
      <w:ind w:firstLine="420" w:firstLineChars="200"/>
    </w:pPr>
    <w:rPr>
      <w:rFonts w:ascii="Times New Roman" w:hAnsi="Times New Roman" w:eastAsia="宋体" w:cs="Times New Roman"/>
      <w:sz w:val="24"/>
    </w:rPr>
  </w:style>
  <w:style w:type="table" w:styleId="7">
    <w:name w:val="Table Grid"/>
    <w:basedOn w:val="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2034</Words>
  <Characters>2112</Characters>
  <Lines>0</Lines>
  <Paragraphs>0</Paragraphs>
  <TotalTime>6</TotalTime>
  <ScaleCrop>false</ScaleCrop>
  <LinksUpToDate>false</LinksUpToDate>
  <CharactersWithSpaces>2135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2025-07-04T01:20:00Z</dcterms:created>
  <dc:creator>快到碗里来</dc:creator>
  <cp:lastModifiedBy>伍伟</cp:lastModifiedBy>
  <dcterms:modified xsi:type="dcterms:W3CDTF">2026-08-03T01:55:33Z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94592E1260194DE6B9D38E84DB3C6808_11</vt:lpwstr>
  </property>
  <property fmtid="{D5CDD505-2E9C-101B-9397-08002B2CF9AE}" pid="4" name="KSOTemplateDocerSaveRecord">
    <vt:lpwstr>eyJoZGlkIjoiOTUxNDE2YTZhMWU3NjQ0YTljYTRiMjA2ODY3MjJiMWEiLCJ1c2VySWQiOiIxODQ4NjE2MTU0In0=</vt:lpwstr>
  </property>
</Properties>
</file>