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B9F71">
      <w:pPr>
        <w:jc w:val="center"/>
        <w:rPr>
          <w:rFonts w:hint="default" w:eastAsia="宋体"/>
          <w:sz w:val="44"/>
          <w:szCs w:val="44"/>
          <w:lang w:val="en-US" w:eastAsia="zh-CN"/>
        </w:rPr>
      </w:pPr>
      <w:bookmarkStart w:id="2" w:name="_GoBack"/>
      <w:r>
        <w:rPr>
          <w:rFonts w:hint="eastAsia"/>
          <w:sz w:val="44"/>
          <w:szCs w:val="44"/>
          <w:lang w:val="en-US" w:eastAsia="zh-CN"/>
        </w:rPr>
        <w:t>皮肤科病理系统维保服务项目</w:t>
      </w:r>
    </w:p>
    <w:p w14:paraId="2F5CBADF">
      <w:pPr>
        <w:pStyle w:val="10"/>
        <w:ind w:firstLine="0" w:firstLineChars="0"/>
        <w:rPr>
          <w:rFonts w:ascii="仿宋" w:hAnsi="仿宋" w:eastAsia="仿宋" w:cs="Arial"/>
          <w:b/>
          <w:szCs w:val="24"/>
        </w:rPr>
      </w:pPr>
      <w:bookmarkStart w:id="0" w:name="_Toc61945833"/>
    </w:p>
    <w:bookmarkEnd w:id="2"/>
    <w:p w14:paraId="0E741070">
      <w:pPr>
        <w:pStyle w:val="2"/>
        <w:numPr>
          <w:ilvl w:val="0"/>
          <w:numId w:val="1"/>
        </w:numPr>
        <w:tabs>
          <w:tab w:val="left" w:pos="360"/>
        </w:tabs>
        <w:spacing w:before="0" w:after="0" w:line="360" w:lineRule="auto"/>
        <w:ind w:left="616" w:hanging="616"/>
        <w:jc w:val="left"/>
        <w:rPr>
          <w:rFonts w:ascii="仿宋" w:hAnsi="仿宋" w:eastAsia="仿宋" w:cs="Times New Roman"/>
          <w:bCs w:val="0"/>
          <w:color w:val="auto"/>
          <w:lang w:val="zh-CN"/>
        </w:rPr>
      </w:pPr>
      <w:bookmarkStart w:id="1" w:name="_Toc48289582"/>
      <w:r>
        <w:rPr>
          <w:rFonts w:hint="eastAsia" w:ascii="仿宋" w:hAnsi="仿宋" w:eastAsia="仿宋" w:cs="Times New Roman"/>
          <w:bCs w:val="0"/>
          <w:color w:val="auto"/>
          <w:lang w:val="zh-CN"/>
        </w:rPr>
        <w:t>采购内容</w:t>
      </w:r>
      <w:bookmarkEnd w:id="1"/>
    </w:p>
    <w:tbl>
      <w:tblPr>
        <w:tblStyle w:val="7"/>
        <w:tblW w:w="4997" w:type="pct"/>
        <w:tblInd w:w="0" w:type="dxa"/>
        <w:tblLayout w:type="autofit"/>
        <w:tblCellMar>
          <w:top w:w="0" w:type="dxa"/>
          <w:left w:w="108" w:type="dxa"/>
          <w:bottom w:w="0" w:type="dxa"/>
          <w:right w:w="108" w:type="dxa"/>
        </w:tblCellMar>
      </w:tblPr>
      <w:tblGrid>
        <w:gridCol w:w="920"/>
        <w:gridCol w:w="1155"/>
        <w:gridCol w:w="741"/>
        <w:gridCol w:w="608"/>
        <w:gridCol w:w="2259"/>
        <w:gridCol w:w="2834"/>
      </w:tblGrid>
      <w:tr w14:paraId="0B31D7D3">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shd w:val="clear" w:color="auto" w:fill="DDD9C3"/>
            <w:vAlign w:val="center"/>
          </w:tcPr>
          <w:p w14:paraId="34F35F06">
            <w:pPr>
              <w:spacing w:line="360" w:lineRule="auto"/>
              <w:ind w:left="-48" w:leftChars="-23" w:right="-48" w:rightChars="-23"/>
              <w:jc w:val="center"/>
              <w:rPr>
                <w:rFonts w:ascii="仿宋" w:hAnsi="仿宋" w:eastAsia="仿宋"/>
              </w:rPr>
            </w:pPr>
            <w:r>
              <w:rPr>
                <w:rFonts w:hint="eastAsia" w:ascii="仿宋" w:hAnsi="仿宋" w:eastAsia="仿宋"/>
              </w:rPr>
              <w:t>序号</w:t>
            </w:r>
          </w:p>
        </w:tc>
        <w:tc>
          <w:tcPr>
            <w:tcW w:w="678" w:type="pct"/>
            <w:tcBorders>
              <w:top w:val="single" w:color="auto" w:sz="4" w:space="0"/>
              <w:left w:val="nil"/>
              <w:bottom w:val="single" w:color="auto" w:sz="4" w:space="0"/>
              <w:right w:val="single" w:color="auto" w:sz="4" w:space="0"/>
            </w:tcBorders>
            <w:shd w:val="clear" w:color="auto" w:fill="DDD9C3"/>
            <w:vAlign w:val="center"/>
          </w:tcPr>
          <w:p w14:paraId="2C9ED487">
            <w:pPr>
              <w:spacing w:line="360" w:lineRule="auto"/>
              <w:jc w:val="center"/>
              <w:rPr>
                <w:rFonts w:ascii="仿宋" w:hAnsi="仿宋" w:eastAsia="仿宋"/>
              </w:rPr>
            </w:pPr>
            <w:r>
              <w:rPr>
                <w:rFonts w:hint="eastAsia" w:ascii="仿宋" w:hAnsi="仿宋" w:eastAsia="仿宋"/>
              </w:rPr>
              <w:t>名称</w:t>
            </w:r>
          </w:p>
        </w:tc>
        <w:tc>
          <w:tcPr>
            <w:tcW w:w="435" w:type="pct"/>
            <w:tcBorders>
              <w:top w:val="single" w:color="auto" w:sz="4" w:space="0"/>
              <w:left w:val="nil"/>
              <w:bottom w:val="single" w:color="auto" w:sz="4" w:space="0"/>
              <w:right w:val="single" w:color="auto" w:sz="4" w:space="0"/>
            </w:tcBorders>
            <w:shd w:val="clear" w:color="auto" w:fill="DDD9C3"/>
            <w:vAlign w:val="center"/>
          </w:tcPr>
          <w:p w14:paraId="2FDB5CC0">
            <w:pPr>
              <w:spacing w:line="360" w:lineRule="auto"/>
              <w:ind w:left="-48" w:leftChars="-23" w:right="-48" w:rightChars="-23"/>
              <w:jc w:val="center"/>
              <w:rPr>
                <w:rFonts w:ascii="仿宋" w:hAnsi="仿宋" w:eastAsia="仿宋"/>
              </w:rPr>
            </w:pPr>
            <w:r>
              <w:rPr>
                <w:rFonts w:hint="eastAsia" w:ascii="仿宋" w:hAnsi="仿宋" w:eastAsia="仿宋"/>
              </w:rPr>
              <w:t>数量</w:t>
            </w:r>
          </w:p>
        </w:tc>
        <w:tc>
          <w:tcPr>
            <w:tcW w:w="356" w:type="pct"/>
            <w:tcBorders>
              <w:top w:val="single" w:color="auto" w:sz="4" w:space="0"/>
              <w:left w:val="nil"/>
              <w:bottom w:val="single" w:color="auto" w:sz="4" w:space="0"/>
              <w:right w:val="single" w:color="auto" w:sz="4" w:space="0"/>
            </w:tcBorders>
            <w:shd w:val="clear" w:color="auto" w:fill="DDD9C3"/>
            <w:vAlign w:val="center"/>
          </w:tcPr>
          <w:p w14:paraId="55F6A265">
            <w:pPr>
              <w:spacing w:line="360" w:lineRule="auto"/>
              <w:ind w:left="-48" w:leftChars="-23" w:right="-48" w:rightChars="-23"/>
              <w:jc w:val="center"/>
              <w:rPr>
                <w:rFonts w:ascii="仿宋" w:hAnsi="仿宋" w:eastAsia="仿宋"/>
              </w:rPr>
            </w:pPr>
            <w:r>
              <w:rPr>
                <w:rFonts w:hint="eastAsia" w:ascii="仿宋" w:hAnsi="仿宋" w:eastAsia="仿宋"/>
              </w:rPr>
              <w:t>单位</w:t>
            </w:r>
          </w:p>
        </w:tc>
        <w:tc>
          <w:tcPr>
            <w:tcW w:w="1326" w:type="pct"/>
            <w:tcBorders>
              <w:top w:val="single" w:color="auto" w:sz="4" w:space="0"/>
              <w:left w:val="nil"/>
              <w:bottom w:val="single" w:color="auto" w:sz="4" w:space="0"/>
              <w:right w:val="single" w:color="auto" w:sz="4" w:space="0"/>
            </w:tcBorders>
            <w:shd w:val="clear" w:color="auto" w:fill="DDD9C3"/>
            <w:vAlign w:val="center"/>
          </w:tcPr>
          <w:p w14:paraId="49CCA1C8">
            <w:pPr>
              <w:spacing w:line="360" w:lineRule="auto"/>
              <w:ind w:left="-48" w:leftChars="-23" w:right="-48" w:rightChars="-23"/>
              <w:jc w:val="center"/>
              <w:rPr>
                <w:rFonts w:hint="eastAsia" w:ascii="仿宋" w:hAnsi="仿宋" w:eastAsia="仿宋"/>
                <w:lang w:val="en-US" w:eastAsia="zh-CN"/>
              </w:rPr>
            </w:pPr>
            <w:r>
              <w:rPr>
                <w:rFonts w:hint="eastAsia" w:ascii="仿宋" w:hAnsi="仿宋" w:eastAsia="仿宋"/>
                <w:lang w:val="en-US" w:eastAsia="zh-CN"/>
              </w:rPr>
              <w:t>预算</w:t>
            </w:r>
          </w:p>
        </w:tc>
        <w:tc>
          <w:tcPr>
            <w:tcW w:w="1663" w:type="pct"/>
            <w:tcBorders>
              <w:top w:val="single" w:color="auto" w:sz="4" w:space="0"/>
              <w:left w:val="nil"/>
              <w:bottom w:val="single" w:color="auto" w:sz="4" w:space="0"/>
              <w:right w:val="single" w:color="auto" w:sz="4" w:space="0"/>
            </w:tcBorders>
            <w:shd w:val="clear" w:color="auto" w:fill="DDD9C3"/>
            <w:vAlign w:val="center"/>
          </w:tcPr>
          <w:p w14:paraId="433D9DAA">
            <w:pPr>
              <w:spacing w:line="360" w:lineRule="auto"/>
              <w:ind w:left="-48" w:leftChars="-23" w:right="-48" w:rightChars="-23"/>
              <w:jc w:val="center"/>
              <w:rPr>
                <w:rFonts w:ascii="仿宋" w:hAnsi="仿宋" w:eastAsia="仿宋"/>
              </w:rPr>
            </w:pPr>
            <w:r>
              <w:rPr>
                <w:rFonts w:hint="eastAsia" w:ascii="仿宋" w:hAnsi="仿宋" w:eastAsia="仿宋"/>
              </w:rPr>
              <w:t>要求/备注</w:t>
            </w:r>
          </w:p>
        </w:tc>
      </w:tr>
      <w:tr w14:paraId="72270494">
        <w:tblPrEx>
          <w:tblCellMar>
            <w:top w:w="0" w:type="dxa"/>
            <w:left w:w="108" w:type="dxa"/>
            <w:bottom w:w="0" w:type="dxa"/>
            <w:right w:w="108" w:type="dxa"/>
          </w:tblCellMar>
        </w:tblPrEx>
        <w:trPr>
          <w:trHeight w:val="687" w:hRule="atLeast"/>
        </w:trPr>
        <w:tc>
          <w:tcPr>
            <w:tcW w:w="540" w:type="pct"/>
            <w:tcBorders>
              <w:top w:val="nil"/>
              <w:left w:val="single" w:color="auto" w:sz="4" w:space="0"/>
              <w:bottom w:val="single" w:color="auto" w:sz="4" w:space="0"/>
              <w:right w:val="single" w:color="auto" w:sz="4" w:space="0"/>
            </w:tcBorders>
            <w:shd w:val="clear" w:color="auto" w:fill="auto"/>
            <w:vAlign w:val="center"/>
          </w:tcPr>
          <w:p w14:paraId="07874CF4">
            <w:pPr>
              <w:pStyle w:val="11"/>
              <w:widowControl w:val="0"/>
              <w:numPr>
                <w:ilvl w:val="0"/>
                <w:numId w:val="2"/>
              </w:numPr>
              <w:tabs>
                <w:tab w:val="left" w:pos="33"/>
              </w:tabs>
              <w:ind w:left="-93" w:right="-48" w:rightChars="-23" w:hanging="3"/>
              <w:contextualSpacing w:val="0"/>
              <w:jc w:val="center"/>
              <w:rPr>
                <w:rFonts w:ascii="仿宋" w:hAnsi="仿宋" w:eastAsia="仿宋"/>
              </w:rPr>
            </w:pPr>
          </w:p>
        </w:tc>
        <w:tc>
          <w:tcPr>
            <w:tcW w:w="678" w:type="pct"/>
            <w:tcBorders>
              <w:top w:val="nil"/>
              <w:left w:val="single" w:color="auto" w:sz="4" w:space="0"/>
              <w:bottom w:val="single" w:color="auto" w:sz="4" w:space="0"/>
              <w:right w:val="single" w:color="auto" w:sz="4" w:space="0"/>
            </w:tcBorders>
            <w:shd w:val="clear" w:color="auto" w:fill="auto"/>
            <w:vAlign w:val="center"/>
          </w:tcPr>
          <w:p w14:paraId="12E195C6">
            <w:pPr>
              <w:ind w:left="-48" w:leftChars="-23" w:right="-48" w:rightChars="-23"/>
              <w:jc w:val="center"/>
              <w:rPr>
                <w:rFonts w:ascii="仿宋" w:hAnsi="仿宋" w:eastAsia="仿宋"/>
                <w:b/>
                <w:bCs/>
              </w:rPr>
            </w:pPr>
            <w:r>
              <w:rPr>
                <w:rFonts w:hint="eastAsia" w:ascii="仿宋" w:hAnsi="仿宋" w:eastAsia="仿宋"/>
                <w:b/>
                <w:bCs/>
              </w:rPr>
              <w:t>皮肤科病理系统维保服务</w:t>
            </w:r>
          </w:p>
        </w:tc>
        <w:tc>
          <w:tcPr>
            <w:tcW w:w="435" w:type="pct"/>
            <w:tcBorders>
              <w:top w:val="nil"/>
              <w:left w:val="single" w:color="auto" w:sz="4" w:space="0"/>
              <w:bottom w:val="single" w:color="auto" w:sz="4" w:space="0"/>
              <w:right w:val="single" w:color="auto" w:sz="4" w:space="0"/>
            </w:tcBorders>
            <w:shd w:val="clear" w:color="auto" w:fill="auto"/>
            <w:vAlign w:val="center"/>
          </w:tcPr>
          <w:p w14:paraId="01F488B0">
            <w:pPr>
              <w:ind w:left="-48" w:leftChars="-23" w:right="-48" w:rightChars="-23"/>
              <w:jc w:val="center"/>
              <w:rPr>
                <w:rFonts w:hint="eastAsia" w:ascii="仿宋" w:hAnsi="仿宋" w:eastAsia="仿宋"/>
                <w:b/>
                <w:bCs/>
                <w:lang w:val="en-US" w:eastAsia="zh-CN"/>
              </w:rPr>
            </w:pPr>
            <w:r>
              <w:rPr>
                <w:rFonts w:hint="eastAsia" w:ascii="仿宋" w:hAnsi="仿宋" w:eastAsia="仿宋"/>
                <w:b/>
                <w:bCs/>
                <w:lang w:val="en-US" w:eastAsia="zh-CN"/>
              </w:rPr>
              <w:t>1</w:t>
            </w:r>
          </w:p>
        </w:tc>
        <w:tc>
          <w:tcPr>
            <w:tcW w:w="356" w:type="pct"/>
            <w:tcBorders>
              <w:top w:val="nil"/>
              <w:left w:val="single" w:color="auto" w:sz="4" w:space="0"/>
              <w:bottom w:val="single" w:color="auto" w:sz="4" w:space="0"/>
              <w:right w:val="single" w:color="auto" w:sz="4" w:space="0"/>
            </w:tcBorders>
            <w:shd w:val="clear" w:color="auto" w:fill="auto"/>
            <w:vAlign w:val="center"/>
          </w:tcPr>
          <w:p w14:paraId="29A628AA">
            <w:pPr>
              <w:ind w:left="-48" w:leftChars="-23" w:right="-48" w:rightChars="-23"/>
              <w:jc w:val="center"/>
              <w:rPr>
                <w:rFonts w:hint="eastAsia" w:ascii="仿宋" w:hAnsi="仿宋" w:eastAsia="仿宋"/>
                <w:b/>
                <w:bCs/>
                <w:lang w:val="en-US" w:eastAsia="zh-CN"/>
              </w:rPr>
            </w:pPr>
            <w:r>
              <w:rPr>
                <w:rFonts w:hint="eastAsia" w:ascii="仿宋" w:hAnsi="仿宋" w:eastAsia="仿宋"/>
                <w:b/>
                <w:bCs/>
                <w:lang w:val="en-US" w:eastAsia="zh-CN"/>
              </w:rPr>
              <w:t>年</w:t>
            </w:r>
          </w:p>
        </w:tc>
        <w:tc>
          <w:tcPr>
            <w:tcW w:w="1326" w:type="pct"/>
            <w:tcBorders>
              <w:top w:val="nil"/>
              <w:left w:val="single" w:color="auto" w:sz="4" w:space="0"/>
              <w:bottom w:val="single" w:color="auto" w:sz="4" w:space="0"/>
              <w:right w:val="single" w:color="auto" w:sz="4" w:space="0"/>
            </w:tcBorders>
            <w:shd w:val="clear" w:color="auto" w:fill="auto"/>
            <w:vAlign w:val="center"/>
          </w:tcPr>
          <w:p w14:paraId="3C097704">
            <w:pPr>
              <w:ind w:left="-48" w:leftChars="-23" w:right="-48" w:rightChars="-23"/>
              <w:jc w:val="center"/>
              <w:rPr>
                <w:rFonts w:hint="default" w:ascii="仿宋" w:hAnsi="仿宋" w:eastAsia="仿宋"/>
                <w:b/>
                <w:bCs/>
                <w:lang w:val="en-US" w:eastAsia="zh-CN"/>
              </w:rPr>
            </w:pPr>
            <w:r>
              <w:rPr>
                <w:rFonts w:hint="eastAsia" w:ascii="仿宋" w:hAnsi="仿宋" w:eastAsia="仿宋"/>
                <w:b/>
                <w:bCs/>
                <w:lang w:val="en-US" w:eastAsia="zh-CN"/>
              </w:rPr>
              <w:t>30000.00</w:t>
            </w:r>
          </w:p>
        </w:tc>
        <w:tc>
          <w:tcPr>
            <w:tcW w:w="1663" w:type="pct"/>
            <w:tcBorders>
              <w:top w:val="nil"/>
              <w:left w:val="single" w:color="auto" w:sz="4" w:space="0"/>
              <w:bottom w:val="single" w:color="auto" w:sz="4" w:space="0"/>
              <w:right w:val="single" w:color="auto" w:sz="4" w:space="0"/>
            </w:tcBorders>
            <w:shd w:val="clear" w:color="auto" w:fill="auto"/>
            <w:vAlign w:val="center"/>
          </w:tcPr>
          <w:p w14:paraId="4FD9798C">
            <w:pPr>
              <w:ind w:left="-48" w:leftChars="-23" w:right="-48" w:rightChars="-23"/>
              <w:jc w:val="center"/>
              <w:rPr>
                <w:rFonts w:ascii="仿宋" w:hAnsi="仿宋" w:eastAsia="仿宋"/>
                <w:b/>
                <w:bCs/>
              </w:rPr>
            </w:pPr>
            <w:r>
              <w:rPr>
                <w:rFonts w:hint="eastAsia" w:ascii="仿宋" w:hAnsi="仿宋" w:eastAsia="仿宋"/>
                <w:b/>
                <w:bCs/>
              </w:rPr>
              <w:t>核心产品</w:t>
            </w:r>
          </w:p>
        </w:tc>
      </w:tr>
      <w:tr w14:paraId="7D87D60C">
        <w:tblPrEx>
          <w:tblCellMar>
            <w:top w:w="0" w:type="dxa"/>
            <w:left w:w="108" w:type="dxa"/>
            <w:bottom w:w="0" w:type="dxa"/>
            <w:right w:w="108" w:type="dxa"/>
          </w:tblCellMar>
        </w:tblPrEx>
        <w:trPr>
          <w:trHeight w:val="731" w:hRule="atLeast"/>
        </w:trPr>
        <w:tc>
          <w:tcPr>
            <w:tcW w:w="2010" w:type="pct"/>
            <w:gridSpan w:val="4"/>
            <w:tcBorders>
              <w:top w:val="nil"/>
              <w:left w:val="single" w:color="auto" w:sz="4" w:space="0"/>
              <w:bottom w:val="single" w:color="auto" w:sz="4" w:space="0"/>
              <w:right w:val="single" w:color="auto" w:sz="4" w:space="0"/>
            </w:tcBorders>
            <w:shd w:val="clear" w:color="auto" w:fill="auto"/>
            <w:vAlign w:val="center"/>
          </w:tcPr>
          <w:p w14:paraId="146BD8D3">
            <w:pPr>
              <w:ind w:left="-48" w:leftChars="-23" w:right="-48" w:rightChars="-23"/>
              <w:jc w:val="center"/>
              <w:rPr>
                <w:rFonts w:hint="default" w:ascii="仿宋" w:hAnsi="仿宋" w:eastAsia="仿宋"/>
                <w:lang w:val="en-US" w:eastAsia="zh-CN"/>
              </w:rPr>
            </w:pPr>
            <w:r>
              <w:rPr>
                <w:rFonts w:hint="eastAsia" w:ascii="仿宋" w:hAnsi="仿宋" w:eastAsia="仿宋"/>
                <w:lang w:val="en-US" w:eastAsia="zh-CN"/>
              </w:rPr>
              <w:t>预算合计</w:t>
            </w:r>
          </w:p>
        </w:tc>
        <w:tc>
          <w:tcPr>
            <w:tcW w:w="2989" w:type="pct"/>
            <w:gridSpan w:val="2"/>
            <w:tcBorders>
              <w:top w:val="nil"/>
              <w:left w:val="nil"/>
              <w:bottom w:val="single" w:color="auto" w:sz="4" w:space="0"/>
              <w:right w:val="single" w:color="auto" w:sz="4" w:space="0"/>
            </w:tcBorders>
            <w:shd w:val="clear" w:color="auto" w:fill="auto"/>
            <w:vAlign w:val="center"/>
          </w:tcPr>
          <w:p w14:paraId="7395F312">
            <w:pPr>
              <w:ind w:left="-48" w:leftChars="-23" w:right="-48" w:rightChars="-23"/>
              <w:jc w:val="center"/>
              <w:rPr>
                <w:rFonts w:hint="default" w:ascii="仿宋" w:hAnsi="仿宋" w:eastAsia="仿宋"/>
                <w:lang w:val="en-US"/>
              </w:rPr>
            </w:pPr>
            <w:r>
              <w:rPr>
                <w:rFonts w:hint="eastAsia" w:ascii="仿宋" w:hAnsi="仿宋" w:eastAsia="仿宋"/>
                <w:lang w:val="en-US" w:eastAsia="zh-CN"/>
              </w:rPr>
              <w:t>30000.00元</w:t>
            </w:r>
          </w:p>
        </w:tc>
      </w:tr>
      <w:tr w14:paraId="1CFE5566">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vAlign w:val="center"/>
          </w:tcPr>
          <w:p w14:paraId="2ADD29D2">
            <w:pPr>
              <w:ind w:left="-48" w:leftChars="-23" w:right="-48" w:rightChars="-23"/>
              <w:jc w:val="both"/>
              <w:rPr>
                <w:rFonts w:ascii="仿宋" w:hAnsi="仿宋" w:eastAsia="仿宋"/>
              </w:rPr>
            </w:pPr>
            <w:r>
              <w:rPr>
                <w:rFonts w:hint="eastAsia" w:ascii="仿宋" w:hAnsi="仿宋" w:eastAsia="仿宋"/>
                <w:lang w:val="en-US" w:eastAsia="zh-CN"/>
              </w:rPr>
              <w:t>服务</w:t>
            </w:r>
            <w:r>
              <w:rPr>
                <w:rFonts w:hint="eastAsia" w:ascii="仿宋" w:hAnsi="仿宋" w:eastAsia="仿宋"/>
              </w:rPr>
              <w:t>期</w:t>
            </w:r>
          </w:p>
        </w:tc>
        <w:tc>
          <w:tcPr>
            <w:tcW w:w="4459" w:type="pct"/>
            <w:gridSpan w:val="5"/>
            <w:tcBorders>
              <w:top w:val="single" w:color="auto" w:sz="4" w:space="0"/>
              <w:left w:val="single" w:color="auto" w:sz="4" w:space="0"/>
              <w:bottom w:val="single" w:color="auto" w:sz="4" w:space="0"/>
              <w:right w:val="single" w:color="auto" w:sz="4" w:space="0"/>
            </w:tcBorders>
            <w:vAlign w:val="center"/>
          </w:tcPr>
          <w:p w14:paraId="6E272BBF">
            <w:pPr>
              <w:ind w:right="-48" w:rightChars="-23"/>
              <w:rPr>
                <w:rFonts w:ascii="仿宋" w:hAnsi="仿宋" w:eastAsia="仿宋"/>
              </w:rPr>
            </w:pPr>
            <w:r>
              <w:rPr>
                <w:rFonts w:hint="eastAsia" w:ascii="仿宋" w:hAnsi="仿宋" w:eastAsia="仿宋"/>
                <w:u w:val="single"/>
                <w:lang w:val="en-US" w:eastAsia="zh-CN"/>
              </w:rPr>
              <w:t xml:space="preserve">  1   </w:t>
            </w:r>
            <w:r>
              <w:rPr>
                <w:rFonts w:hint="eastAsia" w:ascii="仿宋" w:hAnsi="仿宋" w:eastAsia="仿宋"/>
              </w:rPr>
              <w:t>年</w:t>
            </w:r>
          </w:p>
        </w:tc>
      </w:tr>
    </w:tbl>
    <w:p w14:paraId="596F34CE">
      <w:pPr>
        <w:pStyle w:val="2"/>
        <w:numPr>
          <w:ilvl w:val="0"/>
          <w:numId w:val="1"/>
        </w:numPr>
        <w:tabs>
          <w:tab w:val="left" w:pos="360"/>
        </w:tabs>
        <w:spacing w:before="0" w:after="0" w:line="360" w:lineRule="auto"/>
        <w:ind w:left="616" w:hanging="616"/>
        <w:jc w:val="left"/>
        <w:rPr>
          <w:rFonts w:ascii="仿宋" w:hAnsi="仿宋" w:eastAsia="仿宋" w:cs="Times New Roman"/>
          <w:bCs w:val="0"/>
          <w:color w:val="auto"/>
          <w:lang w:val="zh-CN"/>
        </w:rPr>
      </w:pPr>
      <w:r>
        <w:rPr>
          <w:rFonts w:hint="eastAsia" w:ascii="仿宋" w:hAnsi="仿宋" w:eastAsia="仿宋" w:cs="Times New Roman"/>
          <w:bCs w:val="0"/>
          <w:color w:val="auto"/>
          <w:lang w:val="en-US" w:eastAsia="zh-CN"/>
        </w:rPr>
        <w:t>采购需求</w:t>
      </w:r>
    </w:p>
    <w:p w14:paraId="13B7CF2A">
      <w:pPr>
        <w:pStyle w:val="10"/>
        <w:ind w:firstLine="0" w:firstLineChars="0"/>
        <w:rPr>
          <w:rFonts w:ascii="仿宋" w:hAnsi="仿宋" w:eastAsia="仿宋"/>
          <w:b/>
          <w:szCs w:val="24"/>
        </w:rPr>
      </w:pPr>
      <w:r>
        <w:rPr>
          <w:rFonts w:ascii="仿宋" w:hAnsi="仿宋" w:eastAsia="仿宋" w:cs="Arial"/>
          <w:b/>
          <w:szCs w:val="24"/>
        </w:rPr>
        <w:t>1、</w:t>
      </w:r>
      <w:r>
        <w:rPr>
          <w:rFonts w:ascii="仿宋" w:hAnsi="仿宋" w:eastAsia="仿宋"/>
          <w:b/>
          <w:szCs w:val="24"/>
        </w:rPr>
        <w:t>技术要求</w:t>
      </w:r>
    </w:p>
    <w:bookmarkEnd w:id="0"/>
    <w:tbl>
      <w:tblPr>
        <w:tblStyle w:val="7"/>
        <w:tblW w:w="5063" w:type="pct"/>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autofit"/>
        <w:tblCellMar>
          <w:top w:w="0" w:type="dxa"/>
          <w:left w:w="108" w:type="dxa"/>
          <w:bottom w:w="0" w:type="dxa"/>
          <w:right w:w="108" w:type="dxa"/>
        </w:tblCellMar>
      </w:tblPr>
      <w:tblGrid>
        <w:gridCol w:w="778"/>
        <w:gridCol w:w="1236"/>
        <w:gridCol w:w="6615"/>
      </w:tblGrid>
      <w:tr w14:paraId="7CC0C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007C7F07">
            <w:pPr>
              <w:pStyle w:val="3"/>
              <w:widowControl/>
              <w:spacing w:line="240" w:lineRule="atLeast"/>
              <w:ind w:firstLine="0" w:firstLineChars="0"/>
              <w:jc w:val="center"/>
              <w:rPr>
                <w:rFonts w:ascii="仿宋" w:hAnsi="仿宋" w:eastAsia="仿宋" w:cs="宋体"/>
                <w:sz w:val="24"/>
              </w:rPr>
            </w:pPr>
            <w:r>
              <w:rPr>
                <w:rFonts w:hint="eastAsia" w:ascii="仿宋" w:hAnsi="仿宋" w:eastAsia="仿宋" w:cs="宋体"/>
                <w:sz w:val="24"/>
              </w:rPr>
              <w:t>序号</w:t>
            </w:r>
          </w:p>
        </w:tc>
        <w:tc>
          <w:tcPr>
            <w:tcW w:w="716" w:type="pct"/>
            <w:shd w:val="clear" w:color="auto" w:fill="FFFFFF" w:themeFill="background1"/>
            <w:vAlign w:val="center"/>
          </w:tcPr>
          <w:p w14:paraId="2E29EC7E">
            <w:pPr>
              <w:pStyle w:val="3"/>
              <w:widowControl/>
              <w:spacing w:line="240" w:lineRule="atLeast"/>
              <w:ind w:firstLine="0" w:firstLineChars="0"/>
              <w:jc w:val="center"/>
              <w:rPr>
                <w:rFonts w:ascii="仿宋" w:hAnsi="仿宋" w:eastAsia="仿宋" w:cs="宋体"/>
                <w:sz w:val="24"/>
              </w:rPr>
            </w:pPr>
            <w:r>
              <w:rPr>
                <w:rFonts w:hint="eastAsia" w:ascii="仿宋" w:hAnsi="仿宋" w:eastAsia="仿宋" w:cs="宋体"/>
                <w:sz w:val="24"/>
              </w:rPr>
              <w:t>指标项</w:t>
            </w:r>
          </w:p>
        </w:tc>
        <w:tc>
          <w:tcPr>
            <w:tcW w:w="3832" w:type="pct"/>
            <w:shd w:val="clear" w:color="auto" w:fill="FFFFFF" w:themeFill="background1"/>
            <w:vAlign w:val="center"/>
          </w:tcPr>
          <w:p w14:paraId="63355606">
            <w:pPr>
              <w:pStyle w:val="3"/>
              <w:widowControl/>
              <w:spacing w:line="240" w:lineRule="atLeast"/>
              <w:ind w:firstLine="0" w:firstLineChars="0"/>
              <w:jc w:val="center"/>
              <w:rPr>
                <w:rFonts w:ascii="仿宋" w:hAnsi="仿宋" w:eastAsia="仿宋" w:cs="宋体"/>
                <w:sz w:val="24"/>
              </w:rPr>
            </w:pPr>
            <w:r>
              <w:rPr>
                <w:rFonts w:hint="eastAsia" w:ascii="仿宋" w:hAnsi="仿宋" w:eastAsia="仿宋" w:cs="宋体"/>
                <w:sz w:val="24"/>
              </w:rPr>
              <w:t>要求</w:t>
            </w:r>
          </w:p>
        </w:tc>
      </w:tr>
      <w:tr w14:paraId="2EA2A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6A427B04">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1</w:t>
            </w:r>
          </w:p>
        </w:tc>
        <w:tc>
          <w:tcPr>
            <w:tcW w:w="716" w:type="pct"/>
            <w:shd w:val="clear" w:color="auto" w:fill="FFFFFF" w:themeFill="background1"/>
            <w:vAlign w:val="center"/>
          </w:tcPr>
          <w:p w14:paraId="622CAA11">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咨询服务</w:t>
            </w:r>
          </w:p>
        </w:tc>
        <w:tc>
          <w:tcPr>
            <w:tcW w:w="3832" w:type="pct"/>
            <w:shd w:val="clear" w:color="auto" w:fill="FFFFFF" w:themeFill="background1"/>
            <w:vAlign w:val="center"/>
          </w:tcPr>
          <w:p w14:paraId="4CABBB98">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软件功能的应用咨询。若存在甲方所用病理系统有新的版本或有新的硬件部件可应用到系统上的情形，乙方应及时通知甲方，并根据具体情况为甲方提供操作系统的升级方案；</w:t>
            </w:r>
          </w:p>
        </w:tc>
      </w:tr>
      <w:tr w14:paraId="2F533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6E642EA2">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2</w:t>
            </w:r>
          </w:p>
        </w:tc>
        <w:tc>
          <w:tcPr>
            <w:tcW w:w="716" w:type="pct"/>
            <w:shd w:val="clear" w:color="auto" w:fill="FFFFFF" w:themeFill="background1"/>
            <w:vAlign w:val="center"/>
          </w:tcPr>
          <w:p w14:paraId="2A29BEF2">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日常维护</w:t>
            </w:r>
          </w:p>
        </w:tc>
        <w:tc>
          <w:tcPr>
            <w:tcW w:w="3832" w:type="pct"/>
            <w:shd w:val="clear" w:color="auto" w:fill="FFFFFF" w:themeFill="background1"/>
            <w:vAlign w:val="center"/>
          </w:tcPr>
          <w:p w14:paraId="74002641">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包括系统操作指导、因系统缺陷导致的各种BUG的修复、因误操作导致的数据错误维护等等；乙方指派专业维修人员为甲方提供售后服务；</w:t>
            </w:r>
          </w:p>
        </w:tc>
      </w:tr>
      <w:tr w14:paraId="6117B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3A1F0E29">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3</w:t>
            </w:r>
          </w:p>
        </w:tc>
        <w:tc>
          <w:tcPr>
            <w:tcW w:w="716" w:type="pct"/>
            <w:shd w:val="clear" w:color="auto" w:fill="FFFFFF" w:themeFill="background1"/>
            <w:vAlign w:val="center"/>
          </w:tcPr>
          <w:p w14:paraId="589BA77B">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需求变更</w:t>
            </w:r>
          </w:p>
        </w:tc>
        <w:tc>
          <w:tcPr>
            <w:tcW w:w="3832" w:type="pct"/>
            <w:shd w:val="clear" w:color="auto" w:fill="FFFFFF" w:themeFill="background1"/>
            <w:vAlign w:val="center"/>
          </w:tcPr>
          <w:p w14:paraId="1E0BDA8E">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已应用模块范围内的功能需求调整、修改（不包括涉及系统整体结构及模块结构改变的需求，总需求修改不超过3个工作日）；</w:t>
            </w:r>
          </w:p>
        </w:tc>
      </w:tr>
      <w:tr w14:paraId="30D24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90" w:hRule="atLeast"/>
        </w:trPr>
        <w:tc>
          <w:tcPr>
            <w:tcW w:w="451" w:type="pct"/>
            <w:shd w:val="clear" w:color="auto" w:fill="FFFFFF" w:themeFill="background1"/>
            <w:vAlign w:val="center"/>
          </w:tcPr>
          <w:p w14:paraId="387DE925">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4</w:t>
            </w:r>
          </w:p>
        </w:tc>
        <w:tc>
          <w:tcPr>
            <w:tcW w:w="716" w:type="pct"/>
            <w:shd w:val="clear" w:color="auto" w:fill="FFFFFF" w:themeFill="background1"/>
            <w:vAlign w:val="center"/>
          </w:tcPr>
          <w:p w14:paraId="342BD101">
            <w:pPr>
              <w:pStyle w:val="3"/>
              <w:widowControl/>
              <w:spacing w:line="240" w:lineRule="auto"/>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紧急情况</w:t>
            </w:r>
          </w:p>
        </w:tc>
        <w:tc>
          <w:tcPr>
            <w:tcW w:w="3832" w:type="pct"/>
            <w:shd w:val="clear" w:color="auto" w:fill="FFFFFF" w:themeFill="background1"/>
            <w:vAlign w:val="center"/>
          </w:tcPr>
          <w:p w14:paraId="4CEF631A">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甲方遇有突发紧急情况需要现场处理的，2小时内响应现场处理；</w:t>
            </w:r>
          </w:p>
          <w:p w14:paraId="6D1B4970">
            <w:pPr>
              <w:pStyle w:val="3"/>
              <w:widowControl/>
              <w:spacing w:line="240" w:lineRule="atLeast"/>
              <w:ind w:firstLine="0" w:firstLineChars="0"/>
              <w:jc w:val="left"/>
              <w:rPr>
                <w:rFonts w:hint="eastAsia" w:ascii="仿宋" w:hAnsi="仿宋" w:eastAsia="仿宋" w:cs="宋体"/>
                <w:sz w:val="24"/>
              </w:rPr>
            </w:pPr>
          </w:p>
        </w:tc>
      </w:tr>
      <w:tr w14:paraId="71395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626" w:hRule="atLeast"/>
        </w:trPr>
        <w:tc>
          <w:tcPr>
            <w:tcW w:w="451" w:type="pct"/>
            <w:shd w:val="clear" w:color="auto" w:fill="FFFFFF" w:themeFill="background1"/>
            <w:vAlign w:val="center"/>
          </w:tcPr>
          <w:p w14:paraId="34E3A947">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5</w:t>
            </w:r>
          </w:p>
        </w:tc>
        <w:tc>
          <w:tcPr>
            <w:tcW w:w="716" w:type="pct"/>
            <w:shd w:val="clear" w:color="auto" w:fill="FFFFFF" w:themeFill="background1"/>
            <w:vAlign w:val="center"/>
          </w:tcPr>
          <w:p w14:paraId="4228BE9C">
            <w:pPr>
              <w:pStyle w:val="3"/>
              <w:widowControl/>
              <w:spacing w:line="240" w:lineRule="auto"/>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数据恢复</w:t>
            </w:r>
          </w:p>
        </w:tc>
        <w:tc>
          <w:tcPr>
            <w:tcW w:w="3832" w:type="pct"/>
            <w:shd w:val="clear" w:color="auto" w:fill="FFFFFF" w:themeFill="background1"/>
            <w:vAlign w:val="center"/>
          </w:tcPr>
          <w:p w14:paraId="65D8F9FA">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因客户操作不当或其它原因导致病历中数据丢失，协助客户系统维护人员恢复病历数据。</w:t>
            </w:r>
          </w:p>
        </w:tc>
      </w:tr>
      <w:tr w14:paraId="64BBF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765429B3">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6</w:t>
            </w:r>
          </w:p>
        </w:tc>
        <w:tc>
          <w:tcPr>
            <w:tcW w:w="716" w:type="pct"/>
            <w:shd w:val="clear" w:color="auto" w:fill="FFFFFF" w:themeFill="background1"/>
            <w:vAlign w:val="center"/>
          </w:tcPr>
          <w:p w14:paraId="2B9D21D1">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数据调整</w:t>
            </w:r>
          </w:p>
        </w:tc>
        <w:tc>
          <w:tcPr>
            <w:tcW w:w="3832" w:type="pct"/>
            <w:shd w:val="clear" w:color="auto" w:fill="FFFFFF" w:themeFill="background1"/>
            <w:vAlign w:val="center"/>
          </w:tcPr>
          <w:p w14:paraId="3151505C">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因客户操作不当或其它原因造成患者数据出现部分或全部错误，协助客户系统维护人员进行数据调整；</w:t>
            </w:r>
          </w:p>
        </w:tc>
      </w:tr>
      <w:tr w14:paraId="205B5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53D701F2">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7</w:t>
            </w:r>
          </w:p>
        </w:tc>
        <w:tc>
          <w:tcPr>
            <w:tcW w:w="716" w:type="pct"/>
            <w:shd w:val="clear" w:color="auto" w:fill="FFFFFF" w:themeFill="background1"/>
            <w:vAlign w:val="center"/>
          </w:tcPr>
          <w:p w14:paraId="63D79149">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维护培训</w:t>
            </w:r>
          </w:p>
        </w:tc>
        <w:tc>
          <w:tcPr>
            <w:tcW w:w="3832" w:type="pct"/>
            <w:shd w:val="clear" w:color="auto" w:fill="FFFFFF" w:themeFill="background1"/>
            <w:vAlign w:val="center"/>
          </w:tcPr>
          <w:p w14:paraId="6EF93A0B">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因客户人员离职或岗位调动需要进行培训的系统维护人员；</w:t>
            </w:r>
          </w:p>
        </w:tc>
      </w:tr>
      <w:tr w14:paraId="4AACD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5558C66C">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8</w:t>
            </w:r>
          </w:p>
        </w:tc>
        <w:tc>
          <w:tcPr>
            <w:tcW w:w="716" w:type="pct"/>
            <w:shd w:val="clear" w:color="auto" w:fill="FFFFFF" w:themeFill="background1"/>
            <w:vAlign w:val="center"/>
          </w:tcPr>
          <w:p w14:paraId="306ED49B">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巡检服务</w:t>
            </w:r>
          </w:p>
        </w:tc>
        <w:tc>
          <w:tcPr>
            <w:tcW w:w="3832" w:type="pct"/>
            <w:shd w:val="clear" w:color="auto" w:fill="FFFFFF" w:themeFill="background1"/>
            <w:vAlign w:val="center"/>
          </w:tcPr>
          <w:p w14:paraId="6328FC1F">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每年2次到客户现场检查系统模块运行情况，与客户维护人员沟通，提供常见问题的解决办法；</w:t>
            </w:r>
          </w:p>
        </w:tc>
      </w:tr>
      <w:tr w14:paraId="59245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5065DF8A">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9</w:t>
            </w:r>
          </w:p>
        </w:tc>
        <w:tc>
          <w:tcPr>
            <w:tcW w:w="716" w:type="pct"/>
            <w:shd w:val="clear" w:color="auto" w:fill="FFFFFF" w:themeFill="background1"/>
            <w:vAlign w:val="center"/>
          </w:tcPr>
          <w:p w14:paraId="55ADE556">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电话技术支持服务</w:t>
            </w:r>
          </w:p>
        </w:tc>
        <w:tc>
          <w:tcPr>
            <w:tcW w:w="3832" w:type="pct"/>
            <w:shd w:val="clear" w:color="auto" w:fill="FFFFFF" w:themeFill="background1"/>
            <w:vAlign w:val="center"/>
          </w:tcPr>
          <w:p w14:paraId="581A5241">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提供7*24小时热线电话服务，工程师在线提供信息技术问题咨询和故障诊断。</w:t>
            </w:r>
          </w:p>
          <w:p w14:paraId="390C5F8C">
            <w:pPr>
              <w:pStyle w:val="3"/>
              <w:widowControl/>
              <w:spacing w:line="240" w:lineRule="atLeast"/>
              <w:ind w:firstLine="0" w:firstLineChars="0"/>
              <w:jc w:val="left"/>
              <w:rPr>
                <w:rFonts w:hint="eastAsia" w:ascii="仿宋" w:hAnsi="仿宋" w:eastAsia="仿宋" w:cs="宋体"/>
                <w:sz w:val="24"/>
              </w:rPr>
            </w:pPr>
          </w:p>
        </w:tc>
      </w:tr>
      <w:tr w14:paraId="59521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519C9718">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10</w:t>
            </w:r>
          </w:p>
        </w:tc>
        <w:tc>
          <w:tcPr>
            <w:tcW w:w="716" w:type="pct"/>
            <w:shd w:val="clear" w:color="auto" w:fill="FFFFFF" w:themeFill="background1"/>
            <w:vAlign w:val="center"/>
          </w:tcPr>
          <w:p w14:paraId="15550F3A">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网络在线、Email技术支持服务</w:t>
            </w:r>
          </w:p>
        </w:tc>
        <w:tc>
          <w:tcPr>
            <w:tcW w:w="3832" w:type="pct"/>
            <w:shd w:val="clear" w:color="auto" w:fill="FFFFFF" w:themeFill="background1"/>
            <w:vAlign w:val="center"/>
          </w:tcPr>
          <w:p w14:paraId="67FE46F9">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提供7*24小时网络在线、Email信息技术支持服务。</w:t>
            </w:r>
          </w:p>
        </w:tc>
      </w:tr>
      <w:tr w14:paraId="59C15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1C960346">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11</w:t>
            </w:r>
          </w:p>
        </w:tc>
        <w:tc>
          <w:tcPr>
            <w:tcW w:w="716" w:type="pct"/>
            <w:shd w:val="clear" w:color="auto" w:fill="FFFFFF" w:themeFill="background1"/>
            <w:vAlign w:val="center"/>
          </w:tcPr>
          <w:p w14:paraId="5AA1C458">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远程在线诊断和故障排除</w:t>
            </w:r>
          </w:p>
        </w:tc>
        <w:tc>
          <w:tcPr>
            <w:tcW w:w="3832" w:type="pct"/>
            <w:shd w:val="clear" w:color="auto" w:fill="FFFFFF" w:themeFill="background1"/>
            <w:vAlign w:val="center"/>
          </w:tcPr>
          <w:p w14:paraId="5338BDE0">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对于电话咨询无法解决的问题，经医院信息科授权我公司工程师可通过远程登录医院网络系统进行系统维护和故障排除。</w:t>
            </w:r>
          </w:p>
          <w:p w14:paraId="05A429B0">
            <w:pPr>
              <w:pStyle w:val="3"/>
              <w:widowControl/>
              <w:spacing w:line="240" w:lineRule="atLeast"/>
              <w:ind w:firstLine="0" w:firstLineChars="0"/>
              <w:jc w:val="left"/>
              <w:rPr>
                <w:rFonts w:hint="eastAsia" w:ascii="仿宋" w:hAnsi="仿宋" w:eastAsia="仿宋" w:cs="宋体"/>
                <w:sz w:val="24"/>
              </w:rPr>
            </w:pPr>
          </w:p>
        </w:tc>
      </w:tr>
      <w:tr w14:paraId="7722D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0C258DBA">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12</w:t>
            </w:r>
          </w:p>
        </w:tc>
        <w:tc>
          <w:tcPr>
            <w:tcW w:w="716" w:type="pct"/>
            <w:shd w:val="clear" w:color="auto" w:fill="FFFFFF" w:themeFill="background1"/>
            <w:vAlign w:val="center"/>
          </w:tcPr>
          <w:p w14:paraId="6CD90A02">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现场技术支持服务</w:t>
            </w:r>
          </w:p>
        </w:tc>
        <w:tc>
          <w:tcPr>
            <w:tcW w:w="3832" w:type="pct"/>
            <w:shd w:val="clear" w:color="auto" w:fill="FFFFFF" w:themeFill="background1"/>
            <w:vAlign w:val="center"/>
          </w:tcPr>
          <w:p w14:paraId="2B7F16A5">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对于电话、在线支持等方式无法解决的问题，根据医院的要求，我公司提供工程师现场故障诊断和排除服务，以确保系统能够尽快恢复运行。远程处理不了的问题24小时内上门服务。</w:t>
            </w:r>
          </w:p>
        </w:tc>
      </w:tr>
      <w:tr w14:paraId="6B97F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09497A95">
            <w:pPr>
              <w:pStyle w:val="3"/>
              <w:widowControl/>
              <w:spacing w:line="240" w:lineRule="atLeast"/>
              <w:ind w:firstLine="0" w:firstLineChars="0"/>
              <w:jc w:val="center"/>
              <w:rPr>
                <w:rFonts w:hint="eastAsia" w:ascii="仿宋" w:hAnsi="仿宋" w:eastAsia="仿宋" w:cs="宋体"/>
                <w:sz w:val="24"/>
              </w:rPr>
            </w:pPr>
            <w:r>
              <w:rPr>
                <w:rFonts w:hint="eastAsia" w:ascii="仿宋" w:hAnsi="仿宋" w:eastAsia="仿宋" w:cs="宋体"/>
                <w:sz w:val="24"/>
              </w:rPr>
              <w:t>13</w:t>
            </w:r>
          </w:p>
        </w:tc>
        <w:tc>
          <w:tcPr>
            <w:tcW w:w="716" w:type="pct"/>
            <w:shd w:val="clear" w:color="auto" w:fill="FFFFFF" w:themeFill="background1"/>
            <w:vAlign w:val="center"/>
          </w:tcPr>
          <w:p w14:paraId="238C1320">
            <w:pPr>
              <w:pStyle w:val="3"/>
              <w:widowControl/>
              <w:spacing w:line="240" w:lineRule="atLeast"/>
              <w:ind w:firstLine="0" w:firstLineChars="0"/>
              <w:jc w:val="left"/>
              <w:rPr>
                <w:rFonts w:hint="default" w:ascii="仿宋" w:hAnsi="仿宋" w:eastAsia="仿宋" w:cs="宋体"/>
                <w:sz w:val="24"/>
                <w:lang w:val="en-US" w:eastAsia="zh-CN"/>
              </w:rPr>
            </w:pPr>
            <w:r>
              <w:rPr>
                <w:rFonts w:hint="eastAsia" w:ascii="仿宋" w:hAnsi="仿宋" w:eastAsia="仿宋" w:cs="宋体"/>
                <w:sz w:val="24"/>
                <w:lang w:val="en-US" w:eastAsia="zh-CN"/>
              </w:rPr>
              <w:t>应急维护</w:t>
            </w:r>
          </w:p>
        </w:tc>
        <w:tc>
          <w:tcPr>
            <w:tcW w:w="3832" w:type="pct"/>
            <w:shd w:val="clear" w:color="auto" w:fill="FFFFFF" w:themeFill="background1"/>
            <w:vAlign w:val="center"/>
          </w:tcPr>
          <w:p w14:paraId="1520089C">
            <w:pPr>
              <w:pStyle w:val="3"/>
              <w:widowControl/>
              <w:spacing w:line="240" w:lineRule="atLeast"/>
              <w:ind w:firstLine="0" w:firstLineChars="0"/>
              <w:jc w:val="left"/>
              <w:rPr>
                <w:rFonts w:hint="eastAsia" w:ascii="仿宋" w:hAnsi="仿宋" w:eastAsia="仿宋" w:cs="宋体"/>
                <w:sz w:val="24"/>
              </w:rPr>
            </w:pPr>
            <w:r>
              <w:rPr>
                <w:rFonts w:hint="eastAsia" w:ascii="仿宋" w:hAnsi="仿宋" w:eastAsia="仿宋" w:cs="宋体"/>
                <w:sz w:val="24"/>
                <w:lang w:val="en-US" w:eastAsia="zh-CN"/>
              </w:rPr>
              <w:t>根据医院的实际情况，制定各种应急维护方案。</w:t>
            </w:r>
          </w:p>
        </w:tc>
      </w:tr>
      <w:tr w14:paraId="1026C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3E419632">
            <w:pPr>
              <w:pStyle w:val="3"/>
              <w:widowControl/>
              <w:spacing w:line="240" w:lineRule="atLeast"/>
              <w:ind w:firstLine="0" w:firstLineChars="0"/>
              <w:jc w:val="center"/>
              <w:rPr>
                <w:rFonts w:hint="default" w:ascii="仿宋" w:hAnsi="仿宋" w:eastAsia="仿宋" w:cs="宋体"/>
                <w:sz w:val="24"/>
                <w:lang w:val="en-US" w:eastAsia="zh-CN"/>
              </w:rPr>
            </w:pPr>
            <w:r>
              <w:rPr>
                <w:rFonts w:hint="eastAsia" w:ascii="仿宋" w:hAnsi="仿宋" w:eastAsia="仿宋" w:cs="宋体"/>
                <w:sz w:val="24"/>
                <w:lang w:val="en-US" w:eastAsia="zh-CN"/>
              </w:rPr>
              <w:t>14</w:t>
            </w:r>
          </w:p>
        </w:tc>
        <w:tc>
          <w:tcPr>
            <w:tcW w:w="716" w:type="pct"/>
            <w:shd w:val="clear" w:color="auto" w:fill="FFFFFF" w:themeFill="background1"/>
            <w:vAlign w:val="center"/>
          </w:tcPr>
          <w:p w14:paraId="3B242906">
            <w:pPr>
              <w:pStyle w:val="3"/>
              <w:widowControl/>
              <w:spacing w:line="240" w:lineRule="atLeast"/>
              <w:ind w:firstLine="0" w:firstLineChars="0"/>
              <w:jc w:val="left"/>
              <w:rPr>
                <w:rFonts w:hint="default" w:ascii="仿宋" w:hAnsi="仿宋" w:eastAsia="仿宋" w:cs="宋体"/>
                <w:sz w:val="24"/>
                <w:lang w:val="en-US" w:eastAsia="zh-CN"/>
              </w:rPr>
            </w:pPr>
            <w:r>
              <w:rPr>
                <w:rFonts w:hint="eastAsia" w:ascii="仿宋" w:hAnsi="仿宋" w:eastAsia="仿宋" w:cs="宋体"/>
                <w:sz w:val="24"/>
                <w:lang w:val="en-US" w:eastAsia="zh-CN"/>
              </w:rPr>
              <w:t>节假日工作支持</w:t>
            </w:r>
          </w:p>
        </w:tc>
        <w:tc>
          <w:tcPr>
            <w:tcW w:w="3832" w:type="pct"/>
            <w:shd w:val="clear" w:color="auto" w:fill="FFFFFF" w:themeFill="background1"/>
            <w:vAlign w:val="center"/>
          </w:tcPr>
          <w:p w14:paraId="59E7BBC8">
            <w:pPr>
              <w:pStyle w:val="3"/>
              <w:widowControl/>
              <w:spacing w:line="240" w:lineRule="atLeast"/>
              <w:ind w:firstLine="0" w:firstLineChars="0"/>
              <w:jc w:val="left"/>
              <w:rPr>
                <w:rFonts w:hint="eastAsia" w:ascii="仿宋" w:hAnsi="仿宋" w:eastAsia="仿宋" w:cs="宋体"/>
                <w:sz w:val="24"/>
                <w:lang w:val="en-US" w:eastAsia="zh-CN"/>
              </w:rPr>
            </w:pPr>
            <w:r>
              <w:rPr>
                <w:rFonts w:hint="eastAsia" w:ascii="仿宋" w:hAnsi="仿宋" w:eastAsia="仿宋" w:cs="宋体"/>
                <w:sz w:val="24"/>
                <w:lang w:val="en-US" w:eastAsia="zh-CN"/>
              </w:rPr>
              <w:t>响应医院要求，在大型节假日期间安排对应工程师线上值班，保证节假日病理管理系统的正常运行。节假日期间，工程师提供远程服务。</w:t>
            </w:r>
          </w:p>
        </w:tc>
      </w:tr>
      <w:tr w14:paraId="6DCA7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51" w:type="pct"/>
            <w:shd w:val="clear" w:color="auto" w:fill="FFFFFF" w:themeFill="background1"/>
            <w:vAlign w:val="center"/>
          </w:tcPr>
          <w:p w14:paraId="0AED1F20">
            <w:pPr>
              <w:pStyle w:val="3"/>
              <w:widowControl/>
              <w:spacing w:line="240" w:lineRule="atLeast"/>
              <w:ind w:firstLine="0" w:firstLineChars="0"/>
              <w:jc w:val="center"/>
              <w:rPr>
                <w:rFonts w:hint="default" w:ascii="仿宋" w:hAnsi="仿宋" w:eastAsia="仿宋" w:cs="宋体"/>
                <w:sz w:val="24"/>
                <w:lang w:val="en-US" w:eastAsia="zh-CN"/>
              </w:rPr>
            </w:pPr>
            <w:r>
              <w:rPr>
                <w:rFonts w:hint="eastAsia" w:ascii="仿宋" w:hAnsi="仿宋" w:eastAsia="仿宋" w:cs="宋体"/>
                <w:sz w:val="24"/>
                <w:lang w:val="en-US" w:eastAsia="zh-CN"/>
              </w:rPr>
              <w:t>15</w:t>
            </w:r>
          </w:p>
        </w:tc>
        <w:tc>
          <w:tcPr>
            <w:tcW w:w="716" w:type="pct"/>
            <w:shd w:val="clear" w:color="auto" w:fill="FFFFFF" w:themeFill="background1"/>
            <w:vAlign w:val="center"/>
          </w:tcPr>
          <w:p w14:paraId="1499D202">
            <w:pPr>
              <w:pStyle w:val="3"/>
              <w:widowControl/>
              <w:spacing w:line="240" w:lineRule="atLeast"/>
              <w:ind w:firstLine="0" w:firstLineChars="0"/>
              <w:jc w:val="left"/>
              <w:rPr>
                <w:rFonts w:hint="default" w:ascii="仿宋" w:hAnsi="仿宋" w:eastAsia="仿宋" w:cs="宋体"/>
                <w:sz w:val="24"/>
                <w:lang w:val="en-US" w:eastAsia="zh-CN"/>
              </w:rPr>
            </w:pPr>
            <w:r>
              <w:rPr>
                <w:rFonts w:hint="eastAsia" w:ascii="仿宋" w:hAnsi="仿宋" w:eastAsia="仿宋" w:cs="宋体"/>
                <w:sz w:val="24"/>
                <w:lang w:val="en-US" w:eastAsia="zh-CN"/>
              </w:rPr>
              <w:t>系统改造</w:t>
            </w:r>
          </w:p>
        </w:tc>
        <w:tc>
          <w:tcPr>
            <w:tcW w:w="3832" w:type="pct"/>
            <w:shd w:val="clear" w:color="auto" w:fill="FFFFFF" w:themeFill="background1"/>
            <w:vAlign w:val="center"/>
          </w:tcPr>
          <w:p w14:paraId="45DD4D09">
            <w:pPr>
              <w:pStyle w:val="3"/>
              <w:widowControl/>
              <w:spacing w:line="240" w:lineRule="atLeast"/>
              <w:ind w:firstLine="0" w:firstLineChars="0"/>
              <w:jc w:val="left"/>
              <w:rPr>
                <w:rFonts w:hint="default" w:ascii="仿宋" w:hAnsi="仿宋" w:eastAsia="仿宋" w:cs="宋体"/>
                <w:sz w:val="24"/>
                <w:lang w:val="en-US" w:eastAsia="zh-CN"/>
              </w:rPr>
            </w:pPr>
            <w:r>
              <w:rPr>
                <w:rFonts w:hint="eastAsia" w:ascii="仿宋" w:hAnsi="仿宋" w:eastAsia="仿宋" w:cs="宋体"/>
                <w:sz w:val="24"/>
                <w:lang w:val="en-US" w:eastAsia="zh-CN"/>
              </w:rPr>
              <w:t>根据用户需求对系统功能进行相应调整。</w:t>
            </w:r>
          </w:p>
        </w:tc>
      </w:tr>
    </w:tbl>
    <w:p w14:paraId="77A36042">
      <w:pPr>
        <w:rPr>
          <w:rFonts w:ascii="仿宋" w:hAnsi="仿宋" w:eastAsia="仿宋"/>
          <w:sz w:val="24"/>
          <w:szCs w:val="24"/>
        </w:rPr>
      </w:pPr>
    </w:p>
    <w:p w14:paraId="33C3BDA5">
      <w:pPr>
        <w:pStyle w:val="10"/>
        <w:ind w:firstLine="0" w:firstLineChars="0"/>
        <w:rPr>
          <w:rFonts w:hint="default" w:ascii="仿宋" w:hAnsi="仿宋" w:eastAsia="仿宋"/>
          <w:b/>
          <w:szCs w:val="24"/>
          <w:lang w:val="en-US" w:eastAsia="zh-CN"/>
        </w:rPr>
      </w:pPr>
      <w:r>
        <w:rPr>
          <w:rFonts w:ascii="仿宋" w:hAnsi="仿宋" w:eastAsia="仿宋" w:cs="Arial"/>
          <w:b/>
          <w:szCs w:val="24"/>
        </w:rPr>
        <w:t>2、</w:t>
      </w:r>
      <w:r>
        <w:rPr>
          <w:rFonts w:hint="eastAsia" w:ascii="仿宋" w:hAnsi="仿宋" w:eastAsia="仿宋" w:cs="Arial"/>
          <w:b/>
          <w:szCs w:val="24"/>
          <w:lang w:val="en-US" w:eastAsia="zh-CN"/>
        </w:rPr>
        <w:t>维保要求</w:t>
      </w:r>
    </w:p>
    <w:p w14:paraId="078AFF05">
      <w:pPr>
        <w:numPr>
          <w:ilvl w:val="-1"/>
          <w:numId w:val="0"/>
        </w:numPr>
        <w:bidi w:val="0"/>
        <w:spacing w:line="360" w:lineRule="auto"/>
        <w:ind w:left="0" w:firstLine="480" w:firstLineChars="200"/>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（1）</w:t>
      </w:r>
      <w:r>
        <w:rPr>
          <w:rFonts w:hint="eastAsia" w:ascii="宋体" w:hAnsi="宋体" w:eastAsia="宋体" w:cstheme="majorBidi"/>
          <w:b w:val="0"/>
          <w:bCs w:val="0"/>
          <w:kern w:val="2"/>
          <w:sz w:val="24"/>
          <w:szCs w:val="32"/>
          <w:vertAlign w:val="baseline"/>
          <w:lang w:val="en-US" w:eastAsia="zh-CN" w:bidi="ar-SA"/>
        </w:rPr>
        <w:t>电话技术支持服务：提供7*24小时热线电话服务，工程师在线提供信息技术问题咨询和故障诊断。</w:t>
      </w:r>
      <w:r>
        <w:rPr>
          <w:rFonts w:hint="eastAsia" w:ascii="仿宋" w:hAnsi="仿宋" w:eastAsia="仿宋" w:cs="仿宋"/>
          <w:sz w:val="24"/>
          <w:szCs w:val="24"/>
          <w:highlight w:val="yellow"/>
          <w:lang w:val="en-US" w:eastAsia="zh-CN"/>
        </w:rPr>
        <w:t>。</w:t>
      </w:r>
    </w:p>
    <w:p w14:paraId="188F8BC5">
      <w:pPr>
        <w:numPr>
          <w:ilvl w:val="-1"/>
          <w:numId w:val="0"/>
        </w:numPr>
        <w:spacing w:line="360" w:lineRule="auto"/>
        <w:ind w:left="0" w:firstLine="480" w:firstLineChars="200"/>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（2）</w:t>
      </w:r>
      <w:r>
        <w:rPr>
          <w:rFonts w:hint="eastAsia" w:ascii="宋体" w:hAnsi="宋体" w:eastAsia="宋体" w:cstheme="majorBidi"/>
          <w:b w:val="0"/>
          <w:bCs w:val="0"/>
          <w:kern w:val="2"/>
          <w:sz w:val="24"/>
          <w:szCs w:val="32"/>
          <w:vertAlign w:val="baseline"/>
          <w:lang w:val="en-US" w:eastAsia="zh-CN" w:bidi="ar-SA"/>
        </w:rPr>
        <w:t>网络在线、Email技术支持服务：提供7*24小时网络在线、Email信息技术支持服务</w:t>
      </w:r>
      <w:r>
        <w:rPr>
          <w:rFonts w:hint="eastAsia" w:ascii="仿宋" w:hAnsi="仿宋" w:eastAsia="仿宋" w:cs="仿宋"/>
          <w:sz w:val="24"/>
          <w:szCs w:val="24"/>
          <w:highlight w:val="yellow"/>
          <w:lang w:val="en-US" w:eastAsia="zh-CN"/>
        </w:rPr>
        <w:t>。</w:t>
      </w:r>
    </w:p>
    <w:p w14:paraId="31D6A032">
      <w:pPr>
        <w:numPr>
          <w:ilvl w:val="-1"/>
          <w:numId w:val="0"/>
        </w:numPr>
        <w:spacing w:line="360" w:lineRule="auto"/>
        <w:ind w:left="0" w:firstLine="420" w:firstLineChars="200"/>
        <w:outlineLvl w:val="9"/>
        <w:rPr>
          <w:rFonts w:hint="eastAsia" w:ascii="仿宋" w:hAnsi="仿宋" w:eastAsia="仿宋" w:cs="仿宋"/>
          <w:sz w:val="24"/>
          <w:szCs w:val="24"/>
          <w:highlight w:val="yellow"/>
          <w:lang w:val="en-US" w:eastAsia="zh-CN"/>
        </w:rPr>
      </w:pPr>
      <w:r>
        <w:rPr>
          <w:rFonts w:hint="eastAsia"/>
          <w:lang w:val="en-US" w:eastAsia="zh-CN"/>
        </w:rPr>
        <w:t xml:space="preserve"> </w:t>
      </w:r>
      <w:r>
        <w:rPr>
          <w:rFonts w:hint="eastAsia" w:ascii="仿宋" w:hAnsi="仿宋" w:eastAsia="仿宋" w:cs="仿宋"/>
          <w:sz w:val="24"/>
          <w:szCs w:val="24"/>
          <w:highlight w:val="yellow"/>
          <w:lang w:val="en-US" w:eastAsia="zh-CN"/>
        </w:rPr>
        <w:t>（3）</w:t>
      </w:r>
      <w:r>
        <w:rPr>
          <w:rFonts w:hint="eastAsia"/>
          <w:lang w:val="en-US" w:eastAsia="zh-CN"/>
        </w:rPr>
        <w:t xml:space="preserve"> </w:t>
      </w:r>
      <w:r>
        <w:rPr>
          <w:rFonts w:hint="eastAsia" w:ascii="仿宋" w:hAnsi="仿宋" w:eastAsia="仿宋" w:cs="仿宋"/>
          <w:sz w:val="24"/>
          <w:szCs w:val="24"/>
          <w:highlight w:val="yellow"/>
          <w:lang w:val="en-US" w:eastAsia="zh-CN"/>
        </w:rPr>
        <w:t>远程在线诊断和故障排除：对于电话咨询无法解决的问题，经医院信息科授权我公司工程师可通过远程登录医院网络系统进行系统维护和故障排除。</w:t>
      </w:r>
    </w:p>
    <w:p w14:paraId="555C09DC">
      <w:pPr>
        <w:numPr>
          <w:ilvl w:val="-1"/>
          <w:numId w:val="0"/>
        </w:numPr>
        <w:spacing w:line="360" w:lineRule="auto"/>
        <w:ind w:left="0" w:firstLine="480" w:firstLineChars="200"/>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（4）现场技术支持服务：对于电话、在线支持等方式无法解决的问题，根据医院的要求，我公司提供工程师现场故障诊断和排除服务，以确保系统能够尽快恢复运行。远程处理不了的问题24小时内上门服务。</w:t>
      </w:r>
    </w:p>
    <w:p w14:paraId="71681FA6">
      <w:pPr>
        <w:numPr>
          <w:ilvl w:val="-1"/>
          <w:numId w:val="0"/>
        </w:numPr>
        <w:spacing w:line="360" w:lineRule="auto"/>
        <w:ind w:left="0" w:firstLine="480" w:firstLineChars="200"/>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（5）根据医院的实际情况，制定各种应急维护方案。</w:t>
      </w:r>
    </w:p>
    <w:p w14:paraId="2181B1F0">
      <w:pPr>
        <w:numPr>
          <w:ilvl w:val="-1"/>
          <w:numId w:val="0"/>
        </w:numPr>
        <w:spacing w:line="360" w:lineRule="auto"/>
        <w:ind w:left="0" w:firstLine="480" w:firstLineChars="200"/>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（6）巡检服务：每年2次到客户现场检查系统模块运行情况，与客户维护人员沟通，提供常见问题的解决办法；</w:t>
      </w:r>
    </w:p>
    <w:p w14:paraId="3A0840D9">
      <w:pPr>
        <w:numPr>
          <w:ilvl w:val="-1"/>
          <w:numId w:val="0"/>
        </w:numPr>
        <w:spacing w:line="360" w:lineRule="auto"/>
        <w:ind w:left="0" w:firstLine="480" w:firstLineChars="200"/>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yellow"/>
          <w:lang w:val="en-US" w:eastAsia="zh-CN"/>
        </w:rPr>
        <w:t>（7）响应医院要求，在大型节假日期间安排对应工程师线上值班，保证节假日病理管理系统的正常运行。节假日期间，工程师提供远程服务。</w:t>
      </w:r>
    </w:p>
    <w:p w14:paraId="467CFE68">
      <w:pPr>
        <w:numPr>
          <w:ilvl w:val="-1"/>
          <w:numId w:val="0"/>
        </w:numPr>
        <w:spacing w:line="360" w:lineRule="auto"/>
        <w:ind w:left="0" w:firstLine="420" w:firstLineChars="200"/>
        <w:outlineLvl w:val="9"/>
        <w:rPr>
          <w:rFonts w:hint="default"/>
          <w:highlight w:val="yellow"/>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E5779A"/>
    <w:multiLevelType w:val="multilevel"/>
    <w:tmpl w:val="0BE5779A"/>
    <w:lvl w:ilvl="0" w:tentative="0">
      <w:start w:val="1"/>
      <w:numFmt w:val="decimal"/>
      <w:lvlText w:val="%1"/>
      <w:lvlJc w:val="left"/>
      <w:pPr>
        <w:ind w:left="420"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36853BA"/>
    <w:multiLevelType w:val="multilevel"/>
    <w:tmpl w:val="336853BA"/>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kMmIyMDM4NjU2OTUyYmFmMGFiOTc2OTI0ZGY3Y2UifQ=="/>
  </w:docVars>
  <w:rsids>
    <w:rsidRoot w:val="5E96776E"/>
    <w:rsid w:val="000C5A0F"/>
    <w:rsid w:val="0C6E02C3"/>
    <w:rsid w:val="16A3726F"/>
    <w:rsid w:val="186C311D"/>
    <w:rsid w:val="1E2A40E0"/>
    <w:rsid w:val="20C22534"/>
    <w:rsid w:val="23B343B6"/>
    <w:rsid w:val="2B824F1D"/>
    <w:rsid w:val="2BCB356A"/>
    <w:rsid w:val="2EBF62CD"/>
    <w:rsid w:val="36173AB9"/>
    <w:rsid w:val="38F87EDC"/>
    <w:rsid w:val="3B095180"/>
    <w:rsid w:val="3B0C0B24"/>
    <w:rsid w:val="428E0070"/>
    <w:rsid w:val="469A649A"/>
    <w:rsid w:val="482D7A1F"/>
    <w:rsid w:val="4C472CCC"/>
    <w:rsid w:val="4F6076BA"/>
    <w:rsid w:val="53084F8A"/>
    <w:rsid w:val="546E2616"/>
    <w:rsid w:val="5E6F2E7E"/>
    <w:rsid w:val="5E96776E"/>
    <w:rsid w:val="5F820FCF"/>
    <w:rsid w:val="677C11CD"/>
    <w:rsid w:val="71FF3ED6"/>
    <w:rsid w:val="75A77847"/>
    <w:rsid w:val="7A5C5351"/>
    <w:rsid w:val="7FAB23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宋体" w:cs="Times New Roman"/>
      <w:sz w:val="21"/>
      <w:szCs w:val="21"/>
      <w:lang w:val="en-US" w:eastAsia="zh-CN" w:bidi="ar-SA"/>
    </w:rPr>
  </w:style>
  <w:style w:type="paragraph" w:styleId="2">
    <w:name w:val="heading 2"/>
    <w:basedOn w:val="1"/>
    <w:next w:val="1"/>
    <w:unhideWhenUsed/>
    <w:qFormat/>
    <w:uiPriority w:val="9"/>
    <w:pPr>
      <w:widowControl w:val="0"/>
      <w:spacing w:before="200" w:after="200" w:line="300" w:lineRule="exact"/>
      <w:jc w:val="center"/>
      <w:outlineLvl w:val="1"/>
    </w:pPr>
    <w:rPr>
      <w:rFonts w:ascii="宋体" w:hAnsi="宋体" w:cstheme="majorBidi"/>
      <w:b/>
      <w:bCs/>
      <w:iCs/>
      <w:color w:val="000000" w:themeColor="text1"/>
      <w:kern w:val="2"/>
      <w:sz w:val="28"/>
      <w:szCs w:val="28"/>
      <w14:textFill>
        <w14:solidFill>
          <w14:schemeClr w14:val="tx1"/>
        </w14:solidFill>
      </w14:textFill>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0"/>
    <w:pPr>
      <w:widowControl w:val="0"/>
      <w:ind w:firstLine="420" w:firstLineChars="200"/>
    </w:pPr>
    <w:rPr>
      <w:kern w:val="2"/>
      <w:szCs w:val="24"/>
    </w:rPr>
  </w:style>
  <w:style w:type="paragraph" w:styleId="4">
    <w:name w:val="annotation text"/>
    <w:basedOn w:val="1"/>
    <w:qFormat/>
    <w:uiPriority w:val="0"/>
    <w:pPr>
      <w:jc w:val="left"/>
    </w:pPr>
  </w:style>
  <w:style w:type="paragraph" w:styleId="5">
    <w:name w:val="Body Text"/>
    <w:basedOn w:val="1"/>
    <w:qFormat/>
    <w:uiPriority w:val="99"/>
    <w:pPr>
      <w:widowControl/>
      <w:jc w:val="left"/>
    </w:pPr>
    <w:rPr>
      <w:rFonts w:ascii="Arial" w:hAnsi="Arial" w:eastAsia="宋体" w:cs="Times New Roman"/>
      <w:kern w:val="0"/>
      <w:sz w:val="20"/>
      <w:szCs w:val="20"/>
      <w:lang w:val="de-DE" w:eastAsia="en-US"/>
    </w:rPr>
  </w:style>
  <w:style w:type="paragraph" w:styleId="6">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character" w:styleId="9">
    <w:name w:val="Hyperlink"/>
    <w:basedOn w:val="8"/>
    <w:qFormat/>
    <w:uiPriority w:val="0"/>
    <w:rPr>
      <w:color w:val="0000FF"/>
      <w:u w:val="single"/>
    </w:rPr>
  </w:style>
  <w:style w:type="paragraph" w:customStyle="1" w:styleId="10">
    <w:name w:val="*正文"/>
    <w:basedOn w:val="1"/>
    <w:qFormat/>
    <w:uiPriority w:val="0"/>
    <w:pPr>
      <w:spacing w:line="300" w:lineRule="auto"/>
      <w:ind w:firstLine="480" w:firstLineChars="200"/>
    </w:pPr>
    <w:rPr>
      <w:rFonts w:ascii="宋体" w:hAnsi="宋体"/>
      <w:sz w:val="24"/>
    </w:r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1778</Words>
  <Characters>1832</Characters>
  <Lines>0</Lines>
  <Paragraphs>0</Paragraphs>
  <TotalTime>895</TotalTime>
  <ScaleCrop>false</ScaleCrop>
  <LinksUpToDate>false</LinksUpToDate>
  <CharactersWithSpaces>1875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2023-05-16T07:55:00Z</dcterms:created>
  <dc:creator>WPS</dc:creator>
  <cp:lastModifiedBy>桂明</cp:lastModifiedBy>
  <dcterms:modified xsi:type="dcterms:W3CDTF">2025-12-31T03:02:51Z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FC8163459953406398E782E4152E86FD_13</vt:lpwstr>
  </property>
  <property fmtid="{D5CDD505-2E9C-101B-9397-08002B2CF9AE}" pid="4" name="KSOTemplateDocerSaveRecord">
    <vt:lpwstr>eyJoZGlkIjoiMzlmMDI2MjJkZTk1YTZmYWVmMjlmYzNmOTZhMmRlZjIiLCJ1c2VySWQiOiIxNjk2OTc0NjU2In0=</vt:lpwstr>
  </property>
</Properties>
</file>