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eastAsia"/>
        </w:rPr>
      </w:pP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保障信息中心办公点及四维空间网络专线畅通运行，</w:t>
      </w:r>
      <w:r>
        <w:rPr>
          <w:rFonts w:hint="eastAsia" w:ascii="仿宋_GB2312" w:hAnsi="仿宋_GB2312" w:eastAsia="仿宋_GB2312" w:cs="仿宋_GB2312"/>
          <w:sz w:val="32"/>
          <w:szCs w:val="32"/>
        </w:rPr>
        <w:t>进一步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支撑局信息化办公</w:t>
      </w:r>
      <w:r>
        <w:rPr>
          <w:rFonts w:hint="eastAsia" w:ascii="仿宋_GB2312" w:hAnsi="仿宋_GB2312" w:eastAsia="仿宋_GB2312" w:cs="仿宋_GB2312"/>
          <w:sz w:val="32"/>
          <w:szCs w:val="32"/>
        </w:rPr>
        <w:t>能力，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需对以上网络进行运行维护，具体需求如下：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二、项目建设内容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网络运行质量稳定，丢包率、时延、误码率符合政企专网运行标准，全年网络可用率不低于 99.9%。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 支持网络策略调整、性能调优及后续平滑扩容，具备良好的扩展性与兼容性。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 提供 7×24 小时全网实时监测、故障值守与技术支撑服务。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 故障快速响应处置，重大故障及时抢修恢复，保障业务不中断。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. 常态化开展月度巡检、季度运行分析、预防性维护及性能优化。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. 配备专属对接运维人员，全程负责问题处置、整改优化、验收配合及台账资料整理。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931735"/>
    <w:rsid w:val="384B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2026-05-25T06:25:00Z</dcterms:created>
  <dc:creator>15071</dc:creator>
  <cp:lastModifiedBy>夏奕扬</cp:lastModifiedBy>
  <dcterms:modified xsi:type="dcterms:W3CDTF">2026-05-25T06:49:14Z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ICV">
    <vt:lpwstr>D99362DECFFC42428F0C4C3C9E4655E6</vt:lpwstr>
  </property>
</Properties>
</file>