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CCFFCC"/>
  <w:body>
    <w:p>
      <w:pPr>
        <w:jc w:val="center"/>
        <w:rPr>
          <w:rFonts w:hint="eastAsia" w:ascii="黑体" w:hAnsi="黑体" w:eastAsia="黑体"/>
          <w:sz w:val="32"/>
          <w:lang w:val="en-US" w:eastAsia="zh-CN"/>
        </w:rPr>
      </w:pPr>
      <w:r>
        <w:rPr>
          <w:rFonts w:hint="eastAsia" w:ascii="黑体" w:hAnsi="黑体" w:eastAsia="黑体"/>
          <w:sz w:val="32"/>
          <w:lang w:val="en-US" w:eastAsia="zh-CN"/>
        </w:rPr>
        <w:t>2026年度</w:t>
      </w:r>
      <w:r>
        <w:rPr>
          <w:rFonts w:hint="eastAsia" w:ascii="黑体" w:hAnsi="黑体" w:eastAsia="黑体"/>
          <w:sz w:val="32"/>
        </w:rPr>
        <w:t>线上武汉人大平台</w:t>
      </w:r>
      <w:r>
        <w:rPr>
          <w:rFonts w:hint="eastAsia" w:ascii="黑体" w:hAnsi="黑体" w:eastAsia="黑体"/>
          <w:sz w:val="32"/>
          <w:lang w:val="en-US" w:eastAsia="zh-CN"/>
        </w:rPr>
        <w:t>运维服务</w:t>
      </w:r>
    </w:p>
    <w:p>
      <w:pPr>
        <w:jc w:val="center"/>
        <w:rPr>
          <w:rFonts w:ascii="黑体" w:hAnsi="黑体" w:eastAsia="黑体"/>
          <w:sz w:val="32"/>
        </w:rPr>
      </w:pPr>
      <w:r>
        <w:rPr>
          <w:rFonts w:hint="eastAsia" w:ascii="黑体" w:hAnsi="黑体" w:eastAsia="黑体"/>
          <w:sz w:val="32"/>
        </w:rPr>
        <w:t>技术规格及要求</w:t>
      </w:r>
    </w:p>
    <w:p>
      <w:pPr>
        <w:spacing w:line="360" w:lineRule="auto"/>
        <w:ind w:firstLine="511" w:firstLineChars="213"/>
        <w:rPr>
          <w:rFonts w:ascii="黑体" w:hAnsi="黑体" w:eastAsia="黑体"/>
          <w:sz w:val="24"/>
          <w:szCs w:val="24"/>
        </w:rPr>
      </w:pPr>
      <w:r>
        <w:rPr>
          <w:rFonts w:hint="eastAsia" w:ascii="黑体" w:hAnsi="黑体" w:eastAsia="黑体"/>
          <w:sz w:val="24"/>
          <w:szCs w:val="24"/>
        </w:rPr>
        <w:t>一、项目概况</w:t>
      </w:r>
    </w:p>
    <w:p>
      <w:pPr>
        <w:spacing w:line="360" w:lineRule="auto"/>
        <w:ind w:firstLine="480" w:firstLineChars="200"/>
        <w:rPr>
          <w:rFonts w:ascii="仿宋_GB2312" w:eastAsia="仿宋_GB2312"/>
          <w:sz w:val="24"/>
          <w:szCs w:val="24"/>
        </w:rPr>
      </w:pPr>
      <w:r>
        <w:rPr>
          <w:rFonts w:hint="eastAsia" w:ascii="仿宋_GB2312" w:eastAsia="仿宋_GB2312"/>
          <w:sz w:val="24"/>
          <w:szCs w:val="24"/>
        </w:rPr>
        <w:t>服务内容：</w:t>
      </w:r>
    </w:p>
    <w:p>
      <w:pPr>
        <w:numPr>
          <w:ilvl w:val="0"/>
          <w:numId w:val="1"/>
        </w:numPr>
        <w:spacing w:line="360" w:lineRule="auto"/>
        <w:ind w:firstLine="480" w:firstLineChars="200"/>
        <w:rPr>
          <w:rFonts w:hint="eastAsia" w:ascii="仿宋_GB2312" w:eastAsia="仿宋_GB2312"/>
          <w:sz w:val="24"/>
          <w:szCs w:val="24"/>
        </w:rPr>
      </w:pPr>
      <w:r>
        <w:rPr>
          <w:rFonts w:hint="eastAsia" w:ascii="仿宋_GB2312" w:eastAsia="仿宋_GB2312"/>
          <w:sz w:val="24"/>
          <w:szCs w:val="24"/>
        </w:rPr>
        <w:t>软件维护服务（</w:t>
      </w:r>
      <w:r>
        <w:rPr>
          <w:rFonts w:hint="eastAsia" w:ascii="仿宋_GB2312" w:eastAsia="仿宋_GB2312"/>
          <w:sz w:val="24"/>
          <w:szCs w:val="24"/>
          <w:lang w:eastAsia="zh-CN"/>
        </w:rPr>
        <w:t>“</w:t>
      </w:r>
      <w:r>
        <w:rPr>
          <w:rFonts w:hint="eastAsia" w:ascii="仿宋_GB2312" w:eastAsia="仿宋_GB2312"/>
          <w:sz w:val="24"/>
          <w:szCs w:val="24"/>
          <w:lang w:val="en-US" w:eastAsia="zh-CN"/>
        </w:rPr>
        <w:t>线上武汉人大</w:t>
      </w:r>
      <w:bookmarkStart w:id="0" w:name="_GoBack"/>
      <w:r>
        <w:rPr>
          <w:rFonts w:hint="eastAsia" w:ascii="仿宋_GB2312" w:eastAsia="仿宋_GB2312"/>
          <w:sz w:val="24"/>
          <w:szCs w:val="24"/>
          <w:lang w:eastAsia="zh-CN"/>
        </w:rPr>
        <w:t>”</w:t>
      </w:r>
      <w:bookmarkEnd w:id="0"/>
      <w:r>
        <w:rPr>
          <w:rFonts w:hint="eastAsia" w:ascii="仿宋_GB2312" w:eastAsia="仿宋_GB2312"/>
          <w:sz w:val="24"/>
          <w:szCs w:val="24"/>
          <w:lang w:val="en-US" w:eastAsia="zh-CN"/>
        </w:rPr>
        <w:t>平台及其子系统、</w:t>
      </w:r>
      <w:r>
        <w:rPr>
          <w:rFonts w:hint="eastAsia" w:ascii="仿宋_GB2312" w:eastAsia="仿宋_GB2312"/>
          <w:sz w:val="24"/>
          <w:szCs w:val="24"/>
        </w:rPr>
        <w:t>“线上武汉人大</w:t>
      </w:r>
      <w:r>
        <w:rPr>
          <w:rFonts w:hint="eastAsia" w:ascii="仿宋_GB2312" w:eastAsia="仿宋_GB2312"/>
          <w:sz w:val="24"/>
          <w:szCs w:val="24"/>
          <w:lang w:eastAsia="zh-CN"/>
        </w:rPr>
        <w:t>”</w:t>
      </w:r>
      <w:r>
        <w:rPr>
          <w:rFonts w:hint="eastAsia" w:ascii="仿宋_GB2312" w:eastAsia="仿宋_GB2312"/>
          <w:sz w:val="24"/>
          <w:szCs w:val="24"/>
        </w:rPr>
        <w:t>移动端、邮件系统、人大综合应用系统</w:t>
      </w:r>
      <w:r>
        <w:rPr>
          <w:rFonts w:hint="eastAsia" w:ascii="仿宋_GB2312" w:eastAsia="仿宋_GB2312"/>
          <w:sz w:val="24"/>
          <w:szCs w:val="24"/>
          <w:lang w:eastAsia="zh-CN"/>
        </w:rPr>
        <w:t>、</w:t>
      </w:r>
      <w:r>
        <w:rPr>
          <w:rFonts w:hint="eastAsia" w:ascii="仿宋_GB2312" w:eastAsia="仿宋_GB2312"/>
          <w:sz w:val="24"/>
          <w:szCs w:val="24"/>
        </w:rPr>
        <w:t>数据库</w:t>
      </w:r>
      <w:r>
        <w:rPr>
          <w:rFonts w:hint="eastAsia" w:ascii="仿宋_GB2312" w:eastAsia="仿宋_GB2312"/>
          <w:sz w:val="24"/>
          <w:szCs w:val="24"/>
          <w:lang w:eastAsia="zh-CN"/>
        </w:rPr>
        <w:t>、</w:t>
      </w:r>
      <w:r>
        <w:rPr>
          <w:rFonts w:hint="eastAsia" w:ascii="仿宋_GB2312" w:eastAsia="仿宋_GB2312"/>
          <w:sz w:val="24"/>
          <w:szCs w:val="24"/>
          <w:lang w:val="en-US" w:eastAsia="zh-CN"/>
        </w:rPr>
        <w:t>系统</w:t>
      </w:r>
      <w:r>
        <w:rPr>
          <w:rFonts w:hint="eastAsia" w:ascii="仿宋_GB2312" w:eastAsia="仿宋_GB2312"/>
          <w:sz w:val="24"/>
          <w:szCs w:val="24"/>
        </w:rPr>
        <w:t>接口</w:t>
      </w:r>
      <w:r>
        <w:rPr>
          <w:rFonts w:hint="eastAsia" w:ascii="仿宋_GB2312" w:eastAsia="仿宋_GB2312"/>
          <w:sz w:val="24"/>
          <w:szCs w:val="24"/>
          <w:lang w:val="en-US" w:eastAsia="zh-CN"/>
        </w:rPr>
        <w:t>维护、集成及技术咨询等服务</w:t>
      </w:r>
      <w:r>
        <w:rPr>
          <w:rFonts w:hint="eastAsia" w:ascii="仿宋_GB2312" w:eastAsia="仿宋_GB2312"/>
          <w:sz w:val="24"/>
          <w:szCs w:val="24"/>
        </w:rPr>
        <w:t>）。</w:t>
      </w:r>
    </w:p>
    <w:p>
      <w:pPr>
        <w:numPr>
          <w:ilvl w:val="0"/>
          <w:numId w:val="1"/>
        </w:numPr>
        <w:spacing w:line="360" w:lineRule="auto"/>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US" w:eastAsia="zh-CN"/>
        </w:rPr>
        <w:t>会议现场软件使用服务（保障常委会会议电子化阅文，包括软件更新、文件下载、技术咨询等现场服务）。</w:t>
      </w:r>
    </w:p>
    <w:p>
      <w:pPr>
        <w:spacing w:line="360" w:lineRule="auto"/>
        <w:ind w:firstLine="480" w:firstLineChars="200"/>
        <w:rPr>
          <w:rFonts w:ascii="仿宋_GB2312" w:eastAsia="仿宋_GB2312"/>
          <w:sz w:val="24"/>
          <w:szCs w:val="24"/>
        </w:rPr>
      </w:pPr>
      <w:r>
        <w:rPr>
          <w:rFonts w:hint="eastAsia" w:ascii="仿宋_GB2312" w:eastAsia="仿宋_GB2312"/>
          <w:sz w:val="24"/>
          <w:szCs w:val="24"/>
        </w:rPr>
        <w:t>服务级别：中标人提供远程维护和上门维护、定期巡查服务、技术服务，根据故障类型、故障级别派发到维护单位工程师在正常工作日8:30～17:30期间2小时到达现场，其余期间3小时到达现场。</w:t>
      </w:r>
    </w:p>
    <w:p>
      <w:pPr>
        <w:spacing w:line="360" w:lineRule="auto"/>
        <w:ind w:firstLine="480" w:firstLineChars="200"/>
        <w:rPr>
          <w:rFonts w:ascii="仿宋_GB2312" w:eastAsia="仿宋_GB2312"/>
          <w:sz w:val="24"/>
          <w:szCs w:val="24"/>
        </w:rPr>
      </w:pPr>
      <w:r>
        <w:rPr>
          <w:rFonts w:hint="eastAsia" w:ascii="仿宋_GB2312" w:eastAsia="仿宋_GB2312"/>
          <w:sz w:val="24"/>
          <w:szCs w:val="24"/>
        </w:rPr>
        <w:t>服务周期：</w:t>
      </w:r>
      <w:r>
        <w:rPr>
          <w:rFonts w:hint="eastAsia" w:ascii="仿宋_GB2312" w:eastAsia="仿宋_GB2312"/>
          <w:sz w:val="24"/>
          <w:szCs w:val="24"/>
          <w:lang w:val="en-US" w:eastAsia="zh-CN"/>
        </w:rPr>
        <w:t>2026年全年</w:t>
      </w:r>
      <w:r>
        <w:rPr>
          <w:rFonts w:hint="eastAsia" w:ascii="仿宋_GB2312" w:eastAsia="仿宋_GB2312"/>
          <w:sz w:val="24"/>
          <w:szCs w:val="24"/>
        </w:rPr>
        <w:t>。</w:t>
      </w:r>
    </w:p>
    <w:p>
      <w:pPr>
        <w:spacing w:line="360" w:lineRule="auto"/>
        <w:ind w:firstLine="480" w:firstLineChars="200"/>
        <w:rPr>
          <w:rFonts w:ascii="仿宋_GB2312" w:eastAsia="仿宋_GB2312"/>
          <w:sz w:val="24"/>
          <w:szCs w:val="24"/>
        </w:rPr>
      </w:pPr>
      <w:r>
        <w:rPr>
          <w:rFonts w:hint="eastAsia" w:ascii="仿宋_GB2312" w:eastAsia="仿宋_GB2312"/>
          <w:sz w:val="24"/>
          <w:szCs w:val="24"/>
        </w:rPr>
        <w:t>服务地点：武汉市人大常委会机关（江岸区沿江大道</w:t>
      </w:r>
      <w:r>
        <w:rPr>
          <w:rFonts w:ascii="仿宋_GB2312" w:eastAsia="仿宋_GB2312"/>
          <w:sz w:val="24"/>
          <w:szCs w:val="24"/>
        </w:rPr>
        <w:t>222</w:t>
      </w:r>
      <w:r>
        <w:rPr>
          <w:rFonts w:hint="eastAsia" w:ascii="仿宋_GB2312" w:eastAsia="仿宋_GB2312"/>
          <w:sz w:val="24"/>
          <w:szCs w:val="24"/>
        </w:rPr>
        <w:t>号）。</w:t>
      </w:r>
    </w:p>
    <w:p>
      <w:pPr>
        <w:spacing w:line="360" w:lineRule="auto"/>
        <w:ind w:firstLine="480" w:firstLineChars="200"/>
        <w:rPr>
          <w:rFonts w:ascii="仿宋_GB2312" w:eastAsia="仿宋_GB2312"/>
          <w:sz w:val="24"/>
          <w:szCs w:val="24"/>
        </w:rPr>
      </w:pPr>
      <w:r>
        <w:rPr>
          <w:rFonts w:hint="eastAsia" w:ascii="仿宋_GB2312" w:eastAsia="仿宋_GB2312"/>
          <w:sz w:val="24"/>
          <w:szCs w:val="24"/>
        </w:rPr>
        <w:t>项目预算：不超过</w:t>
      </w:r>
      <w:r>
        <w:rPr>
          <w:rFonts w:hint="eastAsia" w:ascii="仿宋_GB2312" w:eastAsia="仿宋_GB2312"/>
          <w:sz w:val="24"/>
          <w:szCs w:val="24"/>
          <w:lang w:val="en-US" w:eastAsia="zh-CN"/>
        </w:rPr>
        <w:t>23.6</w:t>
      </w:r>
      <w:r>
        <w:rPr>
          <w:rFonts w:hint="eastAsia" w:ascii="仿宋_GB2312" w:eastAsia="仿宋_GB2312"/>
          <w:sz w:val="24"/>
          <w:szCs w:val="24"/>
        </w:rPr>
        <w:t>万元。</w:t>
      </w:r>
    </w:p>
    <w:p>
      <w:pPr>
        <w:spacing w:line="360" w:lineRule="auto"/>
        <w:ind w:firstLine="480" w:firstLineChars="200"/>
        <w:rPr>
          <w:rFonts w:ascii="黑体" w:hAnsi="黑体" w:eastAsia="黑体"/>
        </w:rPr>
      </w:pPr>
      <w:r>
        <w:rPr>
          <w:rFonts w:hint="eastAsia" w:ascii="仿宋_GB2312" w:eastAsia="仿宋_GB2312"/>
          <w:sz w:val="24"/>
          <w:szCs w:val="24"/>
        </w:rPr>
        <w:t>付款方式：中标后另行商定。</w:t>
      </w:r>
    </w:p>
    <w:p>
      <w:pPr>
        <w:spacing w:line="360" w:lineRule="auto"/>
        <w:ind w:firstLine="511" w:firstLineChars="213"/>
        <w:rPr>
          <w:rFonts w:ascii="黑体" w:hAnsi="黑体" w:eastAsia="黑体"/>
          <w:sz w:val="24"/>
          <w:szCs w:val="24"/>
        </w:rPr>
      </w:pPr>
      <w:r>
        <w:rPr>
          <w:rFonts w:hint="eastAsia" w:ascii="黑体" w:hAnsi="黑体" w:eastAsia="黑体"/>
          <w:sz w:val="24"/>
          <w:szCs w:val="24"/>
        </w:rPr>
        <w:t>二、技术要求</w:t>
      </w:r>
    </w:p>
    <w:p>
      <w:pPr>
        <w:spacing w:line="360" w:lineRule="auto"/>
        <w:ind w:firstLine="480" w:firstLineChars="200"/>
        <w:rPr>
          <w:rFonts w:ascii="仿宋_GB2312" w:eastAsia="仿宋_GB2312"/>
          <w:sz w:val="24"/>
          <w:szCs w:val="24"/>
        </w:rPr>
      </w:pPr>
      <w:r>
        <w:rPr>
          <w:rFonts w:hint="eastAsia" w:ascii="仿宋_GB2312" w:eastAsia="仿宋_GB2312"/>
          <w:sz w:val="24"/>
          <w:szCs w:val="24"/>
        </w:rPr>
        <w:t>1、系统平台须接入政务外网。</w:t>
      </w:r>
    </w:p>
    <w:p>
      <w:pPr>
        <w:spacing w:line="360" w:lineRule="auto"/>
        <w:ind w:firstLine="480" w:firstLineChars="200"/>
        <w:rPr>
          <w:rFonts w:ascii="仿宋_GB2312" w:eastAsia="仿宋_GB2312"/>
          <w:sz w:val="24"/>
          <w:szCs w:val="24"/>
        </w:rPr>
      </w:pPr>
      <w:r>
        <w:rPr>
          <w:rFonts w:hint="eastAsia" w:ascii="仿宋_GB2312" w:eastAsia="仿宋_GB2312"/>
          <w:sz w:val="24"/>
          <w:szCs w:val="24"/>
        </w:rPr>
        <w:t>2</w:t>
      </w:r>
      <w:r>
        <w:rPr>
          <w:rFonts w:ascii="仿宋_GB2312" w:eastAsia="仿宋_GB2312"/>
          <w:sz w:val="24"/>
          <w:szCs w:val="24"/>
        </w:rPr>
        <w:t>、</w:t>
      </w:r>
      <w:r>
        <w:rPr>
          <w:rFonts w:hint="eastAsia" w:ascii="仿宋_GB2312" w:eastAsia="仿宋_GB2312"/>
          <w:sz w:val="24"/>
          <w:szCs w:val="24"/>
        </w:rPr>
        <w:t>系统应提供完善的数据备份，以及数据恢复策略，保证数据不丢失，出现故障时能够迅速恢复。</w:t>
      </w:r>
    </w:p>
    <w:p>
      <w:pPr>
        <w:spacing w:line="360" w:lineRule="auto"/>
        <w:ind w:firstLine="480" w:firstLineChars="200"/>
        <w:rPr>
          <w:rFonts w:ascii="仿宋_GB2312" w:eastAsia="仿宋_GB2312"/>
          <w:sz w:val="24"/>
          <w:szCs w:val="24"/>
        </w:rPr>
      </w:pPr>
      <w:r>
        <w:rPr>
          <w:rFonts w:hint="eastAsia" w:ascii="仿宋_GB2312" w:eastAsia="仿宋_GB2312"/>
          <w:sz w:val="24"/>
          <w:szCs w:val="24"/>
        </w:rPr>
        <w:t>3</w:t>
      </w:r>
      <w:r>
        <w:rPr>
          <w:rFonts w:ascii="仿宋_GB2312" w:eastAsia="仿宋_GB2312"/>
          <w:sz w:val="24"/>
          <w:szCs w:val="24"/>
        </w:rPr>
        <w:t>、</w:t>
      </w:r>
      <w:r>
        <w:rPr>
          <w:rFonts w:hint="eastAsia" w:ascii="仿宋_GB2312" w:eastAsia="仿宋_GB2312"/>
          <w:sz w:val="24"/>
          <w:szCs w:val="24"/>
        </w:rPr>
        <w:t>需提供系统日志记录等，记录本项目所开发之系统及后台操作人员使用情形与异常轨迹。</w:t>
      </w:r>
      <w:r>
        <w:rPr>
          <w:rFonts w:ascii="仿宋_GB2312" w:eastAsia="仿宋_GB2312"/>
          <w:sz w:val="24"/>
          <w:szCs w:val="24"/>
        </w:rPr>
        <w:t xml:space="preserve"> </w:t>
      </w:r>
    </w:p>
    <w:p>
      <w:pPr>
        <w:spacing w:line="360" w:lineRule="auto"/>
        <w:ind w:firstLine="480" w:firstLineChars="200"/>
        <w:rPr>
          <w:rFonts w:ascii="仿宋_GB2312" w:eastAsia="仿宋_GB2312"/>
          <w:sz w:val="24"/>
          <w:szCs w:val="24"/>
        </w:rPr>
      </w:pPr>
      <w:r>
        <w:rPr>
          <w:rFonts w:hint="eastAsia" w:ascii="仿宋_GB2312" w:eastAsia="仿宋_GB2312"/>
          <w:sz w:val="24"/>
          <w:szCs w:val="24"/>
        </w:rPr>
        <w:t>４</w:t>
      </w:r>
      <w:r>
        <w:rPr>
          <w:rFonts w:ascii="仿宋_GB2312" w:eastAsia="仿宋_GB2312"/>
          <w:sz w:val="24"/>
          <w:szCs w:val="24"/>
        </w:rPr>
        <w:t>、</w:t>
      </w:r>
      <w:r>
        <w:rPr>
          <w:rFonts w:hint="eastAsia" w:ascii="仿宋_GB2312" w:eastAsia="仿宋_GB2312"/>
          <w:sz w:val="24"/>
          <w:szCs w:val="24"/>
        </w:rPr>
        <w:t>系统应具备静态过负荷控制和动态过负荷控制两种过负荷控制的能力，能根据</w:t>
      </w:r>
      <w:r>
        <w:rPr>
          <w:rFonts w:ascii="仿宋_GB2312" w:eastAsia="仿宋_GB2312"/>
          <w:sz w:val="24"/>
          <w:szCs w:val="24"/>
        </w:rPr>
        <w:t>CPU</w:t>
      </w:r>
      <w:r>
        <w:rPr>
          <w:rFonts w:hint="eastAsia" w:ascii="仿宋_GB2312" w:eastAsia="仿宋_GB2312"/>
          <w:sz w:val="24"/>
          <w:szCs w:val="24"/>
        </w:rPr>
        <w:t>、内存、处理能力进行过负荷控制；</w:t>
      </w:r>
    </w:p>
    <w:p>
      <w:pPr>
        <w:spacing w:line="360" w:lineRule="auto"/>
        <w:ind w:firstLine="480" w:firstLineChars="200"/>
        <w:rPr>
          <w:rFonts w:ascii="仿宋_GB2312" w:eastAsia="仿宋_GB2312"/>
          <w:sz w:val="24"/>
          <w:szCs w:val="24"/>
        </w:rPr>
      </w:pPr>
      <w:r>
        <w:rPr>
          <w:rFonts w:hint="eastAsia" w:ascii="仿宋_GB2312" w:eastAsia="仿宋_GB2312"/>
          <w:sz w:val="24"/>
          <w:szCs w:val="24"/>
        </w:rPr>
        <w:t>５</w:t>
      </w:r>
      <w:r>
        <w:rPr>
          <w:rFonts w:ascii="仿宋_GB2312" w:eastAsia="仿宋_GB2312"/>
          <w:sz w:val="24"/>
          <w:szCs w:val="24"/>
        </w:rPr>
        <w:t>、</w:t>
      </w:r>
      <w:r>
        <w:rPr>
          <w:rFonts w:hint="eastAsia" w:ascii="仿宋_GB2312" w:eastAsia="仿宋_GB2312"/>
          <w:sz w:val="24"/>
          <w:szCs w:val="24"/>
        </w:rPr>
        <w:t>数据分析中数据使用安全：设立健全的角色权限机制，制定严格的数据安全管理及加密措施，如：操作日志记录操作员的关键操作流程。</w:t>
      </w:r>
    </w:p>
    <w:p>
      <w:pPr>
        <w:spacing w:line="360" w:lineRule="auto"/>
        <w:ind w:firstLine="511" w:firstLineChars="213"/>
        <w:rPr>
          <w:rFonts w:ascii="黑体" w:hAnsi="黑体" w:eastAsia="黑体"/>
          <w:sz w:val="24"/>
          <w:szCs w:val="24"/>
        </w:rPr>
      </w:pPr>
      <w:r>
        <w:rPr>
          <w:rFonts w:hint="eastAsia" w:ascii="黑体" w:hAnsi="黑体" w:eastAsia="黑体"/>
          <w:sz w:val="24"/>
          <w:szCs w:val="24"/>
        </w:rPr>
        <w:t>三、功能模块维护需求</w:t>
      </w:r>
    </w:p>
    <w:p>
      <w:pPr>
        <w:tabs>
          <w:tab w:val="left" w:pos="0"/>
        </w:tabs>
        <w:spacing w:line="360" w:lineRule="auto"/>
        <w:ind w:firstLine="484" w:firstLineChars="202"/>
        <w:rPr>
          <w:rFonts w:ascii="仿宋_GB2312" w:eastAsia="仿宋_GB2312"/>
          <w:sz w:val="24"/>
          <w:szCs w:val="24"/>
        </w:rPr>
      </w:pPr>
      <w:r>
        <w:rPr>
          <w:rFonts w:hint="eastAsia" w:ascii="仿宋_GB2312" w:eastAsia="仿宋_GB2312"/>
          <w:sz w:val="24"/>
          <w:szCs w:val="24"/>
        </w:rPr>
        <w:t>（一）对外接口服务维护：系统提供一套标准的对外服务接口（含PC端和移动端）；</w:t>
      </w:r>
    </w:p>
    <w:p>
      <w:pPr>
        <w:tabs>
          <w:tab w:val="left" w:pos="0"/>
        </w:tabs>
        <w:spacing w:line="360" w:lineRule="auto"/>
        <w:ind w:firstLine="484" w:firstLineChars="202"/>
        <w:rPr>
          <w:rFonts w:ascii="仿宋_GB2312" w:eastAsia="仿宋_GB2312"/>
          <w:sz w:val="24"/>
          <w:szCs w:val="24"/>
        </w:rPr>
      </w:pPr>
      <w:r>
        <w:rPr>
          <w:rFonts w:hint="eastAsia" w:ascii="仿宋_GB2312" w:eastAsia="仿宋_GB2312"/>
          <w:sz w:val="24"/>
          <w:szCs w:val="24"/>
        </w:rPr>
        <w:t>（二）后台服务维护：系统提供后台管理页面，能够对系统接入权限管理、人员管理、页面搭建等；</w:t>
      </w:r>
    </w:p>
    <w:p>
      <w:pPr>
        <w:tabs>
          <w:tab w:val="left" w:pos="0"/>
        </w:tabs>
        <w:spacing w:line="360" w:lineRule="auto"/>
        <w:ind w:firstLine="484" w:firstLineChars="202"/>
        <w:rPr>
          <w:rFonts w:ascii="仿宋_GB2312" w:eastAsia="仿宋_GB2312"/>
          <w:sz w:val="24"/>
          <w:szCs w:val="24"/>
        </w:rPr>
      </w:pPr>
      <w:r>
        <w:rPr>
          <w:rFonts w:hint="eastAsia" w:ascii="仿宋_GB2312" w:eastAsia="仿宋_GB2312"/>
          <w:sz w:val="24"/>
          <w:szCs w:val="24"/>
        </w:rPr>
        <w:t>（三）各功能模块运行维护服务：满足各级领导、人大代表和工作人员通过PC端或手机端根据自身权限开展会务管理、文档管理、资源管理、人员管理等工作。</w:t>
      </w:r>
    </w:p>
    <w:p>
      <w:pPr>
        <w:tabs>
          <w:tab w:val="left" w:pos="0"/>
        </w:tabs>
        <w:spacing w:line="360" w:lineRule="auto"/>
        <w:ind w:firstLine="484" w:firstLineChars="202"/>
        <w:rPr>
          <w:rFonts w:ascii="仿宋_GB2312" w:eastAsia="仿宋_GB2312"/>
          <w:sz w:val="24"/>
          <w:szCs w:val="24"/>
        </w:rPr>
      </w:pPr>
      <w:r>
        <w:rPr>
          <w:rFonts w:hint="eastAsia" w:ascii="仿宋_GB2312" w:eastAsia="仿宋_GB2312"/>
          <w:sz w:val="24"/>
          <w:szCs w:val="24"/>
        </w:rPr>
        <w:t>（五）统一身份认证服务：</w:t>
      </w:r>
      <w:r>
        <w:rPr>
          <w:rFonts w:ascii="仿宋_GB2312" w:eastAsia="仿宋_GB2312"/>
          <w:sz w:val="24"/>
          <w:szCs w:val="24"/>
        </w:rPr>
        <w:t>建立统一的用户管理、身份配给和身份认证体系，实现全部应用的单点登录，实现用户身份和权限的动态同步，加强信息安全预警和审计，提高系统可用性、安全性和用户使用的方便性。</w:t>
      </w:r>
    </w:p>
    <w:p>
      <w:pPr>
        <w:tabs>
          <w:tab w:val="left" w:pos="0"/>
        </w:tabs>
        <w:spacing w:line="360" w:lineRule="auto"/>
        <w:ind w:firstLine="484" w:firstLineChars="202"/>
        <w:rPr>
          <w:rFonts w:ascii="黑体" w:hAnsi="黑体" w:eastAsia="黑体"/>
          <w:sz w:val="24"/>
          <w:szCs w:val="24"/>
        </w:rPr>
      </w:pPr>
      <w:r>
        <w:rPr>
          <w:rFonts w:hint="eastAsia" w:ascii="黑体" w:hAnsi="黑体" w:eastAsia="黑体"/>
          <w:sz w:val="24"/>
          <w:szCs w:val="24"/>
        </w:rPr>
        <w:t>四、供应商资格要求</w:t>
      </w:r>
    </w:p>
    <w:p>
      <w:pPr>
        <w:spacing w:line="360" w:lineRule="auto"/>
        <w:rPr>
          <w:rFonts w:ascii="仿宋_GB2312" w:eastAsia="仿宋_GB2312"/>
          <w:color w:val="000000"/>
          <w:sz w:val="24"/>
          <w:szCs w:val="24"/>
        </w:rPr>
      </w:pPr>
      <w:r>
        <w:rPr>
          <w:rFonts w:hint="eastAsia" w:ascii="仿宋_GB2312" w:eastAsia="仿宋_GB2312"/>
          <w:color w:val="000000"/>
          <w:sz w:val="24"/>
          <w:szCs w:val="24"/>
        </w:rPr>
        <w:t>　　（一）谈判供应商须符合《中华人民共和国政府采购法》第二十二条的要求。</w:t>
      </w:r>
    </w:p>
    <w:p>
      <w:pPr>
        <w:spacing w:line="360" w:lineRule="auto"/>
        <w:rPr>
          <w:rFonts w:ascii="仿宋_GB2312" w:eastAsia="仿宋_GB2312"/>
          <w:color w:val="000000"/>
          <w:sz w:val="24"/>
          <w:szCs w:val="24"/>
        </w:rPr>
      </w:pPr>
      <w:r>
        <w:rPr>
          <w:rFonts w:hint="eastAsia" w:ascii="仿宋_GB2312" w:eastAsia="仿宋_GB2312"/>
          <w:color w:val="000000"/>
          <w:sz w:val="24"/>
          <w:szCs w:val="24"/>
        </w:rPr>
        <w:t>　　（二）武汉市内必须有稳定的可服务于本项目的技术支持和售后服务机构。</w:t>
      </w:r>
    </w:p>
    <w:p>
      <w:pPr>
        <w:spacing w:line="360" w:lineRule="auto"/>
        <w:rPr>
          <w:rFonts w:ascii="仿宋_GB2312" w:eastAsia="仿宋_GB2312"/>
          <w:color w:val="000000"/>
          <w:sz w:val="24"/>
          <w:szCs w:val="24"/>
        </w:rPr>
      </w:pPr>
      <w:r>
        <w:rPr>
          <w:rFonts w:hint="eastAsia" w:ascii="仿宋_GB2312" w:eastAsia="仿宋_GB2312"/>
          <w:color w:val="000000"/>
          <w:sz w:val="24"/>
          <w:szCs w:val="24"/>
        </w:rPr>
        <w:t>　　（三）三年内在经营活动中没有重大违法记录。</w:t>
      </w:r>
    </w:p>
    <w:p>
      <w:pPr>
        <w:spacing w:line="360" w:lineRule="auto"/>
      </w:pPr>
      <w:r>
        <w:rPr>
          <w:rFonts w:hint="eastAsia" w:ascii="仿宋_GB2312" w:eastAsia="仿宋_GB2312"/>
          <w:color w:val="000000"/>
          <w:sz w:val="24"/>
          <w:szCs w:val="24"/>
        </w:rPr>
        <w:t>　　（四）本项目不接受联合体投标。</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F0E2DC"/>
    <w:multiLevelType w:val="singleLevel"/>
    <w:tmpl w:val="45F0E2D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NhMjc5OWI1NzUyNzJlYTMwNTYxNTQ0YTAyZjM4NTUifQ=="/>
  </w:docVars>
  <w:rsids>
    <w:rsidRoot w:val="00F702EE"/>
    <w:rsid w:val="00020FBC"/>
    <w:rsid w:val="001F1E08"/>
    <w:rsid w:val="00214C57"/>
    <w:rsid w:val="0024537E"/>
    <w:rsid w:val="002E732D"/>
    <w:rsid w:val="0037231C"/>
    <w:rsid w:val="00373CD0"/>
    <w:rsid w:val="00373F16"/>
    <w:rsid w:val="00382B57"/>
    <w:rsid w:val="003C29C9"/>
    <w:rsid w:val="004736AF"/>
    <w:rsid w:val="00494E13"/>
    <w:rsid w:val="004B04E5"/>
    <w:rsid w:val="004B06C3"/>
    <w:rsid w:val="00501A6E"/>
    <w:rsid w:val="00582A55"/>
    <w:rsid w:val="00585308"/>
    <w:rsid w:val="005B2C6A"/>
    <w:rsid w:val="0060690F"/>
    <w:rsid w:val="0062388D"/>
    <w:rsid w:val="00666722"/>
    <w:rsid w:val="006A6BDC"/>
    <w:rsid w:val="006C3275"/>
    <w:rsid w:val="006D2B5F"/>
    <w:rsid w:val="00701640"/>
    <w:rsid w:val="00773788"/>
    <w:rsid w:val="00821B21"/>
    <w:rsid w:val="0088789C"/>
    <w:rsid w:val="008A06DD"/>
    <w:rsid w:val="00924497"/>
    <w:rsid w:val="009264CE"/>
    <w:rsid w:val="00930CDA"/>
    <w:rsid w:val="009A05E7"/>
    <w:rsid w:val="009D58D6"/>
    <w:rsid w:val="009D5C69"/>
    <w:rsid w:val="00A0663F"/>
    <w:rsid w:val="00A135AC"/>
    <w:rsid w:val="00A36525"/>
    <w:rsid w:val="00A55218"/>
    <w:rsid w:val="00A74EBA"/>
    <w:rsid w:val="00A8698C"/>
    <w:rsid w:val="00AA63F1"/>
    <w:rsid w:val="00AC55BB"/>
    <w:rsid w:val="00AD7A0C"/>
    <w:rsid w:val="00B25AB1"/>
    <w:rsid w:val="00B336F5"/>
    <w:rsid w:val="00B65E92"/>
    <w:rsid w:val="00B823AF"/>
    <w:rsid w:val="00B854B0"/>
    <w:rsid w:val="00BA0E0D"/>
    <w:rsid w:val="00BA2586"/>
    <w:rsid w:val="00BC6867"/>
    <w:rsid w:val="00C2295D"/>
    <w:rsid w:val="00C8606D"/>
    <w:rsid w:val="00CC3789"/>
    <w:rsid w:val="00CE3F3B"/>
    <w:rsid w:val="00D0090F"/>
    <w:rsid w:val="00D029E0"/>
    <w:rsid w:val="00D13F8C"/>
    <w:rsid w:val="00D2261A"/>
    <w:rsid w:val="00D32B59"/>
    <w:rsid w:val="00DD1C41"/>
    <w:rsid w:val="00E4726E"/>
    <w:rsid w:val="00E77D4E"/>
    <w:rsid w:val="00EB1C8A"/>
    <w:rsid w:val="00EC6854"/>
    <w:rsid w:val="00F0188A"/>
    <w:rsid w:val="00F059C1"/>
    <w:rsid w:val="00F12464"/>
    <w:rsid w:val="00F234A2"/>
    <w:rsid w:val="00F23EC6"/>
    <w:rsid w:val="00F433E6"/>
    <w:rsid w:val="00F61C24"/>
    <w:rsid w:val="00F702EE"/>
    <w:rsid w:val="00F8011C"/>
    <w:rsid w:val="00F9468A"/>
    <w:rsid w:val="00FA238A"/>
    <w:rsid w:val="00FC03C7"/>
    <w:rsid w:val="12673FD0"/>
    <w:rsid w:val="1BA222D2"/>
    <w:rsid w:val="1C32009D"/>
    <w:rsid w:val="1DAB45A7"/>
    <w:rsid w:val="2BA14F32"/>
    <w:rsid w:val="2C891ED6"/>
    <w:rsid w:val="2E336166"/>
    <w:rsid w:val="357356A5"/>
    <w:rsid w:val="3A812AAD"/>
    <w:rsid w:val="3DFF042A"/>
    <w:rsid w:val="3F110292"/>
    <w:rsid w:val="413C6AAC"/>
    <w:rsid w:val="47A715FD"/>
    <w:rsid w:val="62C10AFA"/>
    <w:rsid w:val="71D530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Times New Roman" w:eastAsia="等线" w:cs="Arial"/>
      <w:kern w:val="2"/>
      <w:sz w:val="21"/>
      <w:szCs w:val="22"/>
      <w:lang w:val="en-US" w:eastAsia="zh-CN" w:bidi="ar-SA"/>
    </w:rPr>
  </w:style>
  <w:style w:type="character" w:default="1" w:styleId="5">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5"/>
    <w:link w:val="4"/>
    <w:qFormat/>
    <w:uiPriority w:val="99"/>
    <w:rPr>
      <w:rFonts w:ascii="等线" w:hAnsi="Times New Roman" w:eastAsia="等线" w:cs="Arial"/>
      <w:sz w:val="18"/>
      <w:szCs w:val="18"/>
    </w:rPr>
  </w:style>
  <w:style w:type="character" w:customStyle="1" w:styleId="8">
    <w:name w:val="页脚 Char"/>
    <w:basedOn w:val="5"/>
    <w:link w:val="3"/>
    <w:qFormat/>
    <w:uiPriority w:val="99"/>
    <w:rPr>
      <w:rFonts w:ascii="等线" w:hAnsi="Times New Roman" w:eastAsia="等线" w:cs="Arial"/>
      <w:sz w:val="18"/>
      <w:szCs w:val="18"/>
    </w:rPr>
  </w:style>
  <w:style w:type="character" w:customStyle="1" w:styleId="9">
    <w:name w:val="批注框文本 Char"/>
    <w:basedOn w:val="5"/>
    <w:link w:val="2"/>
    <w:semiHidden/>
    <w:qFormat/>
    <w:uiPriority w:val="99"/>
    <w:rPr>
      <w:rFonts w:ascii="等线" w:hAnsi="Times New Roman" w:eastAsia="等线" w:cs="Arial"/>
      <w:kern w:val="2"/>
      <w:sz w:val="18"/>
      <w:szCs w:val="18"/>
    </w:rPr>
  </w:style>
  <w:style w:type="paragraph" w:styleId="10">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2</Pages>
  <Words>147</Words>
  <Characters>842</Characters>
  <Lines>7</Lines>
  <Paragraphs>1</Paragraphs>
  <TotalTime>0</TotalTime>
  <ScaleCrop>false</ScaleCrop>
  <LinksUpToDate>false</LinksUpToDate>
  <CharactersWithSpaces>988</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2022-06-21T12:13:00Z</dcterms:created>
  <dc:creator>user</dc:creator>
  <cp:lastModifiedBy>hp</cp:lastModifiedBy>
  <cp:lastPrinted>2025-12-19T02:27:00Z</cp:lastPrinted>
  <dcterms:modified xsi:type="dcterms:W3CDTF">2025-12-25T08:53:07Z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y fmtid="{D5CDD505-2E9C-101B-9397-08002B2CF9AE}" pid="3" name="ICV">
    <vt:lpwstr>0B818E09AF6F4C93B33A0538A52701BE_12</vt:lpwstr>
  </property>
</Properties>
</file>