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C7142">
      <w:pPr>
        <w:pStyle w:val="2"/>
        <w:numPr>
          <w:ilvl w:val="0"/>
          <w:numId w:val="0"/>
        </w:numPr>
        <w:overflowPunct w:val="0"/>
        <w:spacing w:before="0" w:after="0" w:line="660" w:lineRule="exact"/>
        <w:jc w:val="center"/>
        <w:rPr>
          <w:rFonts w:ascii="方正小标宋简体" w:hAnsi="方正小标宋简体" w:eastAsia="方正小标宋简体" w:cs="方正小标宋简体"/>
          <w:b w:val="0"/>
          <w:bCs w:val="0"/>
          <w:sz w:val="36"/>
          <w:szCs w:val="36"/>
        </w:rPr>
      </w:pPr>
      <w:bookmarkStart w:id="0" w:name="_Toc29317"/>
      <w:bookmarkStart w:id="1" w:name="_Toc4936006"/>
      <w:bookmarkStart w:id="2" w:name="_Toc19176098"/>
      <w:r>
        <w:rPr>
          <w:rFonts w:hint="eastAsia" w:ascii="方正小标宋简体" w:hAnsi="方正小标宋简体" w:eastAsia="方正小标宋简体" w:cs="方正小标宋简体"/>
          <w:b w:val="0"/>
          <w:bCs w:val="0"/>
          <w:sz w:val="36"/>
          <w:szCs w:val="36"/>
        </w:rPr>
        <w:t>武汉教育大数据体系（教育综合管理）建设项目</w:t>
      </w:r>
    </w:p>
    <w:p w14:paraId="06996338">
      <w:pPr>
        <w:pStyle w:val="2"/>
        <w:keepNext/>
        <w:keepLines/>
        <w:pageBreakBefore w:val="0"/>
        <w:widowControl w:val="0"/>
        <w:numPr>
          <w:ilvl w:val="0"/>
          <w:numId w:val="0"/>
        </w:numPr>
        <w:kinsoku/>
        <w:wordWrap/>
        <w:overflowPunct w:val="0"/>
        <w:topLinePunct w:val="0"/>
        <w:autoSpaceDE/>
        <w:autoSpaceDN/>
        <w:bidi w:val="0"/>
        <w:adjustRightInd/>
        <w:snapToGrid/>
        <w:spacing w:before="0" w:after="157" w:afterLines="50" w:line="660" w:lineRule="exact"/>
        <w:jc w:val="center"/>
        <w:textAlignment w:val="auto"/>
        <w:rPr>
          <w:rFonts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第三方软件检测服务采购需求</w:t>
      </w:r>
    </w:p>
    <w:p w14:paraId="22CBDC1F">
      <w:pPr>
        <w:pStyle w:val="2"/>
        <w:numPr>
          <w:ilvl w:val="0"/>
          <w:numId w:val="2"/>
        </w:numPr>
        <w:overflowPunct w:val="0"/>
        <w:spacing w:line="480" w:lineRule="exact"/>
        <w:ind w:firstLine="560" w:firstLineChars="200"/>
        <w:rPr>
          <w:rFonts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项目概况与采购内容</w:t>
      </w:r>
    </w:p>
    <w:p w14:paraId="2F653E2B">
      <w:pPr>
        <w:pStyle w:val="3"/>
        <w:numPr>
          <w:ilvl w:val="0"/>
          <w:numId w:val="3"/>
        </w:numPr>
        <w:overflowPunct w:val="0"/>
        <w:spacing w:line="480" w:lineRule="exact"/>
        <w:ind w:firstLine="498" w:firstLineChars="178"/>
        <w:rPr>
          <w:rFonts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项目概况</w:t>
      </w:r>
    </w:p>
    <w:p w14:paraId="036B6ECD">
      <w:pPr>
        <w:tabs>
          <w:tab w:val="left" w:pos="0"/>
          <w:tab w:val="left" w:pos="993"/>
          <w:tab w:val="left" w:pos="1713"/>
        </w:tabs>
        <w:overflowPunct w:val="0"/>
        <w:spacing w:line="480" w:lineRule="exact"/>
        <w:ind w:firstLine="560" w:firstLineChars="200"/>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武汉教育大数据体系(教育综合管理)项目需建设包括中小学校发展素质教育考核评价、教育装备综合管理、教育管理调度等应用，城市数字公共基础设施(数字地图)、大模型教育指标体系分析知识库、</w:t>
      </w:r>
      <w:bookmarkStart w:id="16" w:name="_GoBack"/>
      <w:bookmarkEnd w:id="16"/>
      <w:r>
        <w:rPr>
          <w:rFonts w:ascii="方正仿宋_GBK" w:hAnsi="方正仿宋_GBK" w:eastAsia="方正仿宋_GBK" w:cs="方正仿宋_GBK"/>
          <w:sz w:val="28"/>
          <w:szCs w:val="28"/>
        </w:rPr>
        <w:t>数据治理等服务</w:t>
      </w:r>
      <w:r>
        <w:rPr>
          <w:rFonts w:hint="eastAsia" w:ascii="方正仿宋_GBK" w:hAnsi="方正仿宋_GBK" w:eastAsia="方正仿宋_GBK" w:cs="方正仿宋_GBK"/>
          <w:sz w:val="28"/>
          <w:szCs w:val="28"/>
        </w:rPr>
        <w:t>，建设内容如下：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2152"/>
        <w:gridCol w:w="1701"/>
        <w:gridCol w:w="709"/>
        <w:gridCol w:w="567"/>
        <w:gridCol w:w="709"/>
        <w:gridCol w:w="992"/>
        <w:gridCol w:w="788"/>
      </w:tblGrid>
      <w:tr w14:paraId="38CB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41288B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序号</w:t>
            </w:r>
          </w:p>
        </w:tc>
        <w:tc>
          <w:tcPr>
            <w:tcW w:w="2152" w:type="dxa"/>
            <w:vAlign w:val="center"/>
          </w:tcPr>
          <w:p w14:paraId="0613A76E">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名称</w:t>
            </w:r>
          </w:p>
        </w:tc>
        <w:tc>
          <w:tcPr>
            <w:tcW w:w="1701" w:type="dxa"/>
            <w:vAlign w:val="center"/>
          </w:tcPr>
          <w:p w14:paraId="3B0ADD6F">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品目分类编码</w:t>
            </w:r>
          </w:p>
        </w:tc>
        <w:tc>
          <w:tcPr>
            <w:tcW w:w="709" w:type="dxa"/>
            <w:vAlign w:val="center"/>
          </w:tcPr>
          <w:p w14:paraId="79DF969B">
            <w:pPr>
              <w:tabs>
                <w:tab w:val="left" w:pos="0"/>
                <w:tab w:val="left" w:pos="993"/>
                <w:tab w:val="left" w:pos="1713"/>
              </w:tabs>
              <w:overflowPunct w:val="0"/>
              <w:snapToGrid w:val="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计量</w:t>
            </w:r>
          </w:p>
          <w:p w14:paraId="2ADDC73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单位</w:t>
            </w:r>
          </w:p>
        </w:tc>
        <w:tc>
          <w:tcPr>
            <w:tcW w:w="567" w:type="dxa"/>
            <w:vAlign w:val="center"/>
          </w:tcPr>
          <w:p w14:paraId="192F4A71">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数量</w:t>
            </w:r>
          </w:p>
        </w:tc>
        <w:tc>
          <w:tcPr>
            <w:tcW w:w="709" w:type="dxa"/>
            <w:vAlign w:val="center"/>
          </w:tcPr>
          <w:p w14:paraId="634C9ABC">
            <w:pPr>
              <w:tabs>
                <w:tab w:val="left" w:pos="0"/>
                <w:tab w:val="left" w:pos="993"/>
                <w:tab w:val="left" w:pos="1713"/>
              </w:tabs>
              <w:overflowPunct w:val="0"/>
              <w:snapToGrid w:val="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是否</w:t>
            </w:r>
          </w:p>
          <w:p w14:paraId="464787E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进口</w:t>
            </w:r>
          </w:p>
        </w:tc>
        <w:tc>
          <w:tcPr>
            <w:tcW w:w="992" w:type="dxa"/>
            <w:vAlign w:val="center"/>
          </w:tcPr>
          <w:p w14:paraId="62627475">
            <w:pPr>
              <w:tabs>
                <w:tab w:val="left" w:pos="0"/>
                <w:tab w:val="left" w:pos="993"/>
                <w:tab w:val="left" w:pos="1713"/>
              </w:tabs>
              <w:overflowPunct w:val="0"/>
              <w:snapToGrid w:val="0"/>
              <w:jc w:val="center"/>
              <w:rPr>
                <w:rFonts w:ascii="方正仿宋_GBK" w:hAnsi="方正仿宋_GBK" w:eastAsia="方正仿宋_GBK" w:cs="方正仿宋_GBK"/>
                <w:sz w:val="24"/>
                <w:szCs w:val="24"/>
              </w:rPr>
            </w:pPr>
            <w:r>
              <w:rPr>
                <w:rFonts w:ascii="方正仿宋_GBK" w:hAnsi="方正仿宋_GBK" w:eastAsia="方正仿宋_GBK" w:cs="方正仿宋_GBK"/>
                <w:sz w:val="24"/>
                <w:szCs w:val="24"/>
              </w:rPr>
              <w:t>是否创</w:t>
            </w:r>
          </w:p>
          <w:p w14:paraId="41355AE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新产品</w:t>
            </w:r>
          </w:p>
        </w:tc>
        <w:tc>
          <w:tcPr>
            <w:tcW w:w="788" w:type="dxa"/>
            <w:vAlign w:val="center"/>
          </w:tcPr>
          <w:p w14:paraId="38487BB5">
            <w:pPr>
              <w:tabs>
                <w:tab w:val="left" w:pos="0"/>
                <w:tab w:val="left" w:pos="993"/>
                <w:tab w:val="left" w:pos="1713"/>
              </w:tabs>
              <w:overflowPunct w:val="0"/>
              <w:snapToGrid w:val="0"/>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绿色</w:t>
            </w:r>
          </w:p>
          <w:p w14:paraId="36ECE2F3">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发展</w:t>
            </w:r>
          </w:p>
        </w:tc>
      </w:tr>
      <w:tr w14:paraId="4248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DAFAD8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2152" w:type="dxa"/>
            <w:vAlign w:val="center"/>
          </w:tcPr>
          <w:p w14:paraId="07A08CC7">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中小学校发展素质教育考核评价系统</w:t>
            </w:r>
          </w:p>
        </w:tc>
        <w:tc>
          <w:tcPr>
            <w:tcW w:w="1701" w:type="dxa"/>
            <w:vAlign w:val="center"/>
          </w:tcPr>
          <w:p w14:paraId="3545707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C16010000软件开发服务</w:t>
            </w:r>
          </w:p>
        </w:tc>
        <w:tc>
          <w:tcPr>
            <w:tcW w:w="709" w:type="dxa"/>
            <w:vAlign w:val="center"/>
          </w:tcPr>
          <w:p w14:paraId="43F7FAE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套</w:t>
            </w:r>
          </w:p>
        </w:tc>
        <w:tc>
          <w:tcPr>
            <w:tcW w:w="567" w:type="dxa"/>
            <w:vAlign w:val="center"/>
          </w:tcPr>
          <w:p w14:paraId="1B60D41F">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6CB6743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2E9447D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09955E2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0C4D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793CC62">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w:t>
            </w:r>
          </w:p>
        </w:tc>
        <w:tc>
          <w:tcPr>
            <w:tcW w:w="2152" w:type="dxa"/>
            <w:vAlign w:val="center"/>
          </w:tcPr>
          <w:p w14:paraId="7C14B9E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教育装备综合管理系统</w:t>
            </w:r>
          </w:p>
        </w:tc>
        <w:tc>
          <w:tcPr>
            <w:tcW w:w="1701" w:type="dxa"/>
            <w:vAlign w:val="center"/>
          </w:tcPr>
          <w:p w14:paraId="422C6E6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C16010000软件开发服务</w:t>
            </w:r>
          </w:p>
        </w:tc>
        <w:tc>
          <w:tcPr>
            <w:tcW w:w="709" w:type="dxa"/>
            <w:vAlign w:val="center"/>
          </w:tcPr>
          <w:p w14:paraId="3D94CBD3">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套</w:t>
            </w:r>
          </w:p>
        </w:tc>
        <w:tc>
          <w:tcPr>
            <w:tcW w:w="567" w:type="dxa"/>
            <w:vAlign w:val="center"/>
          </w:tcPr>
          <w:p w14:paraId="105C2609">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3A2BEC9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421FC447">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57B9C1D1">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74EF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C0CF77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w:t>
            </w:r>
          </w:p>
        </w:tc>
        <w:tc>
          <w:tcPr>
            <w:tcW w:w="2152" w:type="dxa"/>
            <w:vAlign w:val="center"/>
          </w:tcPr>
          <w:p w14:paraId="687DEF8F">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教育管理调度系统</w:t>
            </w:r>
          </w:p>
        </w:tc>
        <w:tc>
          <w:tcPr>
            <w:tcW w:w="1701" w:type="dxa"/>
            <w:vAlign w:val="center"/>
          </w:tcPr>
          <w:p w14:paraId="425C39A9">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C16010000软件开发服务</w:t>
            </w:r>
          </w:p>
        </w:tc>
        <w:tc>
          <w:tcPr>
            <w:tcW w:w="709" w:type="dxa"/>
            <w:vAlign w:val="center"/>
          </w:tcPr>
          <w:p w14:paraId="671CD3C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套</w:t>
            </w:r>
          </w:p>
        </w:tc>
        <w:tc>
          <w:tcPr>
            <w:tcW w:w="567" w:type="dxa"/>
            <w:vAlign w:val="center"/>
          </w:tcPr>
          <w:p w14:paraId="57F5226D">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7236A51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35680FA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742CC78A">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7DCA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2436C5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w:t>
            </w:r>
          </w:p>
        </w:tc>
        <w:tc>
          <w:tcPr>
            <w:tcW w:w="2152" w:type="dxa"/>
            <w:vAlign w:val="center"/>
          </w:tcPr>
          <w:p w14:paraId="5F9FF23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教育指标体系分析知识库服务</w:t>
            </w:r>
          </w:p>
        </w:tc>
        <w:tc>
          <w:tcPr>
            <w:tcW w:w="1701" w:type="dxa"/>
            <w:vAlign w:val="center"/>
          </w:tcPr>
          <w:p w14:paraId="161AF83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C16030000数据处理服务</w:t>
            </w:r>
          </w:p>
        </w:tc>
        <w:tc>
          <w:tcPr>
            <w:tcW w:w="709" w:type="dxa"/>
            <w:vAlign w:val="center"/>
          </w:tcPr>
          <w:p w14:paraId="23B0916C">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年</w:t>
            </w:r>
          </w:p>
        </w:tc>
        <w:tc>
          <w:tcPr>
            <w:tcW w:w="567" w:type="dxa"/>
            <w:vAlign w:val="center"/>
          </w:tcPr>
          <w:p w14:paraId="47C7AE5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5278B5E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7BE6EE0D">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65475D1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547D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DBD6D19">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w:t>
            </w:r>
          </w:p>
        </w:tc>
        <w:tc>
          <w:tcPr>
            <w:tcW w:w="2152" w:type="dxa"/>
            <w:vAlign w:val="center"/>
          </w:tcPr>
          <w:p w14:paraId="170F5A1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数据治理服务</w:t>
            </w:r>
          </w:p>
        </w:tc>
        <w:tc>
          <w:tcPr>
            <w:tcW w:w="1701" w:type="dxa"/>
            <w:vAlign w:val="center"/>
          </w:tcPr>
          <w:p w14:paraId="42FFB72A">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C16030000数据处理服务</w:t>
            </w:r>
          </w:p>
        </w:tc>
        <w:tc>
          <w:tcPr>
            <w:tcW w:w="709" w:type="dxa"/>
            <w:vAlign w:val="center"/>
          </w:tcPr>
          <w:p w14:paraId="6722906F">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次</w:t>
            </w:r>
          </w:p>
        </w:tc>
        <w:tc>
          <w:tcPr>
            <w:tcW w:w="567" w:type="dxa"/>
            <w:vAlign w:val="center"/>
          </w:tcPr>
          <w:p w14:paraId="340BEBC9">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4861425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563B69B6">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40533DFD">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1B24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D551A67">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w:t>
            </w:r>
          </w:p>
        </w:tc>
        <w:tc>
          <w:tcPr>
            <w:tcW w:w="2152" w:type="dxa"/>
            <w:vAlign w:val="center"/>
          </w:tcPr>
          <w:p w14:paraId="44E2D987">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城市数字公共基础设施</w:t>
            </w:r>
            <w:r>
              <w:rPr>
                <w:rFonts w:ascii="方正仿宋_GBK" w:hAnsi="方正仿宋_GBK" w:eastAsia="方正仿宋_GBK" w:cs="方正仿宋_GBK"/>
                <w:sz w:val="24"/>
                <w:szCs w:val="24"/>
              </w:rPr>
              <w:t>(数字地图)服务</w:t>
            </w:r>
          </w:p>
        </w:tc>
        <w:tc>
          <w:tcPr>
            <w:tcW w:w="1701" w:type="dxa"/>
            <w:vAlign w:val="center"/>
          </w:tcPr>
          <w:p w14:paraId="4DBFF07A">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C16010000软件开发服务</w:t>
            </w:r>
          </w:p>
        </w:tc>
        <w:tc>
          <w:tcPr>
            <w:tcW w:w="709" w:type="dxa"/>
            <w:vAlign w:val="center"/>
          </w:tcPr>
          <w:p w14:paraId="57794964">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年</w:t>
            </w:r>
          </w:p>
        </w:tc>
        <w:tc>
          <w:tcPr>
            <w:tcW w:w="567" w:type="dxa"/>
            <w:vAlign w:val="center"/>
          </w:tcPr>
          <w:p w14:paraId="63016FB2">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4926EED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75A636AD">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048C730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r w14:paraId="1D52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4444BEB">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w:t>
            </w:r>
          </w:p>
        </w:tc>
        <w:tc>
          <w:tcPr>
            <w:tcW w:w="2152" w:type="dxa"/>
            <w:vAlign w:val="center"/>
          </w:tcPr>
          <w:p w14:paraId="2B215D8D">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大模型服务</w:t>
            </w:r>
          </w:p>
        </w:tc>
        <w:tc>
          <w:tcPr>
            <w:tcW w:w="1701" w:type="dxa"/>
            <w:vAlign w:val="center"/>
          </w:tcPr>
          <w:p w14:paraId="3A0EA245">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C16010000软件开发服务</w:t>
            </w:r>
          </w:p>
        </w:tc>
        <w:tc>
          <w:tcPr>
            <w:tcW w:w="709" w:type="dxa"/>
            <w:vAlign w:val="center"/>
          </w:tcPr>
          <w:p w14:paraId="5E7405CF">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年</w:t>
            </w:r>
          </w:p>
        </w:tc>
        <w:tc>
          <w:tcPr>
            <w:tcW w:w="567" w:type="dxa"/>
            <w:vAlign w:val="center"/>
          </w:tcPr>
          <w:p w14:paraId="240FC0C0">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9" w:type="dxa"/>
            <w:vAlign w:val="center"/>
          </w:tcPr>
          <w:p w14:paraId="0B624478">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992" w:type="dxa"/>
            <w:vAlign w:val="center"/>
          </w:tcPr>
          <w:p w14:paraId="53E96458">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c>
          <w:tcPr>
            <w:tcW w:w="788" w:type="dxa"/>
            <w:vAlign w:val="center"/>
          </w:tcPr>
          <w:p w14:paraId="3BBB5903">
            <w:pPr>
              <w:tabs>
                <w:tab w:val="left" w:pos="0"/>
                <w:tab w:val="left" w:pos="993"/>
                <w:tab w:val="left" w:pos="1713"/>
              </w:tabs>
              <w:overflowPunct w:val="0"/>
              <w:snapToGrid w:val="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否</w:t>
            </w:r>
          </w:p>
        </w:tc>
      </w:tr>
    </w:tbl>
    <w:p w14:paraId="63EB4EE4">
      <w:pPr>
        <w:tabs>
          <w:tab w:val="left" w:pos="0"/>
          <w:tab w:val="left" w:pos="993"/>
          <w:tab w:val="left" w:pos="1713"/>
        </w:tabs>
        <w:overflowPunct w:val="0"/>
        <w:spacing w:line="48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本项目为武汉教育大数据体系(教育综合管理)项目第三方软件检测服务，预算9.20万元。</w:t>
      </w:r>
    </w:p>
    <w:p w14:paraId="553E61A2">
      <w:pPr>
        <w:pStyle w:val="3"/>
        <w:numPr>
          <w:ilvl w:val="0"/>
          <w:numId w:val="3"/>
        </w:numPr>
        <w:overflowPunct w:val="0"/>
        <w:spacing w:line="480" w:lineRule="exact"/>
        <w:ind w:firstLine="498" w:firstLineChars="178"/>
        <w:rPr>
          <w:rFonts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采购内容</w:t>
      </w:r>
    </w:p>
    <w:p w14:paraId="553477C4">
      <w:pPr>
        <w:numPr>
          <w:ilvl w:val="0"/>
          <w:numId w:val="4"/>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内容：主要针对武汉教育大数据体系(教育综合管理)项目中的系统从软件功能性、性能效率、信息安全性进行测试，提出软件改进建议，完善软件功能，增强软件的健壮性，使系统更好的服务于用户，更好的展示各项业务，更方便用户的使用。</w:t>
      </w:r>
    </w:p>
    <w:p w14:paraId="6A055E9E">
      <w:pPr>
        <w:numPr>
          <w:ilvl w:val="0"/>
          <w:numId w:val="4"/>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交付期：要求在系统交付后3个月内完成测评，以提交最终测评报告时间为准。</w:t>
      </w:r>
    </w:p>
    <w:p w14:paraId="3DF5A14F">
      <w:pPr>
        <w:numPr>
          <w:ilvl w:val="0"/>
          <w:numId w:val="4"/>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服务地点/交付地点：采购人指定地点。</w:t>
      </w:r>
    </w:p>
    <w:p w14:paraId="34066BF9">
      <w:pPr>
        <w:numPr>
          <w:ilvl w:val="0"/>
          <w:numId w:val="4"/>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技术标准及要求：满足国家、行业及采购人要求。</w:t>
      </w:r>
    </w:p>
    <w:bookmarkEnd w:id="0"/>
    <w:bookmarkEnd w:id="1"/>
    <w:bookmarkEnd w:id="2"/>
    <w:p w14:paraId="7C32CBA9">
      <w:pPr>
        <w:pStyle w:val="2"/>
        <w:numPr>
          <w:ilvl w:val="0"/>
          <w:numId w:val="2"/>
        </w:numPr>
        <w:overflowPunct w:val="0"/>
        <w:spacing w:line="480" w:lineRule="exact"/>
        <w:ind w:firstLine="560" w:firstLineChars="200"/>
        <w:rPr>
          <w:rFonts w:ascii="方正黑体_GBK" w:hAnsi="方正黑体_GBK" w:eastAsia="方正黑体_GBK" w:cs="方正黑体_GBK"/>
          <w:b w:val="0"/>
          <w:bCs w:val="0"/>
          <w:sz w:val="28"/>
          <w:szCs w:val="28"/>
        </w:rPr>
      </w:pPr>
      <w:bookmarkStart w:id="3" w:name="_Toc4936009"/>
      <w:bookmarkStart w:id="4" w:name="_Toc524343617"/>
      <w:bookmarkStart w:id="5" w:name="_Toc19176101"/>
      <w:bookmarkStart w:id="6" w:name="_Toc13100"/>
      <w:r>
        <w:rPr>
          <w:rFonts w:hint="eastAsia" w:ascii="方正黑体_GBK" w:hAnsi="方正黑体_GBK" w:eastAsia="方正黑体_GBK" w:cs="方正黑体_GBK"/>
          <w:b w:val="0"/>
          <w:bCs w:val="0"/>
          <w:sz w:val="28"/>
          <w:szCs w:val="28"/>
        </w:rPr>
        <w:t>资格要求</w:t>
      </w:r>
    </w:p>
    <w:p w14:paraId="36FC79B5">
      <w:pPr>
        <w:pStyle w:val="3"/>
        <w:numPr>
          <w:ilvl w:val="0"/>
          <w:numId w:val="5"/>
        </w:numPr>
        <w:overflowPunct w:val="0"/>
        <w:spacing w:line="480" w:lineRule="exact"/>
        <w:rPr>
          <w:rFonts w:ascii="方正楷体_GBK" w:hAnsi="方正楷体_GBK" w:eastAsia="方正楷体_GBK" w:cs="方正楷体_GBK"/>
          <w:b w:val="0"/>
          <w:bCs w:val="0"/>
          <w:sz w:val="28"/>
          <w:szCs w:val="28"/>
        </w:rPr>
      </w:pPr>
      <w:bookmarkStart w:id="7" w:name="_Toc29449"/>
      <w:r>
        <w:rPr>
          <w:rFonts w:hint="eastAsia" w:ascii="方正楷体_GBK" w:hAnsi="方正楷体_GBK" w:eastAsia="方正楷体_GBK" w:cs="方正楷体_GBK"/>
          <w:b w:val="0"/>
          <w:bCs w:val="0"/>
          <w:sz w:val="28"/>
          <w:szCs w:val="28"/>
        </w:rPr>
        <w:t>供应商基本资格要求</w:t>
      </w:r>
      <w:bookmarkEnd w:id="7"/>
    </w:p>
    <w:p w14:paraId="0ED5D5F2">
      <w:pPr>
        <w:numPr>
          <w:ilvl w:val="0"/>
          <w:numId w:val="6"/>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供应商应为中华人民共和国境内法律上和财务上独立的法人或依法登记注册的其他组织，合法运作并独立于采购人和采购代理机构。</w:t>
      </w:r>
    </w:p>
    <w:p w14:paraId="2FDD0431">
      <w:pPr>
        <w:numPr>
          <w:ilvl w:val="0"/>
          <w:numId w:val="6"/>
        </w:numPr>
        <w:tabs>
          <w:tab w:val="left" w:pos="0"/>
          <w:tab w:val="left" w:pos="993"/>
          <w:tab w:val="left" w:pos="1713"/>
        </w:tabs>
        <w:overflowPunct w:val="0"/>
        <w:spacing w:line="480" w:lineRule="exact"/>
        <w:ind w:left="0"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法人下属不具备法人资格的分支机构参与响应的，应提供所属法人针对本项目或覆盖本项目的经营事项的有效授权。</w:t>
      </w:r>
    </w:p>
    <w:p w14:paraId="4CF691DC">
      <w:pPr>
        <w:numPr>
          <w:ilvl w:val="0"/>
          <w:numId w:val="6"/>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供应商的法定代表人或负责人为同一人或者存在控股、管理关系的不同供应商，不得参加同一标包响应或者未划分标包的同一采购项目响应。</w:t>
      </w:r>
    </w:p>
    <w:p w14:paraId="2A467865">
      <w:pPr>
        <w:numPr>
          <w:ilvl w:val="0"/>
          <w:numId w:val="6"/>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本次招标不接受联合体响应，不允许转包和违法分包。</w:t>
      </w:r>
    </w:p>
    <w:p w14:paraId="6C857B81">
      <w:pPr>
        <w:pStyle w:val="3"/>
        <w:numPr>
          <w:ilvl w:val="0"/>
          <w:numId w:val="5"/>
        </w:numPr>
        <w:overflowPunct w:val="0"/>
        <w:spacing w:line="480" w:lineRule="exact"/>
        <w:ind w:firstLine="498" w:firstLineChars="178"/>
        <w:rPr>
          <w:rFonts w:ascii="方正楷体_GBK" w:hAnsi="方正楷体_GBK" w:eastAsia="方正楷体_GBK" w:cs="方正楷体_GBK"/>
          <w:b w:val="0"/>
          <w:bCs w:val="0"/>
          <w:sz w:val="28"/>
          <w:szCs w:val="28"/>
        </w:rPr>
      </w:pPr>
      <w:bookmarkStart w:id="8" w:name="_Toc11241"/>
      <w:r>
        <w:rPr>
          <w:rFonts w:hint="eastAsia" w:ascii="方正楷体_GBK" w:hAnsi="方正楷体_GBK" w:eastAsia="方正楷体_GBK" w:cs="方正楷体_GBK"/>
          <w:b w:val="0"/>
          <w:bCs w:val="0"/>
          <w:sz w:val="28"/>
          <w:szCs w:val="28"/>
        </w:rPr>
        <w:t>供应商不得存在下列情形之一</w:t>
      </w:r>
      <w:bookmarkEnd w:id="8"/>
    </w:p>
    <w:p w14:paraId="57DFE246">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为采购人不具有独立法人资格的附属机构（单位）；</w:t>
      </w:r>
    </w:p>
    <w:p w14:paraId="42F86C2C">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被依法暂停或取消投标/响应资格的；</w:t>
      </w:r>
    </w:p>
    <w:p w14:paraId="4F5ABE88">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被责令停产停业、暂扣或者吊销许可证、暂扣或者吊销执照； </w:t>
      </w:r>
    </w:p>
    <w:p w14:paraId="674C4C7C">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进入清算程序，或被宣告破产，或其他丧失履约能力的情形； </w:t>
      </w:r>
    </w:p>
    <w:p w14:paraId="751F0C28">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在最近三年内或者安全问题的；</w:t>
      </w:r>
    </w:p>
    <w:p w14:paraId="432255F0">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在最近三年内被判处单位行贿罪，且行贿行为与采购活动相关的（以“中国裁判文书网”的生效判决为准）；</w:t>
      </w:r>
    </w:p>
    <w:p w14:paraId="1747B853">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在最近三年内被判处合同诈骗罪的（以“中国裁判文书网”的生效判决为准）；</w:t>
      </w:r>
    </w:p>
    <w:p w14:paraId="3576FD5A">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被最高人民法院在“信用中国”网站（www.creditchina.gov.cn）或各级信用信息共享平台中列入失信被执行人名单，已执行完毕或不再执行的除外；</w:t>
      </w:r>
    </w:p>
    <w:p w14:paraId="30E23E30">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为本招标项目提供过设计、编制技术规范和其他文件的咨询服务；</w:t>
      </w:r>
    </w:p>
    <w:p w14:paraId="72787EC4">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为本工程项目的相关监理人，或者与本工程项目的相关监理人存在隶属关系或者其他利害关系；</w:t>
      </w:r>
    </w:p>
    <w:p w14:paraId="13A42269">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为本招标项目的代建人；</w:t>
      </w:r>
    </w:p>
    <w:p w14:paraId="1AC8DDB4">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为本招标项目的采购代理机构；</w:t>
      </w:r>
    </w:p>
    <w:p w14:paraId="26EE07C7">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与本招标项目的监理人或代建人或采购代理机构同为一个法定代表人；</w:t>
      </w:r>
    </w:p>
    <w:p w14:paraId="14AD186A">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与本招标项目的监理人或代建人或采购代理机构存在控股或参股关系；</w:t>
      </w:r>
    </w:p>
    <w:p w14:paraId="4F8E5A0C">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被工商行政管理机关在国家企业信用信息公示系统中列入严重违法失信企业名单的；</w:t>
      </w:r>
    </w:p>
    <w:p w14:paraId="23215966">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其他按照中国电信供应商不良行为处理结果及《中国电信供应商不良行为管理规则》的结果执行规则，应对供应商及其响应产品品类在本项目中执行禁止采购处理措施的；</w:t>
      </w:r>
    </w:p>
    <w:p w14:paraId="516F6C21">
      <w:pPr>
        <w:numPr>
          <w:ilvl w:val="0"/>
          <w:numId w:val="7"/>
        </w:numPr>
        <w:tabs>
          <w:tab w:val="left" w:pos="0"/>
          <w:tab w:val="left" w:pos="993"/>
          <w:tab w:val="left" w:pos="1713"/>
        </w:tabs>
        <w:overflowPunct w:val="0"/>
        <w:spacing w:line="480" w:lineRule="exact"/>
        <w:ind w:left="0" w:firstLine="518" w:firstLineChars="185"/>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法律法规、招标文件限定的其他情形。</w:t>
      </w:r>
    </w:p>
    <w:p w14:paraId="3A94122B">
      <w:pPr>
        <w:pStyle w:val="3"/>
        <w:numPr>
          <w:ilvl w:val="0"/>
          <w:numId w:val="5"/>
        </w:numPr>
        <w:overflowPunct w:val="0"/>
        <w:spacing w:line="480" w:lineRule="exact"/>
        <w:ind w:firstLine="498" w:firstLineChars="178"/>
        <w:rPr>
          <w:rFonts w:ascii="方正楷体_GBK" w:hAnsi="方正楷体_GBK" w:eastAsia="方正楷体_GBK" w:cs="方正楷体_GBK"/>
          <w:b w:val="0"/>
          <w:bCs w:val="0"/>
          <w:sz w:val="28"/>
          <w:szCs w:val="28"/>
        </w:rPr>
      </w:pPr>
      <w:bookmarkStart w:id="9" w:name="_Toc7793"/>
      <w:r>
        <w:rPr>
          <w:rFonts w:hint="eastAsia" w:ascii="方正楷体_GBK" w:hAnsi="方正楷体_GBK" w:eastAsia="方正楷体_GBK" w:cs="方正楷体_GBK"/>
          <w:b w:val="0"/>
          <w:bCs w:val="0"/>
          <w:sz w:val="28"/>
          <w:szCs w:val="28"/>
        </w:rPr>
        <w:t>业绩要求</w:t>
      </w:r>
      <w:bookmarkEnd w:id="9"/>
    </w:p>
    <w:p w14:paraId="5D89CFD7">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须具备2023年1月1日至招标文件开始获取时间的类似项目业绩。业绩须提供合同或框架协议，合同须提供关键页复印件（首页、金额页、签字盖章页），如提供框架协议，除需要提供框架协议外还必须提供相应的订单或其他证明材料。单项合同时间以合同签订时间为准，框架协议以订单或其他证明材料时间为准。资料不全、评审委员会无法确定业绩的不予认可。</w:t>
      </w:r>
    </w:p>
    <w:p w14:paraId="0AF74B3E">
      <w:pPr>
        <w:pStyle w:val="3"/>
        <w:numPr>
          <w:ilvl w:val="0"/>
          <w:numId w:val="5"/>
        </w:numPr>
        <w:overflowPunct w:val="0"/>
        <w:spacing w:line="480" w:lineRule="exact"/>
        <w:ind w:firstLine="498" w:firstLineChars="178"/>
        <w:rPr>
          <w:rFonts w:ascii="方正楷体_GBK" w:hAnsi="方正楷体_GBK" w:eastAsia="方正楷体_GBK" w:cs="方正楷体_GBK"/>
          <w:b w:val="0"/>
          <w:bCs w:val="0"/>
          <w:sz w:val="28"/>
          <w:szCs w:val="28"/>
        </w:rPr>
      </w:pPr>
      <w:bookmarkStart w:id="10" w:name="_Toc20685"/>
      <w:r>
        <w:rPr>
          <w:rFonts w:hint="eastAsia" w:ascii="方正楷体_GBK" w:hAnsi="方正楷体_GBK" w:eastAsia="方正楷体_GBK" w:cs="方正楷体_GBK"/>
          <w:b w:val="0"/>
          <w:bCs w:val="0"/>
          <w:sz w:val="28"/>
          <w:szCs w:val="28"/>
        </w:rPr>
        <w:t>资质要求</w:t>
      </w:r>
      <w:bookmarkEnd w:id="10"/>
    </w:p>
    <w:p w14:paraId="4C0E3EB9">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供应商需具备CMA或CNAS检验检测资质证书，资质范围包括GB/T 25000.51《系统与软件工程系统与软件质量要求和评价(SQuaRE) 第51部分:就绪可用软件产品(RUSP)的质量要求和测试细则》，要求提供证书及能力附表扫描件，原件备查。</w:t>
      </w:r>
    </w:p>
    <w:p w14:paraId="598917B2">
      <w:pPr>
        <w:pStyle w:val="3"/>
        <w:numPr>
          <w:ilvl w:val="0"/>
          <w:numId w:val="5"/>
        </w:numPr>
        <w:overflowPunct w:val="0"/>
        <w:spacing w:line="480" w:lineRule="exact"/>
        <w:ind w:firstLine="498" w:firstLineChars="178"/>
        <w:rPr>
          <w:rFonts w:ascii="方正楷体_GBK" w:hAnsi="方正楷体_GBK" w:eastAsia="方正楷体_GBK" w:cs="方正楷体_GBK"/>
          <w:b w:val="0"/>
          <w:bCs w:val="0"/>
          <w:sz w:val="28"/>
          <w:szCs w:val="28"/>
        </w:rPr>
      </w:pPr>
      <w:bookmarkStart w:id="11" w:name="_Toc14223"/>
      <w:r>
        <w:rPr>
          <w:rFonts w:hint="eastAsia" w:ascii="方正楷体_GBK" w:hAnsi="方正楷体_GBK" w:eastAsia="方正楷体_GBK" w:cs="方正楷体_GBK"/>
          <w:b w:val="0"/>
          <w:bCs w:val="0"/>
          <w:sz w:val="28"/>
          <w:szCs w:val="28"/>
        </w:rPr>
        <w:t>财务要求</w:t>
      </w:r>
      <w:bookmarkEnd w:id="11"/>
    </w:p>
    <w:p w14:paraId="4BDA95AE">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供应商能够或承诺能够为本项目开具增值税普通发票。（须提供证明材料或承诺函，证明材料可为相关税务机构开具的证明材料、以公司名义开具的增值税普通发票或合法代开的增值税普票等。）</w:t>
      </w:r>
    </w:p>
    <w:p w14:paraId="0C76D0AA">
      <w:pPr>
        <w:pStyle w:val="2"/>
        <w:numPr>
          <w:ilvl w:val="0"/>
          <w:numId w:val="2"/>
        </w:numPr>
        <w:overflowPunct w:val="0"/>
        <w:spacing w:line="480" w:lineRule="exact"/>
        <w:ind w:firstLine="560" w:firstLineChars="200"/>
        <w:rPr>
          <w:rFonts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软件测试实施</w:t>
      </w:r>
      <w:bookmarkEnd w:id="3"/>
      <w:bookmarkEnd w:id="4"/>
      <w:bookmarkEnd w:id="5"/>
      <w:r>
        <w:rPr>
          <w:rFonts w:hint="eastAsia" w:ascii="方正黑体_GBK" w:hAnsi="方正黑体_GBK" w:eastAsia="方正黑体_GBK" w:cs="方正黑体_GBK"/>
          <w:b w:val="0"/>
          <w:bCs w:val="0"/>
          <w:sz w:val="28"/>
          <w:szCs w:val="28"/>
        </w:rPr>
        <w:t>要求</w:t>
      </w:r>
      <w:bookmarkEnd w:id="6"/>
    </w:p>
    <w:p w14:paraId="66797B70">
      <w:pPr>
        <w:pStyle w:val="3"/>
        <w:numPr>
          <w:ilvl w:val="0"/>
          <w:numId w:val="8"/>
        </w:numPr>
        <w:overflowPunct w:val="0"/>
        <w:spacing w:line="480" w:lineRule="exact"/>
        <w:ind w:firstLine="534" w:firstLineChars="178"/>
        <w:rPr>
          <w:rFonts w:ascii="方正楷体_GBK" w:hAnsi="方正楷体_GBK" w:eastAsia="方正楷体_GBK" w:cs="方正楷体_GBK"/>
          <w:b w:val="0"/>
          <w:bCs w:val="0"/>
          <w:sz w:val="28"/>
          <w:szCs w:val="28"/>
        </w:rPr>
      </w:pPr>
      <w:bookmarkStart w:id="12" w:name="_Toc4936010"/>
      <w:bookmarkStart w:id="13" w:name="_Toc524343618"/>
      <w:bookmarkStart w:id="14" w:name="_Toc19176102"/>
      <w:r>
        <w:rPr>
          <w:rFonts w:hint="eastAsia" w:ascii="方正楷体_GBK" w:hAnsi="方正楷体_GBK" w:eastAsia="方正楷体_GBK" w:cs="方正楷体_GBK"/>
          <w:b w:val="0"/>
          <w:bCs w:val="0"/>
        </w:rPr>
        <w:t>功能性</w:t>
      </w:r>
      <w:r>
        <w:rPr>
          <w:rFonts w:hint="eastAsia" w:ascii="方正楷体_GBK" w:hAnsi="方正楷体_GBK" w:eastAsia="方正楷体_GBK" w:cs="方正楷体_GBK"/>
          <w:b w:val="0"/>
          <w:bCs w:val="0"/>
          <w:sz w:val="28"/>
          <w:szCs w:val="28"/>
        </w:rPr>
        <w:t>测试</w:t>
      </w:r>
      <w:bookmarkEnd w:id="12"/>
      <w:bookmarkEnd w:id="13"/>
      <w:bookmarkEnd w:id="14"/>
    </w:p>
    <w:p w14:paraId="5D8153C6">
      <w:pPr>
        <w:pStyle w:val="14"/>
        <w:numPr>
          <w:ilvl w:val="0"/>
          <w:numId w:val="9"/>
        </w:numPr>
        <w:overflowPunct w:val="0"/>
        <w:spacing w:after="156" w:line="480" w:lineRule="exact"/>
        <w:ind w:left="0" w:firstLine="6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分析应用系统功能需求，验证系统实现了全部需求；屏幕显示及打印是否规范、准确等，确保业务需求的功能实现。</w:t>
      </w:r>
    </w:p>
    <w:p w14:paraId="4577B5D6">
      <w:pPr>
        <w:pStyle w:val="14"/>
        <w:numPr>
          <w:ilvl w:val="0"/>
          <w:numId w:val="9"/>
        </w:numPr>
        <w:overflowPunct w:val="0"/>
        <w:spacing w:after="156" w:line="480" w:lineRule="exact"/>
        <w:ind w:left="0" w:firstLine="6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根据需求分析各功能点重要级别，根据重要级别设计测试用例优先级。重点关注用户经常使用、关系到系统核心功能、优先级别较高的功能点，并在回归测试时应优先执行。</w:t>
      </w:r>
    </w:p>
    <w:p w14:paraId="1C87A398">
      <w:pPr>
        <w:pStyle w:val="14"/>
        <w:numPr>
          <w:ilvl w:val="0"/>
          <w:numId w:val="9"/>
        </w:numPr>
        <w:overflowPunct w:val="0"/>
        <w:spacing w:after="156" w:line="480" w:lineRule="exact"/>
        <w:ind w:left="0" w:firstLine="6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分析应用系统业务需求，根据业务流程设计测试用例，进行数据流向测试，确保关键业务流程正确执行。</w:t>
      </w:r>
    </w:p>
    <w:p w14:paraId="1A9BB153">
      <w:pPr>
        <w:pStyle w:val="14"/>
        <w:numPr>
          <w:ilvl w:val="0"/>
          <w:numId w:val="9"/>
        </w:numPr>
        <w:overflowPunct w:val="0"/>
        <w:spacing w:after="156" w:line="480" w:lineRule="exact"/>
        <w:ind w:left="0" w:firstLine="6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分析应用系统数据处理需求，对系统业务数据进行严格的正确性测试（包括数据是否超出正常的值范围、报表数据准确性等）,确保系统即时数据和历史数据准确无误。</w:t>
      </w:r>
    </w:p>
    <w:tbl>
      <w:tblPr>
        <w:tblStyle w:val="8"/>
        <w:tblW w:w="52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013"/>
        <w:gridCol w:w="1541"/>
        <w:gridCol w:w="6191"/>
      </w:tblGrid>
      <w:tr w14:paraId="1C0A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5" w:hRule="atLeast"/>
          <w:jc w:val="center"/>
        </w:trPr>
        <w:tc>
          <w:tcPr>
            <w:tcW w:w="579" w:type="pct"/>
            <w:vMerge w:val="restart"/>
            <w:vAlign w:val="center"/>
          </w:tcPr>
          <w:p w14:paraId="61EE6BFB">
            <w:pPr>
              <w:pStyle w:val="14"/>
              <w:overflowPunct w:val="0"/>
              <w:spacing w:after="156" w:line="480" w:lineRule="exact"/>
              <w:rPr>
                <w:rFonts w:ascii="方正仿宋_GBK" w:hAnsi="方正仿宋_GBK" w:eastAsia="方正仿宋_GBK" w:cs="方正仿宋_GBK"/>
                <w:b/>
                <w:color w:val="auto"/>
                <w:sz w:val="28"/>
                <w:szCs w:val="28"/>
              </w:rPr>
            </w:pPr>
            <w:bookmarkStart w:id="15" w:name="_Toc28046"/>
            <w:r>
              <w:rPr>
                <w:rFonts w:hint="eastAsia" w:ascii="方正仿宋_GBK" w:hAnsi="方正仿宋_GBK" w:eastAsia="方正仿宋_GBK" w:cs="方正仿宋_GBK"/>
                <w:color w:val="auto"/>
                <w:sz w:val="28"/>
                <w:szCs w:val="28"/>
              </w:rPr>
              <w:t>功能性</w:t>
            </w:r>
          </w:p>
        </w:tc>
        <w:tc>
          <w:tcPr>
            <w:tcW w:w="881" w:type="pct"/>
            <w:vAlign w:val="center"/>
          </w:tcPr>
          <w:p w14:paraId="12B16A2E">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功能完备性</w:t>
            </w:r>
          </w:p>
        </w:tc>
        <w:tc>
          <w:tcPr>
            <w:tcW w:w="3539" w:type="pct"/>
            <w:vAlign w:val="center"/>
          </w:tcPr>
          <w:p w14:paraId="3B433310">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功能集对指定的任务和用户目标覆盖程度。</w:t>
            </w:r>
          </w:p>
        </w:tc>
      </w:tr>
      <w:tr w14:paraId="62F5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5" w:hRule="atLeast"/>
          <w:jc w:val="center"/>
        </w:trPr>
        <w:tc>
          <w:tcPr>
            <w:tcW w:w="579" w:type="pct"/>
            <w:vMerge w:val="continue"/>
            <w:vAlign w:val="center"/>
          </w:tcPr>
          <w:p w14:paraId="64FAE042">
            <w:pPr>
              <w:pStyle w:val="14"/>
              <w:overflowPunct w:val="0"/>
              <w:spacing w:after="156" w:line="480" w:lineRule="exact"/>
              <w:ind w:firstLine="218" w:firstLineChars="78"/>
              <w:jc w:val="center"/>
              <w:rPr>
                <w:rFonts w:ascii="方正仿宋_GBK" w:hAnsi="方正仿宋_GBK" w:eastAsia="方正仿宋_GBK" w:cs="方正仿宋_GBK"/>
                <w:color w:val="auto"/>
                <w:sz w:val="28"/>
                <w:szCs w:val="28"/>
              </w:rPr>
            </w:pPr>
          </w:p>
        </w:tc>
        <w:tc>
          <w:tcPr>
            <w:tcW w:w="881" w:type="pct"/>
            <w:vAlign w:val="center"/>
          </w:tcPr>
          <w:p w14:paraId="077A41DC">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功能正确性</w:t>
            </w:r>
          </w:p>
        </w:tc>
        <w:tc>
          <w:tcPr>
            <w:tcW w:w="3539" w:type="pct"/>
            <w:vAlign w:val="center"/>
          </w:tcPr>
          <w:p w14:paraId="783D4E64">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产品或系统提供具有所需精度的正确的结果的程。</w:t>
            </w:r>
          </w:p>
        </w:tc>
      </w:tr>
      <w:bookmarkEnd w:id="15"/>
    </w:tbl>
    <w:p w14:paraId="79EA8914">
      <w:pPr>
        <w:pStyle w:val="3"/>
        <w:numPr>
          <w:ilvl w:val="0"/>
          <w:numId w:val="8"/>
        </w:numPr>
        <w:overflowPunct w:val="0"/>
        <w:spacing w:line="480" w:lineRule="exact"/>
        <w:ind w:firstLine="498" w:firstLineChars="178"/>
        <w:rPr>
          <w:rFonts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性能效率测试</w:t>
      </w:r>
    </w:p>
    <w:p w14:paraId="3599C7EA">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使用测试工具，测试系统是否满足用户的性能需求，系统是否能够达到预期的系统响应时间以及业务处理时间，满足业务需求。监控平台数据库、中间件、应用服务器使用情况，分析数据库、中间件、服务器性能对软件运行效率的影响，提出优化建议。</w:t>
      </w:r>
    </w:p>
    <w:p w14:paraId="67973B64">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测试项目各系统功能模块的稳定性，以应对大并发量的访问、找到目前系统的瓶颈、估算当前系统的最大并发业务处理能力，对系统整体进行性能测试与优化建议，验证稳定性和可靠性。</w:t>
      </w:r>
    </w:p>
    <w:p w14:paraId="2FCE4DEF">
      <w:pPr>
        <w:numPr>
          <w:ilvl w:val="0"/>
          <w:numId w:val="10"/>
        </w:numPr>
        <w:overflowPunct w:val="0"/>
        <w:spacing w:after="156" w:line="480" w:lineRule="exact"/>
        <w:ind w:left="0" w:right="188" w:firstLine="58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容量要求</w:t>
      </w:r>
    </w:p>
    <w:p w14:paraId="1890A52A">
      <w:pPr>
        <w:numPr>
          <w:ilvl w:val="0"/>
          <w:numId w:val="11"/>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各应用系统的数据存储能力、存储周期、并发访问量、性能指标根据《软件需求规格说明书》和《系统详细设计文档》确定；</w:t>
      </w:r>
    </w:p>
    <w:p w14:paraId="001CFFD9">
      <w:pPr>
        <w:numPr>
          <w:ilvl w:val="0"/>
          <w:numId w:val="11"/>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分析应用系统的业务扩容，对业务系统数据规模增长进行评估，确保应用系统能够满足未来业务数据增长需要；</w:t>
      </w:r>
    </w:p>
    <w:p w14:paraId="738FD529">
      <w:pPr>
        <w:numPr>
          <w:ilvl w:val="0"/>
          <w:numId w:val="10"/>
        </w:numPr>
        <w:overflowPunct w:val="0"/>
        <w:spacing w:after="156" w:line="480" w:lineRule="exact"/>
        <w:ind w:left="0" w:right="188" w:firstLine="58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时间特性和资源利用特性：</w:t>
      </w:r>
    </w:p>
    <w:p w14:paraId="6FF181FA">
      <w:pPr>
        <w:numPr>
          <w:ilvl w:val="0"/>
          <w:numId w:val="12"/>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分析系统用户行为，依据性能需求验证分级部署的应用系统支持高并发处理业务的能力；</w:t>
      </w:r>
    </w:p>
    <w:p w14:paraId="1F143441">
      <w:pPr>
        <w:numPr>
          <w:ilvl w:val="0"/>
          <w:numId w:val="12"/>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系统的关键业务，诸如数据采集、数据同步、数据统计等，具备快速响应能力；</w:t>
      </w:r>
    </w:p>
    <w:p w14:paraId="652572C2">
      <w:pPr>
        <w:numPr>
          <w:ilvl w:val="0"/>
          <w:numId w:val="12"/>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响应时间满足用户性能需求；</w:t>
      </w:r>
    </w:p>
    <w:p w14:paraId="68B071D0">
      <w:pPr>
        <w:numPr>
          <w:ilvl w:val="0"/>
          <w:numId w:val="12"/>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系统资源利用在合理的数值范围，不超过资源指标的预警值；</w:t>
      </w:r>
    </w:p>
    <w:p w14:paraId="540B23A2">
      <w:pPr>
        <w:numPr>
          <w:ilvl w:val="0"/>
          <w:numId w:val="12"/>
        </w:numPr>
        <w:overflowPunct w:val="0"/>
        <w:spacing w:after="156" w:line="480" w:lineRule="exact"/>
        <w:ind w:left="0" w:right="48" w:firstLine="478" w:firstLineChars="171"/>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测试在大用户量、大并发、大数据量和长时间连续运行等条件下，系统的响应时间和稳定运行情况。</w:t>
      </w:r>
    </w:p>
    <w:p w14:paraId="612CAB64">
      <w:pPr>
        <w:pStyle w:val="3"/>
        <w:numPr>
          <w:ilvl w:val="0"/>
          <w:numId w:val="8"/>
        </w:numPr>
        <w:overflowPunct w:val="0"/>
        <w:spacing w:line="480" w:lineRule="exact"/>
        <w:ind w:firstLine="534" w:firstLineChars="178"/>
        <w:rPr>
          <w:rFonts w:ascii="方正楷体_GBK" w:hAnsi="方正楷体_GBK" w:eastAsia="方正楷体_GBK" w:cs="方正楷体_GBK"/>
          <w:b w:val="0"/>
          <w:bCs w:val="0"/>
        </w:rPr>
      </w:pPr>
      <w:r>
        <w:rPr>
          <w:rFonts w:hint="eastAsia" w:ascii="方正楷体_GBK" w:hAnsi="方正楷体_GBK" w:eastAsia="方正楷体_GBK" w:cs="方正楷体_GBK"/>
          <w:b w:val="0"/>
          <w:bCs w:val="0"/>
        </w:rPr>
        <w:t>信息安全性测试</w:t>
      </w:r>
    </w:p>
    <w:p w14:paraId="09B814CA">
      <w:pPr>
        <w:overflowPunct w:val="0"/>
        <w:spacing w:line="480" w:lineRule="exact"/>
        <w:ind w:firstLine="537" w:firstLineChars="19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信息安全性测度用于评估产品或系统保护信息和数据的程度，以使用户、其他产品或系统具有与其授权类型和授权等级一致的数据访问度。</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2"/>
        <w:gridCol w:w="1602"/>
        <w:gridCol w:w="5468"/>
      </w:tblGrid>
      <w:tr w14:paraId="432D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pct"/>
            <w:vMerge w:val="restart"/>
            <w:vAlign w:val="center"/>
          </w:tcPr>
          <w:p w14:paraId="76024DB7">
            <w:pPr>
              <w:pStyle w:val="14"/>
              <w:overflowPunct w:val="0"/>
              <w:spacing w:after="156" w:line="480" w:lineRule="exact"/>
              <w:jc w:val="both"/>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信息安全性</w:t>
            </w:r>
          </w:p>
        </w:tc>
        <w:tc>
          <w:tcPr>
            <w:tcW w:w="940" w:type="pct"/>
            <w:vAlign w:val="center"/>
          </w:tcPr>
          <w:p w14:paraId="516C587F">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保密性</w:t>
            </w:r>
          </w:p>
        </w:tc>
        <w:tc>
          <w:tcPr>
            <w:tcW w:w="3208" w:type="pct"/>
            <w:vAlign w:val="center"/>
          </w:tcPr>
          <w:p w14:paraId="448BD315">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保密性测度用于评估产品或系统确保数据只有在被授权时才能被访问的程度。</w:t>
            </w:r>
          </w:p>
        </w:tc>
      </w:tr>
      <w:tr w14:paraId="2414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pct"/>
            <w:vMerge w:val="continue"/>
            <w:vAlign w:val="center"/>
          </w:tcPr>
          <w:p w14:paraId="49C83639">
            <w:pPr>
              <w:pStyle w:val="14"/>
              <w:overflowPunct w:val="0"/>
              <w:spacing w:after="156" w:line="480" w:lineRule="exact"/>
              <w:jc w:val="both"/>
              <w:rPr>
                <w:rFonts w:ascii="方正仿宋_GBK" w:hAnsi="方正仿宋_GBK" w:eastAsia="方正仿宋_GBK" w:cs="方正仿宋_GBK"/>
                <w:color w:val="auto"/>
                <w:sz w:val="28"/>
                <w:szCs w:val="28"/>
              </w:rPr>
            </w:pPr>
          </w:p>
        </w:tc>
        <w:tc>
          <w:tcPr>
            <w:tcW w:w="940" w:type="pct"/>
            <w:vAlign w:val="center"/>
          </w:tcPr>
          <w:p w14:paraId="20D4FAD5">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完整性</w:t>
            </w:r>
          </w:p>
        </w:tc>
        <w:tc>
          <w:tcPr>
            <w:tcW w:w="3208" w:type="pct"/>
            <w:vAlign w:val="center"/>
          </w:tcPr>
          <w:p w14:paraId="25A773DB">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完整性测度用于评估系统、产品或组件防止未授权访问、篡改计算机程序或数据的程度。</w:t>
            </w:r>
          </w:p>
        </w:tc>
      </w:tr>
      <w:tr w14:paraId="5014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pct"/>
            <w:vMerge w:val="continue"/>
            <w:vAlign w:val="center"/>
          </w:tcPr>
          <w:p w14:paraId="3A036373">
            <w:pPr>
              <w:pStyle w:val="14"/>
              <w:overflowPunct w:val="0"/>
              <w:spacing w:after="156" w:line="480" w:lineRule="exact"/>
              <w:jc w:val="both"/>
              <w:rPr>
                <w:rFonts w:ascii="方正仿宋_GBK" w:hAnsi="方正仿宋_GBK" w:eastAsia="方正仿宋_GBK" w:cs="方正仿宋_GBK"/>
                <w:color w:val="auto"/>
                <w:sz w:val="28"/>
                <w:szCs w:val="28"/>
              </w:rPr>
            </w:pPr>
          </w:p>
        </w:tc>
        <w:tc>
          <w:tcPr>
            <w:tcW w:w="940" w:type="pct"/>
            <w:vAlign w:val="center"/>
          </w:tcPr>
          <w:p w14:paraId="2F0B0FFD">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抗抵赖性</w:t>
            </w:r>
          </w:p>
        </w:tc>
        <w:tc>
          <w:tcPr>
            <w:tcW w:w="3208" w:type="pct"/>
            <w:vAlign w:val="center"/>
          </w:tcPr>
          <w:p w14:paraId="56713540">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抗抵赖性测度用于评估活动或事件发生后可以被证实且不可被否认的程度。</w:t>
            </w:r>
          </w:p>
        </w:tc>
      </w:tr>
      <w:tr w14:paraId="56E3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 w:type="pct"/>
            <w:vMerge w:val="continue"/>
            <w:vAlign w:val="center"/>
          </w:tcPr>
          <w:p w14:paraId="45E403CF">
            <w:pPr>
              <w:pStyle w:val="14"/>
              <w:overflowPunct w:val="0"/>
              <w:spacing w:after="156" w:line="480" w:lineRule="exact"/>
              <w:jc w:val="both"/>
              <w:rPr>
                <w:rFonts w:ascii="方正仿宋_GBK" w:hAnsi="方正仿宋_GBK" w:eastAsia="方正仿宋_GBK" w:cs="方正仿宋_GBK"/>
                <w:color w:val="auto"/>
                <w:sz w:val="28"/>
                <w:szCs w:val="28"/>
              </w:rPr>
            </w:pPr>
          </w:p>
        </w:tc>
        <w:tc>
          <w:tcPr>
            <w:tcW w:w="940" w:type="pct"/>
            <w:vAlign w:val="center"/>
          </w:tcPr>
          <w:p w14:paraId="5773094B">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可核查性</w:t>
            </w:r>
          </w:p>
        </w:tc>
        <w:tc>
          <w:tcPr>
            <w:tcW w:w="3208" w:type="pct"/>
            <w:vAlign w:val="center"/>
          </w:tcPr>
          <w:p w14:paraId="73386E11">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可核查性测度用于评估实体的活动可以被唯一地追溯到该实体的程度。</w:t>
            </w:r>
          </w:p>
        </w:tc>
      </w:tr>
      <w:tr w14:paraId="7F9A7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pct"/>
            <w:vMerge w:val="continue"/>
            <w:vAlign w:val="center"/>
          </w:tcPr>
          <w:p w14:paraId="6D7E5E0E">
            <w:pPr>
              <w:pStyle w:val="14"/>
              <w:overflowPunct w:val="0"/>
              <w:spacing w:after="156" w:line="480" w:lineRule="exact"/>
              <w:jc w:val="both"/>
              <w:rPr>
                <w:rFonts w:ascii="方正仿宋_GBK" w:hAnsi="方正仿宋_GBK" w:eastAsia="方正仿宋_GBK" w:cs="方正仿宋_GBK"/>
                <w:color w:val="auto"/>
                <w:sz w:val="28"/>
                <w:szCs w:val="28"/>
              </w:rPr>
            </w:pPr>
          </w:p>
        </w:tc>
        <w:tc>
          <w:tcPr>
            <w:tcW w:w="940" w:type="pct"/>
            <w:vAlign w:val="center"/>
          </w:tcPr>
          <w:p w14:paraId="23EB2870">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真实性</w:t>
            </w:r>
          </w:p>
        </w:tc>
        <w:tc>
          <w:tcPr>
            <w:tcW w:w="3208" w:type="pct"/>
            <w:vAlign w:val="center"/>
          </w:tcPr>
          <w:p w14:paraId="0F7B1327">
            <w:pPr>
              <w:pStyle w:val="14"/>
              <w:overflowPunct w:val="0"/>
              <w:spacing w:after="156" w:line="480" w:lineRule="exact"/>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真实性测度用于评估对象或资源的身份标识能够被证实符合其声明的程度。</w:t>
            </w:r>
          </w:p>
        </w:tc>
      </w:tr>
    </w:tbl>
    <w:p w14:paraId="0378603E">
      <w:pPr>
        <w:overflowPunct w:val="0"/>
        <w:ind w:firstLine="218" w:firstLineChars="78"/>
        <w:rPr>
          <w:sz w:val="28"/>
          <w:szCs w:val="28"/>
        </w:rPr>
      </w:pPr>
    </w:p>
    <w:sectPr>
      <w:pgSz w:w="11906" w:h="16838"/>
      <w:pgMar w:top="2120" w:right="1800" w:bottom="172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等线 Light">
    <w:altName w:val="仿宋"/>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FF06E4"/>
    <w:multiLevelType w:val="singleLevel"/>
    <w:tmpl w:val="BAFF06E4"/>
    <w:lvl w:ilvl="0" w:tentative="0">
      <w:start w:val="1"/>
      <w:numFmt w:val="decimal"/>
      <w:lvlText w:val="%1."/>
      <w:lvlJc w:val="left"/>
      <w:pPr>
        <w:ind w:left="425" w:hanging="425"/>
      </w:pPr>
      <w:rPr>
        <w:rFonts w:hint="default"/>
      </w:rPr>
    </w:lvl>
  </w:abstractNum>
  <w:abstractNum w:abstractNumId="1">
    <w:nsid w:val="DBABC588"/>
    <w:multiLevelType w:val="singleLevel"/>
    <w:tmpl w:val="DBABC588"/>
    <w:lvl w:ilvl="0" w:tentative="0">
      <w:start w:val="1"/>
      <w:numFmt w:val="decimal"/>
      <w:lvlText w:val="(%1)"/>
      <w:lvlJc w:val="left"/>
      <w:pPr>
        <w:ind w:left="425" w:hanging="425"/>
      </w:pPr>
      <w:rPr>
        <w:rFonts w:hint="default"/>
      </w:rPr>
    </w:lvl>
  </w:abstractNum>
  <w:abstractNum w:abstractNumId="2">
    <w:nsid w:val="DEBF2A86"/>
    <w:multiLevelType w:val="singleLevel"/>
    <w:tmpl w:val="DEBF2A86"/>
    <w:lvl w:ilvl="0" w:tentative="0">
      <w:start w:val="1"/>
      <w:numFmt w:val="decimal"/>
      <w:lvlText w:val="%1."/>
      <w:lvlJc w:val="left"/>
      <w:pPr>
        <w:ind w:left="425" w:hanging="425"/>
      </w:pPr>
      <w:rPr>
        <w:rFonts w:hint="default"/>
      </w:rPr>
    </w:lvl>
  </w:abstractNum>
  <w:abstractNum w:abstractNumId="3">
    <w:nsid w:val="DF9FC1CE"/>
    <w:multiLevelType w:val="singleLevel"/>
    <w:tmpl w:val="DF9FC1CE"/>
    <w:lvl w:ilvl="0" w:tentative="0">
      <w:start w:val="1"/>
      <w:numFmt w:val="chineseCounting"/>
      <w:suff w:val="nothing"/>
      <w:lvlText w:val="（%1）"/>
      <w:lvlJc w:val="left"/>
      <w:pPr>
        <w:ind w:left="0" w:firstLine="420"/>
      </w:pPr>
      <w:rPr>
        <w:rFonts w:hint="eastAsia"/>
      </w:rPr>
    </w:lvl>
  </w:abstractNum>
  <w:abstractNum w:abstractNumId="4">
    <w:nsid w:val="E3FEF817"/>
    <w:multiLevelType w:val="singleLevel"/>
    <w:tmpl w:val="E3FEF817"/>
    <w:lvl w:ilvl="0" w:tentative="0">
      <w:start w:val="1"/>
      <w:numFmt w:val="chineseCounting"/>
      <w:suff w:val="nothing"/>
      <w:lvlText w:val="（%1）"/>
      <w:lvlJc w:val="left"/>
      <w:pPr>
        <w:ind w:left="0" w:firstLine="420"/>
      </w:pPr>
      <w:rPr>
        <w:rFonts w:hint="eastAsia"/>
      </w:rPr>
    </w:lvl>
  </w:abstractNum>
  <w:abstractNum w:abstractNumId="5">
    <w:nsid w:val="FEFFE6E9"/>
    <w:multiLevelType w:val="singleLevel"/>
    <w:tmpl w:val="FEFFE6E9"/>
    <w:lvl w:ilvl="0" w:tentative="0">
      <w:start w:val="1"/>
      <w:numFmt w:val="decimal"/>
      <w:lvlText w:val="(%1)"/>
      <w:lvlJc w:val="left"/>
      <w:pPr>
        <w:ind w:left="425" w:hanging="425"/>
      </w:pPr>
      <w:rPr>
        <w:rFonts w:hint="default"/>
      </w:rPr>
    </w:lvl>
  </w:abstractNum>
  <w:abstractNum w:abstractNumId="6">
    <w:nsid w:val="FF5A8B42"/>
    <w:multiLevelType w:val="singleLevel"/>
    <w:tmpl w:val="FF5A8B42"/>
    <w:lvl w:ilvl="0" w:tentative="0">
      <w:start w:val="1"/>
      <w:numFmt w:val="decimal"/>
      <w:lvlText w:val="%1."/>
      <w:lvlJc w:val="left"/>
      <w:pPr>
        <w:ind w:left="425" w:hanging="425"/>
      </w:pPr>
      <w:rPr>
        <w:rFonts w:hint="default"/>
      </w:rPr>
    </w:lvl>
  </w:abstractNum>
  <w:abstractNum w:abstractNumId="7">
    <w:nsid w:val="1C1A476A"/>
    <w:multiLevelType w:val="multilevel"/>
    <w:tmpl w:val="1C1A476A"/>
    <w:lvl w:ilvl="0" w:tentative="0">
      <w:start w:val="1"/>
      <w:numFmt w:val="decimal"/>
      <w:pStyle w:val="2"/>
      <w:lvlText w:val="%1."/>
      <w:lvlJc w:val="left"/>
      <w:pPr>
        <w:ind w:left="425" w:hanging="425"/>
      </w:pPr>
    </w:lvl>
    <w:lvl w:ilvl="1" w:tentative="0">
      <w:start w:val="1"/>
      <w:numFmt w:val="decimal"/>
      <w:pStyle w:val="3"/>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657E721E"/>
    <w:multiLevelType w:val="singleLevel"/>
    <w:tmpl w:val="657E721E"/>
    <w:lvl w:ilvl="0" w:tentative="0">
      <w:start w:val="1"/>
      <w:numFmt w:val="chineseCounting"/>
      <w:suff w:val="nothing"/>
      <w:lvlText w:val="%1、"/>
      <w:lvlJc w:val="left"/>
      <w:pPr>
        <w:ind w:left="0" w:firstLine="420"/>
      </w:pPr>
      <w:rPr>
        <w:rFonts w:hint="eastAsia"/>
      </w:rPr>
    </w:lvl>
  </w:abstractNum>
  <w:abstractNum w:abstractNumId="9">
    <w:nsid w:val="71C7F081"/>
    <w:multiLevelType w:val="singleLevel"/>
    <w:tmpl w:val="71C7F081"/>
    <w:lvl w:ilvl="0" w:tentative="0">
      <w:start w:val="1"/>
      <w:numFmt w:val="decimal"/>
      <w:lvlText w:val="%1."/>
      <w:lvlJc w:val="left"/>
      <w:pPr>
        <w:ind w:left="425" w:hanging="425"/>
      </w:pPr>
      <w:rPr>
        <w:rFonts w:hint="default"/>
      </w:rPr>
    </w:lvl>
  </w:abstractNum>
  <w:abstractNum w:abstractNumId="10">
    <w:nsid w:val="7CFF8E58"/>
    <w:multiLevelType w:val="singleLevel"/>
    <w:tmpl w:val="7CFF8E58"/>
    <w:lvl w:ilvl="0" w:tentative="0">
      <w:start w:val="1"/>
      <w:numFmt w:val="decimal"/>
      <w:lvlText w:val="%1."/>
      <w:lvlJc w:val="left"/>
      <w:pPr>
        <w:ind w:left="425" w:hanging="425"/>
      </w:pPr>
      <w:rPr>
        <w:rFonts w:hint="default"/>
      </w:rPr>
    </w:lvl>
  </w:abstractNum>
  <w:abstractNum w:abstractNumId="11">
    <w:nsid w:val="7E1959FE"/>
    <w:multiLevelType w:val="singleLevel"/>
    <w:tmpl w:val="7E1959FE"/>
    <w:lvl w:ilvl="0" w:tentative="0">
      <w:start w:val="1"/>
      <w:numFmt w:val="chineseCounting"/>
      <w:suff w:val="nothing"/>
      <w:lvlText w:val="（%1）"/>
      <w:lvlJc w:val="left"/>
      <w:pPr>
        <w:ind w:left="0" w:firstLine="420"/>
      </w:pPr>
      <w:rPr>
        <w:rFonts w:hint="eastAsia"/>
      </w:rPr>
    </w:lvl>
  </w:abstractNum>
  <w:num w:numId="1">
    <w:abstractNumId w:val="7"/>
  </w:num>
  <w:num w:numId="2">
    <w:abstractNumId w:val="8"/>
  </w:num>
  <w:num w:numId="3">
    <w:abstractNumId w:val="3"/>
  </w:num>
  <w:num w:numId="4">
    <w:abstractNumId w:val="6"/>
  </w:num>
  <w:num w:numId="5">
    <w:abstractNumId w:val="11"/>
  </w:num>
  <w:num w:numId="6">
    <w:abstractNumId w:val="10"/>
  </w:num>
  <w:num w:numId="7">
    <w:abstractNumId w:val="9"/>
  </w:num>
  <w:num w:numId="8">
    <w:abstractNumId w:val="4"/>
  </w:num>
  <w:num w:numId="9">
    <w:abstractNumId w:val="2"/>
  </w:num>
  <w:num w:numId="10">
    <w:abstractNumId w:val="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5D9"/>
    <w:rsid w:val="00002DF3"/>
    <w:rsid w:val="00005C35"/>
    <w:rsid w:val="0001222B"/>
    <w:rsid w:val="000A35D9"/>
    <w:rsid w:val="000C6D62"/>
    <w:rsid w:val="00120A43"/>
    <w:rsid w:val="00153061"/>
    <w:rsid w:val="00175563"/>
    <w:rsid w:val="001F1E88"/>
    <w:rsid w:val="001F44ED"/>
    <w:rsid w:val="002657B0"/>
    <w:rsid w:val="0027144A"/>
    <w:rsid w:val="00271F6F"/>
    <w:rsid w:val="00314F2B"/>
    <w:rsid w:val="00315386"/>
    <w:rsid w:val="00322FEF"/>
    <w:rsid w:val="00326C28"/>
    <w:rsid w:val="00327E00"/>
    <w:rsid w:val="0036191E"/>
    <w:rsid w:val="00374FB7"/>
    <w:rsid w:val="00383591"/>
    <w:rsid w:val="003908CF"/>
    <w:rsid w:val="003A5210"/>
    <w:rsid w:val="00454BD1"/>
    <w:rsid w:val="0046774B"/>
    <w:rsid w:val="004877A3"/>
    <w:rsid w:val="004A4E1D"/>
    <w:rsid w:val="004A4F89"/>
    <w:rsid w:val="004C5D3A"/>
    <w:rsid w:val="004F477D"/>
    <w:rsid w:val="00500612"/>
    <w:rsid w:val="00507DE8"/>
    <w:rsid w:val="005331CA"/>
    <w:rsid w:val="00582B42"/>
    <w:rsid w:val="00587106"/>
    <w:rsid w:val="005B0DA0"/>
    <w:rsid w:val="00611C6A"/>
    <w:rsid w:val="0063651F"/>
    <w:rsid w:val="00683F6D"/>
    <w:rsid w:val="006C5689"/>
    <w:rsid w:val="00715438"/>
    <w:rsid w:val="00723602"/>
    <w:rsid w:val="007319DB"/>
    <w:rsid w:val="0075498A"/>
    <w:rsid w:val="007C6640"/>
    <w:rsid w:val="007D010F"/>
    <w:rsid w:val="007D24D2"/>
    <w:rsid w:val="00805662"/>
    <w:rsid w:val="008470E0"/>
    <w:rsid w:val="008814D4"/>
    <w:rsid w:val="008A715A"/>
    <w:rsid w:val="008B480D"/>
    <w:rsid w:val="008E0760"/>
    <w:rsid w:val="009114BA"/>
    <w:rsid w:val="00940724"/>
    <w:rsid w:val="00995A6B"/>
    <w:rsid w:val="009B3179"/>
    <w:rsid w:val="009D46C7"/>
    <w:rsid w:val="009D6A28"/>
    <w:rsid w:val="00A71018"/>
    <w:rsid w:val="00AB09EB"/>
    <w:rsid w:val="00AB3EC4"/>
    <w:rsid w:val="00AB5B06"/>
    <w:rsid w:val="00AC3E61"/>
    <w:rsid w:val="00B0572A"/>
    <w:rsid w:val="00B10CEB"/>
    <w:rsid w:val="00B239C2"/>
    <w:rsid w:val="00B26E42"/>
    <w:rsid w:val="00B37FAC"/>
    <w:rsid w:val="00B77212"/>
    <w:rsid w:val="00B85992"/>
    <w:rsid w:val="00BA6BF4"/>
    <w:rsid w:val="00BB286E"/>
    <w:rsid w:val="00BB4494"/>
    <w:rsid w:val="00BB5D88"/>
    <w:rsid w:val="00C436D3"/>
    <w:rsid w:val="00C73257"/>
    <w:rsid w:val="00D3630E"/>
    <w:rsid w:val="00D56E14"/>
    <w:rsid w:val="00D637DA"/>
    <w:rsid w:val="00D9305B"/>
    <w:rsid w:val="00DE6A78"/>
    <w:rsid w:val="00EB12BE"/>
    <w:rsid w:val="00ED4226"/>
    <w:rsid w:val="00F20314"/>
    <w:rsid w:val="00F63DE9"/>
    <w:rsid w:val="00FA3D73"/>
    <w:rsid w:val="00FF69A6"/>
    <w:rsid w:val="7DF6858C"/>
    <w:rsid w:val="7FCDEE60"/>
    <w:rsid w:val="957F506E"/>
    <w:rsid w:val="D1FFBFB4"/>
    <w:rsid w:val="FF730A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9"/>
    <w:pPr>
      <w:keepNext/>
      <w:keepLines/>
      <w:numPr>
        <w:ilvl w:val="0"/>
        <w:numId w:val="1"/>
      </w:numPr>
      <w:spacing w:line="579" w:lineRule="auto"/>
      <w:outlineLvl w:val="0"/>
    </w:pPr>
    <w:rPr>
      <w:rFonts w:asciiTheme="minorAscii" w:hAnsiTheme="minorAscii"/>
      <w:b/>
      <w:bCs/>
      <w:kern w:val="44"/>
      <w:sz w:val="32"/>
      <w:szCs w:val="32"/>
    </w:rPr>
  </w:style>
  <w:style w:type="paragraph" w:styleId="3">
    <w:name w:val="heading 2"/>
    <w:basedOn w:val="1"/>
    <w:next w:val="1"/>
    <w:link w:val="13"/>
    <w:unhideWhenUsed/>
    <w:qFormat/>
    <w:uiPriority w:val="9"/>
    <w:pPr>
      <w:keepNext/>
      <w:keepLines/>
      <w:numPr>
        <w:ilvl w:val="1"/>
        <w:numId w:val="1"/>
      </w:numPr>
      <w:outlineLvl w:val="1"/>
    </w:pPr>
    <w:rPr>
      <w:rFonts w:asciiTheme="majorAscii" w:hAnsiTheme="majorAscii" w:eastAsiaTheme="majorEastAsia" w:cstheme="majorBidi"/>
      <w:b/>
      <w:bCs/>
      <w:sz w:val="30"/>
      <w:szCs w:val="30"/>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26"/>
    <w:unhideWhenUsed/>
    <w:qFormat/>
    <w:uiPriority w:val="99"/>
    <w:pPr>
      <w:tabs>
        <w:tab w:val="center" w:pos="4153"/>
        <w:tab w:val="right" w:pos="8306"/>
      </w:tabs>
      <w:snapToGrid w:val="0"/>
      <w:jc w:val="left"/>
    </w:pPr>
    <w:rPr>
      <w:sz w:val="18"/>
      <w:szCs w:val="18"/>
    </w:rPr>
  </w:style>
  <w:style w:type="paragraph" w:styleId="6">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rPr>
      <w:rFonts w:ascii="Calibri" w:hAnsi="Calibri" w:eastAsia="宋体" w:cs="Times New Roman"/>
      <w:sz w:val="24"/>
      <w:szCs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semiHidden/>
    <w:unhideWhenUsed/>
    <w:qFormat/>
    <w:uiPriority w:val="99"/>
    <w:rPr>
      <w:color w:val="954F72"/>
      <w:u w:val="single"/>
    </w:rPr>
  </w:style>
  <w:style w:type="character" w:styleId="12">
    <w:name w:val="Hyperlink"/>
    <w:basedOn w:val="10"/>
    <w:semiHidden/>
    <w:unhideWhenUsed/>
    <w:qFormat/>
    <w:uiPriority w:val="99"/>
    <w:rPr>
      <w:color w:val="0563C1"/>
      <w:u w:val="single"/>
    </w:rPr>
  </w:style>
  <w:style w:type="character" w:customStyle="1" w:styleId="13">
    <w:name w:val="标题 2 字符"/>
    <w:basedOn w:val="10"/>
    <w:link w:val="3"/>
    <w:qFormat/>
    <w:uiPriority w:val="9"/>
    <w:rPr>
      <w:rFonts w:asciiTheme="majorAscii" w:hAnsiTheme="majorAscii" w:eastAsiaTheme="majorEastAsia" w:cstheme="majorBidi"/>
      <w:b/>
      <w:bCs/>
      <w:sz w:val="30"/>
      <w:szCs w:val="30"/>
    </w:rPr>
  </w:style>
  <w:style w:type="paragraph" w:customStyle="1" w:styleId="14">
    <w:name w:val="表格233"/>
    <w:basedOn w:val="1"/>
    <w:qFormat/>
    <w:uiPriority w:val="0"/>
    <w:pPr>
      <w:widowControl/>
      <w:jc w:val="left"/>
    </w:pPr>
    <w:rPr>
      <w:rFonts w:ascii="仿宋" w:hAnsi="仿宋" w:cs="宋体"/>
      <w:bCs/>
      <w:color w:val="000000"/>
      <w:kern w:val="0"/>
      <w:szCs w:val="21"/>
    </w:rPr>
  </w:style>
  <w:style w:type="paragraph" w:customStyle="1" w:styleId="15">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6">
    <w:name w:val="font5"/>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4"/>
      <w:szCs w:val="24"/>
    </w:rPr>
  </w:style>
  <w:style w:type="paragraph" w:customStyle="1" w:styleId="17">
    <w:name w:val="font6"/>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8">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宋体" w:cs="Times New Roman"/>
      <w:kern w:val="0"/>
      <w:sz w:val="24"/>
      <w:szCs w:val="24"/>
    </w:rPr>
  </w:style>
  <w:style w:type="paragraph" w:customStyle="1" w:styleId="2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4"/>
      <w:szCs w:val="24"/>
    </w:rPr>
  </w:style>
  <w:style w:type="paragraph" w:customStyle="1" w:styleId="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000000"/>
      <w:kern w:val="0"/>
      <w:sz w:val="24"/>
      <w:szCs w:val="24"/>
    </w:rPr>
  </w:style>
  <w:style w:type="paragraph" w:customStyle="1" w:styleId="2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kern w:val="0"/>
      <w:sz w:val="24"/>
      <w:szCs w:val="24"/>
    </w:rPr>
  </w:style>
  <w:style w:type="paragraph" w:styleId="24">
    <w:name w:val="List Paragraph"/>
    <w:basedOn w:val="1"/>
    <w:qFormat/>
    <w:uiPriority w:val="34"/>
    <w:pPr>
      <w:ind w:firstLine="420" w:firstLineChars="200"/>
    </w:pPr>
  </w:style>
  <w:style w:type="character" w:customStyle="1" w:styleId="25">
    <w:name w:val="页眉 字符"/>
    <w:basedOn w:val="10"/>
    <w:link w:val="6"/>
    <w:qFormat/>
    <w:uiPriority w:val="99"/>
    <w:rPr>
      <w:sz w:val="18"/>
      <w:szCs w:val="18"/>
    </w:rPr>
  </w:style>
  <w:style w:type="character" w:customStyle="1" w:styleId="26">
    <w:name w:val="页脚 字符"/>
    <w:basedOn w:val="10"/>
    <w:link w:val="5"/>
    <w:qFormat/>
    <w:uiPriority w:val="99"/>
    <w:rPr>
      <w:sz w:val="18"/>
      <w:szCs w:val="18"/>
    </w:rPr>
  </w:style>
  <w:style w:type="character" w:customStyle="1" w:styleId="27">
    <w:name w:val="标题 1 字符"/>
    <w:basedOn w:val="10"/>
    <w:link w:val="2"/>
    <w:qFormat/>
    <w:uiPriority w:val="9"/>
    <w:rPr>
      <w:rFonts w:asciiTheme="minorAscii" w:hAnsiTheme="minorAscii" w:eastAsiaTheme="minorEastAsia"/>
      <w:b/>
      <w:bCs/>
      <w:kern w:val="44"/>
      <w:sz w:val="32"/>
      <w:szCs w:val="32"/>
    </w:rPr>
  </w:style>
  <w:style w:type="character" w:customStyle="1" w:styleId="28">
    <w:name w:val="标题 3 字符"/>
    <w:basedOn w:val="10"/>
    <w:link w:val="4"/>
    <w:semiHidden/>
    <w:qFormat/>
    <w:uiPriority w:val="9"/>
    <w:rPr>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6418A927-AF95-439F-A117-7C4AD313588B}">
  <ds:schemaRefs/>
</ds:datastoreItem>
</file>

<file path=docProps/app.xml><?xml version="1.0" encoding="utf-8"?>
<Properties xmlns="http://schemas.openxmlformats.org/officeDocument/2006/extended-properties" xmlns:vt="http://schemas.openxmlformats.org/officeDocument/2006/docPropsVTypes">
  <Template>Normal.dotm</Template>
  <Pages>6</Pages>
  <Words>450</Words>
  <Characters>2568</Characters>
  <Lines>21</Lines>
  <Paragraphs>6</Paragraphs>
  <TotalTime>86</TotalTime>
  <ScaleCrop>false</ScaleCrop>
  <LinksUpToDate>false</LinksUpToDate>
  <CharactersWithSpaces>3012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2026-06-16T01:23:00Z</dcterms:created>
  <dc:creator>Skyia_ccf</dc:creator>
  <cp:lastModifiedBy>user37</cp:lastModifiedBy>
  <cp:lastPrinted>2026-06-17T19:46:00Z</cp:lastPrinted>
  <dcterms:modified xsi:type="dcterms:W3CDTF">2026-06-30T10:39:43Z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48527C845E1431E22FF5316A100C515E_43</vt:lpwstr>
  </property>
</Properties>
</file>