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8A40C1">
      <w:pPr>
        <w:pStyle w:val="3"/>
        <w:spacing w:before="120" w:after="120"/>
        <w:rPr>
          <w:rFonts w:ascii="宋体" w:hAnsi="宋体"/>
          <w:color w:val="000000" w:themeColor="text1"/>
          <w:highlight w:val="none"/>
          <w14:textFill>
            <w14:solidFill>
              <w14:schemeClr w14:val="tx1"/>
            </w14:solidFill>
          </w14:textFill>
        </w:rPr>
      </w:pPr>
      <w:bookmarkStart w:id="0" w:name="_Toc1089"/>
      <w:r>
        <w:rPr>
          <w:rFonts w:hint="eastAsia" w:ascii="宋体" w:hAnsi="宋体"/>
          <w:color w:val="000000" w:themeColor="text1"/>
          <w:highlight w:val="none"/>
          <w14:textFill>
            <w14:solidFill>
              <w14:schemeClr w14:val="tx1"/>
            </w14:solidFill>
          </w14:textFill>
        </w:rPr>
        <w:t>第三章 项目采购需求</w:t>
      </w:r>
      <w:bookmarkEnd w:id="0"/>
    </w:p>
    <w:p w14:paraId="00A73906">
      <w:pPr>
        <w:pStyle w:val="2"/>
        <w:spacing w:beforeLines="50" w:afterLines="50" w:line="360" w:lineRule="auto"/>
        <w:rPr>
          <w:rFonts w:ascii="宋体" w:hAnsi="宋体" w:eastAsia="宋体"/>
          <w:b/>
          <w:color w:val="000000" w:themeColor="text1"/>
          <w:kern w:val="44"/>
          <w:sz w:val="21"/>
          <w:szCs w:val="21"/>
          <w:highlight w:val="none"/>
          <w14:textFill>
            <w14:solidFill>
              <w14:schemeClr w14:val="tx1"/>
            </w14:solidFill>
          </w14:textFill>
        </w:rPr>
      </w:pPr>
      <w:bookmarkStart w:id="1" w:name="_Toc25524"/>
      <w:r>
        <w:rPr>
          <w:rFonts w:hint="eastAsia" w:ascii="宋体" w:hAnsi="宋体" w:eastAsia="宋体"/>
          <w:b/>
          <w:color w:val="000000" w:themeColor="text1"/>
          <w:kern w:val="44"/>
          <w:sz w:val="21"/>
          <w:szCs w:val="21"/>
          <w:highlight w:val="none"/>
          <w14:textFill>
            <w14:solidFill>
              <w14:schemeClr w14:val="tx1"/>
            </w14:solidFill>
          </w14:textFill>
        </w:rPr>
        <w:t>一、项目基本情况</w:t>
      </w:r>
      <w:bookmarkEnd w:id="1"/>
    </w:p>
    <w:p w14:paraId="5BBAD425">
      <w:pPr>
        <w:spacing w:line="360" w:lineRule="auto"/>
        <w:ind w:firstLine="420" w:firstLineChars="200"/>
        <w:rPr>
          <w:rFonts w:hint="eastAsia" w:asciiTheme="minorEastAsia" w:hAnsiTheme="minorEastAsia"/>
          <w:szCs w:val="21"/>
          <w:highlight w:val="none"/>
        </w:rPr>
      </w:pPr>
      <w:r>
        <w:rPr>
          <w:rFonts w:hint="eastAsia" w:asciiTheme="minorEastAsia" w:hAnsiTheme="minorEastAsia"/>
          <w:szCs w:val="21"/>
          <w:highlight w:val="none"/>
        </w:rPr>
        <w:t>（一）项目名称：农村集体“三资”监管平台功能优化及维护项目</w:t>
      </w:r>
    </w:p>
    <w:p w14:paraId="190BEC42">
      <w:pPr>
        <w:pStyle w:val="2"/>
        <w:spacing w:beforeLines="50" w:afterLines="50" w:line="360" w:lineRule="auto"/>
        <w:rPr>
          <w:rFonts w:ascii="宋体" w:hAnsi="宋体" w:eastAsia="宋体"/>
          <w:b/>
          <w:color w:val="000000" w:themeColor="text1"/>
          <w:kern w:val="44"/>
          <w:sz w:val="21"/>
          <w:szCs w:val="21"/>
          <w:highlight w:val="none"/>
          <w14:textFill>
            <w14:solidFill>
              <w14:schemeClr w14:val="tx1"/>
            </w14:solidFill>
          </w14:textFill>
        </w:rPr>
      </w:pPr>
      <w:bookmarkStart w:id="2" w:name="_Toc1889"/>
      <w:r>
        <w:rPr>
          <w:rFonts w:hint="eastAsia" w:ascii="宋体" w:hAnsi="宋体" w:eastAsia="宋体"/>
          <w:b/>
          <w:color w:val="000000" w:themeColor="text1"/>
          <w:kern w:val="44"/>
          <w:sz w:val="21"/>
          <w:szCs w:val="21"/>
          <w:highlight w:val="none"/>
          <w14:textFill>
            <w14:solidFill>
              <w14:schemeClr w14:val="tx1"/>
            </w14:solidFill>
          </w14:textFill>
        </w:rPr>
        <w:t>二、项目工作内容</w:t>
      </w:r>
      <w:bookmarkEnd w:id="2"/>
    </w:p>
    <w:p w14:paraId="64CD55BA">
      <w:pPr>
        <w:spacing w:afterLines="50"/>
        <w:ind w:firstLine="420" w:firstLineChars="200"/>
        <w:rPr>
          <w:highlight w:val="none"/>
        </w:rPr>
      </w:pPr>
      <w:r>
        <w:rPr>
          <w:rFonts w:hint="eastAsia" w:asciiTheme="minorEastAsia" w:hAnsiTheme="minorEastAsia"/>
          <w:szCs w:val="21"/>
          <w:highlight w:val="none"/>
        </w:rPr>
        <w:t>本项目主要是进行武汉农村集体“三资”监管平台的信息化运行维护，其内容包括：</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3159"/>
        <w:gridCol w:w="2131"/>
        <w:gridCol w:w="2131"/>
      </w:tblGrid>
      <w:tr w14:paraId="1942B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134513EF">
            <w:pPr>
              <w:jc w:val="center"/>
              <w:rPr>
                <w:rFonts w:asciiTheme="minorEastAsia" w:hAnsiTheme="minorEastAsia"/>
                <w:szCs w:val="21"/>
                <w:highlight w:val="none"/>
              </w:rPr>
            </w:pPr>
            <w:r>
              <w:rPr>
                <w:rFonts w:hint="eastAsia" w:asciiTheme="minorEastAsia" w:hAnsiTheme="minorEastAsia"/>
                <w:szCs w:val="21"/>
                <w:highlight w:val="none"/>
              </w:rPr>
              <w:t>序号</w:t>
            </w:r>
          </w:p>
        </w:tc>
        <w:tc>
          <w:tcPr>
            <w:tcW w:w="3159" w:type="dxa"/>
          </w:tcPr>
          <w:p w14:paraId="2EE77F2F">
            <w:pPr>
              <w:jc w:val="center"/>
              <w:rPr>
                <w:rFonts w:asciiTheme="minorEastAsia" w:hAnsiTheme="minorEastAsia"/>
                <w:szCs w:val="21"/>
                <w:highlight w:val="none"/>
              </w:rPr>
            </w:pPr>
            <w:r>
              <w:rPr>
                <w:rFonts w:hint="eastAsia" w:asciiTheme="minorEastAsia" w:hAnsiTheme="minorEastAsia"/>
                <w:szCs w:val="21"/>
                <w:highlight w:val="none"/>
              </w:rPr>
              <w:t>名称</w:t>
            </w:r>
          </w:p>
        </w:tc>
        <w:tc>
          <w:tcPr>
            <w:tcW w:w="2131" w:type="dxa"/>
          </w:tcPr>
          <w:p w14:paraId="23F8FDF5">
            <w:pPr>
              <w:jc w:val="center"/>
              <w:rPr>
                <w:rFonts w:asciiTheme="minorEastAsia" w:hAnsiTheme="minorEastAsia"/>
                <w:szCs w:val="21"/>
                <w:highlight w:val="none"/>
              </w:rPr>
            </w:pPr>
            <w:r>
              <w:rPr>
                <w:rFonts w:hint="eastAsia" w:asciiTheme="minorEastAsia" w:hAnsiTheme="minorEastAsia"/>
                <w:szCs w:val="21"/>
                <w:highlight w:val="none"/>
              </w:rPr>
              <w:t>单位</w:t>
            </w:r>
          </w:p>
        </w:tc>
        <w:tc>
          <w:tcPr>
            <w:tcW w:w="2131" w:type="dxa"/>
          </w:tcPr>
          <w:p w14:paraId="33C4C508">
            <w:pPr>
              <w:jc w:val="center"/>
              <w:rPr>
                <w:rFonts w:asciiTheme="minorEastAsia" w:hAnsiTheme="minorEastAsia"/>
                <w:szCs w:val="21"/>
                <w:highlight w:val="none"/>
              </w:rPr>
            </w:pPr>
            <w:r>
              <w:rPr>
                <w:rFonts w:hint="eastAsia" w:asciiTheme="minorEastAsia" w:hAnsiTheme="minorEastAsia"/>
                <w:szCs w:val="21"/>
                <w:highlight w:val="none"/>
              </w:rPr>
              <w:t>数量</w:t>
            </w:r>
          </w:p>
        </w:tc>
      </w:tr>
      <w:tr w14:paraId="6E8F6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3226B065">
            <w:pPr>
              <w:jc w:val="center"/>
              <w:rPr>
                <w:rFonts w:asciiTheme="minorEastAsia" w:hAnsiTheme="minorEastAsia"/>
                <w:szCs w:val="21"/>
                <w:highlight w:val="none"/>
              </w:rPr>
            </w:pPr>
            <w:r>
              <w:rPr>
                <w:rFonts w:hint="eastAsia" w:asciiTheme="minorEastAsia" w:hAnsiTheme="minorEastAsia"/>
                <w:szCs w:val="21"/>
                <w:highlight w:val="none"/>
                <w:lang w:val="en-US" w:eastAsia="zh-CN"/>
              </w:rPr>
              <w:t>1</w:t>
            </w:r>
          </w:p>
        </w:tc>
        <w:tc>
          <w:tcPr>
            <w:tcW w:w="3159" w:type="dxa"/>
          </w:tcPr>
          <w:p w14:paraId="11DCEB09">
            <w:pPr>
              <w:jc w:val="center"/>
              <w:rPr>
                <w:rFonts w:asciiTheme="minorEastAsia" w:hAnsiTheme="minorEastAsia"/>
                <w:szCs w:val="21"/>
                <w:highlight w:val="none"/>
              </w:rPr>
            </w:pPr>
            <w:r>
              <w:rPr>
                <w:rFonts w:hint="eastAsia" w:asciiTheme="minorEastAsia" w:hAnsiTheme="minorEastAsia"/>
                <w:szCs w:val="21"/>
                <w:highlight w:val="none"/>
              </w:rPr>
              <w:t>维护服务</w:t>
            </w:r>
          </w:p>
        </w:tc>
        <w:tc>
          <w:tcPr>
            <w:tcW w:w="2131" w:type="dxa"/>
          </w:tcPr>
          <w:p w14:paraId="20298ED6">
            <w:pPr>
              <w:jc w:val="center"/>
              <w:rPr>
                <w:rFonts w:asciiTheme="minorEastAsia" w:hAnsiTheme="minorEastAsia"/>
                <w:szCs w:val="21"/>
                <w:highlight w:val="none"/>
              </w:rPr>
            </w:pPr>
            <w:r>
              <w:rPr>
                <w:rFonts w:hint="eastAsia" w:asciiTheme="minorEastAsia" w:hAnsiTheme="minorEastAsia"/>
                <w:szCs w:val="21"/>
                <w:highlight w:val="none"/>
              </w:rPr>
              <w:t>项</w:t>
            </w:r>
          </w:p>
        </w:tc>
        <w:tc>
          <w:tcPr>
            <w:tcW w:w="2131" w:type="dxa"/>
          </w:tcPr>
          <w:p w14:paraId="2B64BAB1">
            <w:pPr>
              <w:jc w:val="center"/>
              <w:rPr>
                <w:rFonts w:asciiTheme="minorEastAsia" w:hAnsiTheme="minorEastAsia"/>
                <w:szCs w:val="21"/>
                <w:highlight w:val="none"/>
              </w:rPr>
            </w:pPr>
            <w:r>
              <w:rPr>
                <w:rFonts w:hint="eastAsia" w:asciiTheme="minorEastAsia" w:hAnsiTheme="minorEastAsia"/>
                <w:szCs w:val="21"/>
                <w:highlight w:val="none"/>
              </w:rPr>
              <w:t>1</w:t>
            </w:r>
          </w:p>
        </w:tc>
      </w:tr>
    </w:tbl>
    <w:p w14:paraId="4892BAA2">
      <w:pPr>
        <w:pStyle w:val="2"/>
        <w:numPr>
          <w:ilvl w:val="0"/>
          <w:numId w:val="1"/>
        </w:numPr>
        <w:spacing w:beforeLines="50" w:afterLines="50" w:line="360" w:lineRule="auto"/>
        <w:rPr>
          <w:rFonts w:hint="eastAsia" w:ascii="宋体" w:hAnsi="宋体" w:eastAsia="宋体"/>
          <w:b/>
          <w:color w:val="000000" w:themeColor="text1"/>
          <w:kern w:val="44"/>
          <w:sz w:val="21"/>
          <w:szCs w:val="21"/>
          <w:highlight w:val="none"/>
          <w14:textFill>
            <w14:solidFill>
              <w14:schemeClr w14:val="tx1"/>
            </w14:solidFill>
          </w14:textFill>
        </w:rPr>
      </w:pPr>
      <w:bookmarkStart w:id="3" w:name="_Toc11513"/>
      <w:r>
        <w:rPr>
          <w:rFonts w:hint="eastAsia" w:ascii="宋体" w:hAnsi="宋体" w:eastAsia="宋体"/>
          <w:b/>
          <w:color w:val="000000" w:themeColor="text1"/>
          <w:kern w:val="44"/>
          <w:sz w:val="21"/>
          <w:szCs w:val="21"/>
          <w:highlight w:val="none"/>
          <w14:textFill>
            <w14:solidFill>
              <w14:schemeClr w14:val="tx1"/>
            </w14:solidFill>
          </w14:textFill>
        </w:rPr>
        <w:t>总体要求</w:t>
      </w:r>
      <w:bookmarkEnd w:id="3"/>
    </w:p>
    <w:p w14:paraId="670A3654">
      <w:pPr>
        <w:spacing w:line="360" w:lineRule="auto"/>
        <w:ind w:firstLine="420" w:firstLineChars="200"/>
        <w:rPr>
          <w:rFonts w:asciiTheme="minorEastAsia" w:hAnsiTheme="minorEastAsia"/>
          <w:szCs w:val="21"/>
          <w:highlight w:val="none"/>
        </w:rPr>
      </w:pPr>
      <w:r>
        <w:rPr>
          <w:rFonts w:hint="eastAsia" w:asciiTheme="minorEastAsia" w:hAnsiTheme="minorEastAsia"/>
          <w:szCs w:val="21"/>
          <w:highlight w:val="none"/>
        </w:rPr>
        <w:t>武汉农村集体“三资”监管平台于2016年开始投建，经过</w:t>
      </w:r>
      <w:r>
        <w:rPr>
          <w:rFonts w:hint="eastAsia" w:asciiTheme="minorEastAsia" w:hAnsiTheme="minorEastAsia"/>
          <w:szCs w:val="21"/>
          <w:highlight w:val="none"/>
          <w:lang w:val="en-US" w:eastAsia="zh-CN"/>
        </w:rPr>
        <w:t>九</w:t>
      </w:r>
      <w:r>
        <w:rPr>
          <w:rFonts w:hint="eastAsia" w:asciiTheme="minorEastAsia" w:hAnsiTheme="minorEastAsia"/>
          <w:szCs w:val="21"/>
          <w:highlight w:val="none"/>
        </w:rPr>
        <w:t>年的发展与提升，平台稳定运行，收到良好的效果。为保障平台的稳定运行及业务的正常使用，本年度需要采购如下</w:t>
      </w:r>
      <w:r>
        <w:rPr>
          <w:rFonts w:hint="eastAsia" w:asciiTheme="minorEastAsia" w:hAnsiTheme="minorEastAsia"/>
          <w:szCs w:val="21"/>
          <w:highlight w:val="none"/>
          <w:lang w:val="en-US" w:eastAsia="zh-CN"/>
        </w:rPr>
        <w:t>维护</w:t>
      </w:r>
      <w:r>
        <w:rPr>
          <w:rFonts w:hint="eastAsia" w:asciiTheme="minorEastAsia" w:hAnsiTheme="minorEastAsia"/>
          <w:szCs w:val="21"/>
          <w:highlight w:val="none"/>
        </w:rPr>
        <w:t>服务。</w:t>
      </w:r>
    </w:p>
    <w:p w14:paraId="56BF0C3A">
      <w:pPr>
        <w:spacing w:line="360" w:lineRule="auto"/>
        <w:ind w:firstLine="420" w:firstLineChars="200"/>
        <w:rPr>
          <w:rFonts w:asciiTheme="minorEastAsia" w:hAnsiTheme="minorEastAsia"/>
          <w:szCs w:val="21"/>
          <w:highlight w:val="none"/>
        </w:rPr>
      </w:pPr>
      <w:r>
        <w:rPr>
          <w:rFonts w:hint="eastAsia" w:asciiTheme="minorEastAsia" w:hAnsiTheme="minorEastAsia"/>
          <w:szCs w:val="21"/>
          <w:highlight w:val="none"/>
        </w:rPr>
        <w:t>（</w:t>
      </w:r>
      <w:r>
        <w:rPr>
          <w:rFonts w:hint="eastAsia" w:asciiTheme="minorEastAsia" w:hAnsiTheme="minorEastAsia"/>
          <w:szCs w:val="21"/>
          <w:highlight w:val="none"/>
          <w:lang w:eastAsia="zh-CN"/>
        </w:rPr>
        <w:t>一</w:t>
      </w:r>
      <w:r>
        <w:rPr>
          <w:rFonts w:hint="eastAsia" w:asciiTheme="minorEastAsia" w:hAnsiTheme="minorEastAsia"/>
          <w:szCs w:val="21"/>
          <w:highlight w:val="none"/>
        </w:rPr>
        <w:t>）维护服务</w:t>
      </w:r>
      <w:bookmarkStart w:id="4" w:name="_GoBack"/>
      <w:bookmarkEnd w:id="4"/>
    </w:p>
    <w:p w14:paraId="087E96F5">
      <w:pPr>
        <w:spacing w:line="360" w:lineRule="auto"/>
        <w:ind w:firstLine="420" w:firstLineChars="200"/>
        <w:rPr>
          <w:rFonts w:asciiTheme="minorEastAsia" w:hAnsiTheme="minorEastAsia"/>
          <w:szCs w:val="21"/>
          <w:highlight w:val="none"/>
        </w:rPr>
      </w:pPr>
      <w:r>
        <w:rPr>
          <w:rFonts w:hint="eastAsia" w:asciiTheme="minorEastAsia" w:hAnsiTheme="minorEastAsia"/>
          <w:szCs w:val="21"/>
          <w:highlight w:val="none"/>
        </w:rPr>
        <w:t>（1）维护服务范围：</w:t>
      </w:r>
    </w:p>
    <w:p w14:paraId="0E9AC0AD">
      <w:pPr>
        <w:spacing w:line="360" w:lineRule="auto"/>
        <w:ind w:firstLine="420" w:firstLineChars="200"/>
        <w:rPr>
          <w:rFonts w:asciiTheme="minorEastAsia" w:hAnsiTheme="minorEastAsia"/>
          <w:szCs w:val="21"/>
          <w:highlight w:val="none"/>
        </w:rPr>
      </w:pPr>
      <w:r>
        <w:rPr>
          <w:rFonts w:hint="eastAsia" w:asciiTheme="minorEastAsia" w:hAnsiTheme="minorEastAsia"/>
          <w:szCs w:val="21"/>
          <w:highlight w:val="none"/>
        </w:rPr>
        <w:t>供应商对已有平台系统的运维服务包括对构成系统的所有设施、硬件、网络、第三方软件、应用软件等的维护、维修和产品升级。</w:t>
      </w:r>
    </w:p>
    <w:p w14:paraId="1F827CB5">
      <w:pPr>
        <w:spacing w:line="360" w:lineRule="auto"/>
        <w:ind w:firstLine="420" w:firstLineChars="200"/>
        <w:rPr>
          <w:rFonts w:asciiTheme="minorEastAsia" w:hAnsiTheme="minorEastAsia"/>
          <w:szCs w:val="21"/>
          <w:highlight w:val="none"/>
        </w:rPr>
      </w:pPr>
      <w:r>
        <w:rPr>
          <w:rFonts w:hint="eastAsia" w:asciiTheme="minorEastAsia" w:hAnsiTheme="minorEastAsia"/>
          <w:szCs w:val="21"/>
          <w:highlight w:val="none"/>
        </w:rPr>
        <w:t>（2）日常维护内容：</w:t>
      </w:r>
    </w:p>
    <w:p w14:paraId="5FC23CD4">
      <w:pPr>
        <w:spacing w:line="360" w:lineRule="auto"/>
        <w:ind w:firstLine="420" w:firstLineChars="200"/>
        <w:rPr>
          <w:rFonts w:asciiTheme="minorEastAsia" w:hAnsiTheme="minorEastAsia"/>
          <w:szCs w:val="21"/>
          <w:highlight w:val="none"/>
        </w:rPr>
      </w:pPr>
      <w:r>
        <w:rPr>
          <w:rFonts w:hint="eastAsia" w:asciiTheme="minorEastAsia" w:hAnsiTheme="minorEastAsia"/>
          <w:szCs w:val="21"/>
          <w:highlight w:val="none"/>
        </w:rPr>
        <w:t>①电话支持服务(7×24 小时)：当用户遇到软件操作问题、简单的软件故障和技术问题等的时候，供应商需提供 7×24 小时的中文电话服务。</w:t>
      </w:r>
    </w:p>
    <w:p w14:paraId="775AFAEC">
      <w:pPr>
        <w:spacing w:line="360" w:lineRule="auto"/>
        <w:ind w:firstLine="420" w:firstLineChars="200"/>
        <w:rPr>
          <w:rFonts w:asciiTheme="minorEastAsia" w:hAnsiTheme="minorEastAsia"/>
          <w:szCs w:val="21"/>
          <w:highlight w:val="none"/>
        </w:rPr>
      </w:pPr>
      <w:r>
        <w:rPr>
          <w:rFonts w:hint="eastAsia" w:asciiTheme="minorEastAsia" w:hAnsiTheme="minorEastAsia"/>
          <w:szCs w:val="21"/>
          <w:highlight w:val="none"/>
        </w:rPr>
        <w:t>②上门支持服务：在出现由于软件缺陷引起系统无法正常运行情况时或电话服务无法解决系统运行时问题时，供应商须承诺在接到通知后 1 小时内作出响应，并采取行动上门修理故障，24 小时内修复的服务承诺。</w:t>
      </w:r>
    </w:p>
    <w:p w14:paraId="44D47FEE">
      <w:pPr>
        <w:spacing w:line="360" w:lineRule="auto"/>
        <w:ind w:firstLine="420" w:firstLineChars="200"/>
        <w:rPr>
          <w:rFonts w:asciiTheme="minorEastAsia" w:hAnsiTheme="minorEastAsia"/>
          <w:szCs w:val="21"/>
          <w:highlight w:val="none"/>
        </w:rPr>
      </w:pPr>
      <w:r>
        <w:rPr>
          <w:rFonts w:hint="eastAsia" w:asciiTheme="minorEastAsia" w:hAnsiTheme="minorEastAsia"/>
          <w:szCs w:val="21"/>
          <w:highlight w:val="none"/>
        </w:rPr>
        <w:t>③供应商需在</w:t>
      </w:r>
      <w:r>
        <w:rPr>
          <w:rFonts w:hint="eastAsia"/>
          <w:highlight w:val="none"/>
        </w:rPr>
        <w:t>本项目所在地</w:t>
      </w:r>
      <w:r>
        <w:rPr>
          <w:rFonts w:hint="eastAsia" w:asciiTheme="minorEastAsia" w:hAnsiTheme="minorEastAsia"/>
          <w:szCs w:val="21"/>
          <w:highlight w:val="none"/>
        </w:rPr>
        <w:t>建立技术支持驻点，提供为期 1 年的软件维护服务，包括 bug 修改、故障处理、业务系统升级方案的咨询服务。</w:t>
      </w:r>
    </w:p>
    <w:p w14:paraId="368DDF8E">
      <w:pPr>
        <w:spacing w:line="360" w:lineRule="auto"/>
        <w:ind w:firstLine="420" w:firstLineChars="200"/>
        <w:rPr>
          <w:rFonts w:asciiTheme="minorEastAsia" w:hAnsiTheme="minorEastAsia"/>
          <w:szCs w:val="21"/>
          <w:highlight w:val="none"/>
        </w:rPr>
      </w:pPr>
      <w:r>
        <w:rPr>
          <w:rFonts w:hint="eastAsia" w:asciiTheme="minorEastAsia" w:hAnsiTheme="minorEastAsia"/>
          <w:szCs w:val="21"/>
          <w:highlight w:val="none"/>
        </w:rPr>
        <w:t>④供应商对日常维护和处理问题进行记录，并及时提交项目组处理。处理系统流程及人员岗位变动</w:t>
      </w:r>
      <w:r>
        <w:rPr>
          <w:rFonts w:hint="eastAsia" w:asciiTheme="minorEastAsia" w:hAnsiTheme="minorEastAsia"/>
          <w:szCs w:val="21"/>
          <w:highlight w:val="none"/>
          <w:lang w:eastAsia="zh-CN"/>
        </w:rPr>
        <w:t>，</w:t>
      </w:r>
      <w:r>
        <w:rPr>
          <w:rFonts w:hint="eastAsia" w:asciiTheme="minorEastAsia" w:hAnsiTheme="minorEastAsia"/>
          <w:szCs w:val="21"/>
          <w:highlight w:val="none"/>
        </w:rPr>
        <w:t>跟进处理进度并向客户反馈完成情况,年末整理提交年度客户服务</w:t>
      </w:r>
      <w:r>
        <w:rPr>
          <w:rFonts w:hint="eastAsia" w:asciiTheme="minorEastAsia" w:hAnsiTheme="minorEastAsia"/>
          <w:szCs w:val="21"/>
          <w:highlight w:val="none"/>
          <w:lang w:val="en-US" w:eastAsia="zh-CN"/>
        </w:rPr>
        <w:t>详情</w:t>
      </w:r>
      <w:r>
        <w:rPr>
          <w:rFonts w:hint="eastAsia" w:asciiTheme="minorEastAsia" w:hAnsiTheme="minorEastAsia"/>
          <w:szCs w:val="21"/>
          <w:highlight w:val="none"/>
        </w:rPr>
        <w:t>清单和系统实施维护清单</w:t>
      </w:r>
      <w:r>
        <w:rPr>
          <w:rFonts w:hint="eastAsia" w:asciiTheme="minorEastAsia" w:hAnsiTheme="minorEastAsia"/>
          <w:szCs w:val="21"/>
          <w:highlight w:val="none"/>
        </w:rPr>
        <w:t>。</w:t>
      </w:r>
    </w:p>
    <w:p w14:paraId="765C806B">
      <w:pPr>
        <w:spacing w:line="360" w:lineRule="auto"/>
        <w:ind w:firstLine="420" w:firstLineChars="200"/>
        <w:rPr>
          <w:rFonts w:asciiTheme="minorEastAsia" w:hAnsiTheme="minorEastAsia"/>
          <w:szCs w:val="21"/>
          <w:highlight w:val="none"/>
        </w:rPr>
      </w:pPr>
      <w:r>
        <w:rPr>
          <w:rFonts w:hint="eastAsia" w:asciiTheme="minorEastAsia" w:hAnsiTheme="minorEastAsia"/>
          <w:szCs w:val="21"/>
          <w:highlight w:val="none"/>
        </w:rPr>
        <w:t>⑤检查各台服务器的运行情况及负载情况，对运行情况不理想的及时向云平台中心报告。</w:t>
      </w:r>
    </w:p>
    <w:p w14:paraId="457106CE">
      <w:pPr>
        <w:spacing w:line="360" w:lineRule="auto"/>
        <w:ind w:firstLine="420" w:firstLineChars="200"/>
        <w:rPr>
          <w:rFonts w:asciiTheme="minorEastAsia" w:hAnsiTheme="minorEastAsia"/>
          <w:szCs w:val="21"/>
          <w:highlight w:val="none"/>
        </w:rPr>
      </w:pPr>
      <w:r>
        <w:rPr>
          <w:rFonts w:hint="eastAsia" w:asciiTheme="minorEastAsia" w:hAnsiTheme="minorEastAsia"/>
          <w:szCs w:val="21"/>
          <w:highlight w:val="none"/>
        </w:rPr>
        <w:t>⑥每天早上于上班第一时间检查，从 IE 访问系统是否能够正常访问，访问速度是否正常,如异常,在规定时间内解决并出具故障报告。</w:t>
      </w:r>
    </w:p>
    <w:p w14:paraId="13D138E1">
      <w:pPr>
        <w:spacing w:line="360" w:lineRule="auto"/>
        <w:ind w:firstLine="420" w:firstLineChars="200"/>
        <w:rPr>
          <w:rFonts w:asciiTheme="minorEastAsia" w:hAnsiTheme="minorEastAsia"/>
          <w:szCs w:val="21"/>
          <w:highlight w:val="none"/>
        </w:rPr>
      </w:pPr>
      <w:r>
        <w:rPr>
          <w:rFonts w:hint="eastAsia" w:asciiTheme="minorEastAsia" w:hAnsiTheme="minorEastAsia"/>
          <w:szCs w:val="21"/>
          <w:highlight w:val="none"/>
        </w:rPr>
        <w:t>⑦每天检查备份情况，数据的增长情况。</w:t>
      </w:r>
    </w:p>
    <w:p w14:paraId="3B5DFD3E">
      <w:pPr>
        <w:spacing w:line="360" w:lineRule="auto"/>
        <w:ind w:firstLine="420" w:firstLineChars="200"/>
        <w:rPr>
          <w:rFonts w:asciiTheme="minorEastAsia" w:hAnsiTheme="minorEastAsia"/>
          <w:szCs w:val="21"/>
          <w:highlight w:val="none"/>
        </w:rPr>
      </w:pPr>
      <w:r>
        <w:rPr>
          <w:rFonts w:hint="eastAsia" w:asciiTheme="minorEastAsia" w:hAnsiTheme="minorEastAsia"/>
          <w:szCs w:val="21"/>
          <w:highlight w:val="none"/>
        </w:rPr>
        <w:t>⑧每月对服务器进行一次重启，重启前必需要通知相关负责人员,根据相关负责人员指示在下班时间进行，并记录重启时间，重启后，从 IE 确认系统是否可以正常访问。</w:t>
      </w:r>
    </w:p>
    <w:p w14:paraId="69E7BB5E">
      <w:pPr>
        <w:spacing w:line="360" w:lineRule="auto"/>
        <w:ind w:firstLine="420" w:firstLineChars="200"/>
        <w:rPr>
          <w:rFonts w:asciiTheme="minorEastAsia" w:hAnsiTheme="minorEastAsia"/>
          <w:szCs w:val="21"/>
          <w:highlight w:val="none"/>
        </w:rPr>
      </w:pPr>
      <w:r>
        <w:rPr>
          <w:rFonts w:hint="eastAsia" w:asciiTheme="minorEastAsia" w:hAnsiTheme="minorEastAsia"/>
          <w:szCs w:val="21"/>
          <w:highlight w:val="none"/>
        </w:rPr>
        <w:t>⑨</w:t>
      </w:r>
      <w:r>
        <w:rPr>
          <w:rFonts w:hint="eastAsia" w:asciiTheme="minorEastAsia" w:hAnsiTheme="minorEastAsia"/>
          <w:szCs w:val="21"/>
          <w:highlight w:val="none"/>
        </w:rPr>
        <w:t>每天自动执行数据库备份及非结构化数据的增量备份</w:t>
      </w:r>
      <w:r>
        <w:rPr>
          <w:rFonts w:hint="eastAsia" w:asciiTheme="minorEastAsia" w:hAnsiTheme="minorEastAsia"/>
          <w:szCs w:val="21"/>
          <w:highlight w:val="none"/>
          <w:lang w:eastAsia="zh-CN"/>
        </w:rPr>
        <w:t>，</w:t>
      </w:r>
      <w:r>
        <w:rPr>
          <w:rFonts w:hint="eastAsia" w:asciiTheme="minorEastAsia" w:hAnsiTheme="minorEastAsia"/>
          <w:szCs w:val="21"/>
          <w:highlight w:val="none"/>
        </w:rPr>
        <w:t>每月进行一次全数据的版本备份，将服务器的 DATA 目录进行全拷贝,记录备份时间。</w:t>
      </w:r>
    </w:p>
    <w:p w14:paraId="720FE85C">
      <w:pPr>
        <w:spacing w:line="360" w:lineRule="auto"/>
        <w:ind w:firstLine="420" w:firstLineChars="200"/>
        <w:rPr>
          <w:rFonts w:hint="eastAsia" w:asciiTheme="minorEastAsia" w:hAnsiTheme="minorEastAsia"/>
          <w:szCs w:val="21"/>
          <w:highlight w:val="none"/>
          <w:lang w:eastAsia="zh-CN"/>
        </w:rPr>
      </w:pPr>
      <w:r>
        <w:rPr>
          <w:rFonts w:hint="eastAsia" w:asciiTheme="minorEastAsia" w:hAnsiTheme="minorEastAsia"/>
          <w:szCs w:val="21"/>
          <w:highlight w:val="none"/>
        </w:rPr>
        <w:t>⑩负责处理系统运行中出现的异常情况</w:t>
      </w:r>
      <w:r>
        <w:rPr>
          <w:rFonts w:hint="eastAsia" w:asciiTheme="minorEastAsia" w:hAnsiTheme="minorEastAsia"/>
          <w:szCs w:val="21"/>
          <w:highlight w:val="none"/>
          <w:lang w:eastAsia="zh-CN"/>
        </w:rPr>
        <w:t>、</w:t>
      </w:r>
      <w:r>
        <w:rPr>
          <w:rFonts w:hint="eastAsia" w:asciiTheme="minorEastAsia" w:hAnsiTheme="minorEastAsia"/>
          <w:szCs w:val="21"/>
          <w:highlight w:val="none"/>
        </w:rPr>
        <w:t>突发事件的诊断、排除并提供必要的技术支持和保障。</w:t>
      </w:r>
    </w:p>
    <w:p w14:paraId="600D3339">
      <w:pPr>
        <w:spacing w:line="360" w:lineRule="auto"/>
        <w:ind w:firstLine="420" w:firstLineChars="200"/>
        <w:rPr>
          <w:rFonts w:asciiTheme="minorEastAsia" w:hAnsiTheme="minorEastAsia"/>
          <w:szCs w:val="21"/>
          <w:highlight w:val="none"/>
        </w:rPr>
      </w:pPr>
      <w:r>
        <w:rPr>
          <w:rFonts w:hint="eastAsia" w:asciiTheme="minorEastAsia" w:hAnsiTheme="minorEastAsia"/>
          <w:szCs w:val="21"/>
          <w:highlight w:val="none"/>
        </w:rPr>
        <w:t>⑪</w:t>
      </w:r>
      <w:r>
        <w:rPr>
          <w:rFonts w:hint="eastAsia" w:ascii="宋体" w:hAnsi="宋体" w:cs="宋体"/>
          <w:szCs w:val="21"/>
          <w:highlight w:val="none"/>
        </w:rPr>
        <w:t>协助各区解决用户</w:t>
      </w:r>
      <w:r>
        <w:rPr>
          <w:rFonts w:hint="eastAsia" w:ascii="宋体" w:hAnsi="宋体" w:cs="宋体"/>
          <w:szCs w:val="21"/>
          <w:highlight w:val="none"/>
          <w:lang w:val="en-US" w:eastAsia="zh-CN"/>
        </w:rPr>
        <w:t>日常</w:t>
      </w:r>
      <w:r>
        <w:rPr>
          <w:rFonts w:hint="eastAsia" w:ascii="宋体" w:hAnsi="宋体" w:cs="宋体"/>
          <w:szCs w:val="21"/>
          <w:highlight w:val="none"/>
        </w:rPr>
        <w:t>使用中遇到的问题</w:t>
      </w:r>
      <w:r>
        <w:rPr>
          <w:rFonts w:hint="eastAsia" w:ascii="宋体" w:hAnsi="宋体" w:cs="宋体"/>
          <w:szCs w:val="21"/>
          <w:highlight w:val="none"/>
          <w:lang w:eastAsia="zh-CN"/>
        </w:rPr>
        <w:t>，</w:t>
      </w:r>
      <w:r>
        <w:rPr>
          <w:rFonts w:hint="eastAsia" w:ascii="宋体" w:hAnsi="宋体" w:cs="宋体"/>
          <w:szCs w:val="21"/>
          <w:highlight w:val="none"/>
        </w:rPr>
        <w:t>包括当不限于系统操作指导、因系统缺陷导致的各种 BUG的修复、因操作失误导致的数据错误维护等</w:t>
      </w:r>
      <w:r>
        <w:rPr>
          <w:rFonts w:hint="eastAsia" w:ascii="宋体" w:hAnsi="宋体" w:cs="宋体"/>
          <w:szCs w:val="21"/>
          <w:highlight w:val="none"/>
        </w:rPr>
        <w:t>，提供必要的技术支持和保障。</w:t>
      </w:r>
    </w:p>
    <w:p w14:paraId="0AB4AB34">
      <w:pPr>
        <w:ind w:firstLine="420" w:firstLineChars="200"/>
        <w:rPr>
          <w:rFonts w:hint="eastAsia" w:asciiTheme="minorEastAsia" w:hAnsiTheme="minorEastAsia"/>
          <w:szCs w:val="21"/>
          <w:highlight w:val="none"/>
        </w:rPr>
      </w:pPr>
      <w:r>
        <w:rPr>
          <w:rFonts w:hint="eastAsia" w:eastAsia="宋体" w:cs="Times New Roman" w:asciiTheme="minorEastAsia" w:hAnsiTheme="minorEastAsia"/>
          <w:kern w:val="2"/>
          <w:sz w:val="21"/>
          <w:szCs w:val="21"/>
          <w:highlight w:val="none"/>
          <w:lang w:val="en-US" w:eastAsia="zh-CN" w:bidi="ar-SA"/>
        </w:rPr>
        <w:t>⑫</w:t>
      </w:r>
      <w:r>
        <w:rPr>
          <w:rFonts w:hint="eastAsia" w:ascii="宋体" w:hAnsi="宋体" w:cs="宋体"/>
          <w:szCs w:val="21"/>
          <w:highlight w:val="none"/>
        </w:rPr>
        <w:t>协助各区进行的业务培训，可收取一定的培训服务费用，培训过程中需提供相关的培</w:t>
      </w:r>
      <w:r>
        <w:rPr>
          <w:rFonts w:hint="eastAsia" w:asciiTheme="minorEastAsia" w:hAnsiTheme="minorEastAsia"/>
          <w:szCs w:val="21"/>
          <w:highlight w:val="none"/>
        </w:rPr>
        <w:t>训资料。培训时间及地点由采购人另行通知。</w:t>
      </w:r>
    </w:p>
    <w:p w14:paraId="067EDBA0">
      <w:pPr>
        <w:ind w:firstLine="360" w:firstLineChars="200"/>
        <w:rPr>
          <w:rFonts w:hint="eastAsia" w:eastAsia="宋体" w:cs="Times New Roman" w:asciiTheme="minorEastAsia" w:hAnsiTheme="minorEastAsia"/>
          <w:bCs w:val="0"/>
          <w:kern w:val="2"/>
          <w:sz w:val="21"/>
          <w:szCs w:val="21"/>
          <w:highlight w:val="none"/>
          <w:lang w:val="en-US" w:eastAsia="zh-CN" w:bidi="ar-SA"/>
        </w:rPr>
      </w:pPr>
      <w:r>
        <w:rPr>
          <w:rFonts w:hint="eastAsia" w:eastAsia="宋体" w:cs="Times New Roman" w:asciiTheme="minorEastAsia" w:hAnsiTheme="minorEastAsia"/>
          <w:bCs w:val="0"/>
          <w:kern w:val="2"/>
          <w:sz w:val="18"/>
          <w:szCs w:val="18"/>
          <w:highlight w:val="none"/>
          <w:lang w:val="en-US" w:eastAsia="zh-CN" w:bidi="ar-SA"/>
        </w:rPr>
        <w:fldChar w:fldCharType="begin"/>
      </w:r>
      <w:r>
        <w:rPr>
          <w:rFonts w:hint="eastAsia" w:eastAsia="宋体" w:cs="Times New Roman" w:asciiTheme="minorEastAsia" w:hAnsiTheme="minorEastAsia"/>
          <w:bCs w:val="0"/>
          <w:kern w:val="2"/>
          <w:sz w:val="18"/>
          <w:szCs w:val="18"/>
          <w:highlight w:val="none"/>
          <w:lang w:val="en-US" w:eastAsia="zh-CN" w:bidi="ar-SA"/>
        </w:rPr>
        <w:instrText xml:space="preserve"> EQ \o\ac(</w:instrText>
      </w:r>
      <w:r>
        <w:rPr>
          <w:rFonts w:hint="eastAsia" w:eastAsia="宋体" w:cs="Times New Roman" w:asciiTheme="minorEastAsia" w:hAnsiTheme="minorEastAsia"/>
          <w:bCs w:val="0"/>
          <w:kern w:val="2"/>
          <w:position w:val="-3"/>
          <w:sz w:val="27"/>
          <w:szCs w:val="18"/>
          <w:highlight w:val="none"/>
          <w:lang w:val="en-US" w:eastAsia="zh-CN" w:bidi="ar-SA"/>
        </w:rPr>
        <w:instrText xml:space="preserve">○</w:instrText>
      </w:r>
      <w:r>
        <w:rPr>
          <w:rFonts w:hint="eastAsia" w:eastAsia="宋体" w:cs="Times New Roman" w:asciiTheme="minorEastAsia" w:hAnsiTheme="minorEastAsia"/>
          <w:bCs w:val="0"/>
          <w:kern w:val="2"/>
          <w:position w:val="0"/>
          <w:sz w:val="18"/>
          <w:szCs w:val="18"/>
          <w:highlight w:val="none"/>
          <w:lang w:val="en-US" w:eastAsia="zh-CN" w:bidi="ar-SA"/>
        </w:rPr>
        <w:instrText xml:space="preserve">,13)</w:instrText>
      </w:r>
      <w:r>
        <w:rPr>
          <w:rFonts w:hint="eastAsia" w:eastAsia="宋体" w:cs="Times New Roman" w:asciiTheme="minorEastAsia" w:hAnsiTheme="minorEastAsia"/>
          <w:bCs w:val="0"/>
          <w:kern w:val="2"/>
          <w:sz w:val="18"/>
          <w:szCs w:val="18"/>
          <w:highlight w:val="none"/>
          <w:lang w:val="en-US" w:eastAsia="zh-CN" w:bidi="ar-SA"/>
        </w:rPr>
        <w:fldChar w:fldCharType="end"/>
      </w:r>
      <w:r>
        <w:rPr>
          <w:rFonts w:hint="eastAsia" w:eastAsia="宋体" w:cs="Times New Roman" w:asciiTheme="minorEastAsia" w:hAnsiTheme="minorEastAsia"/>
          <w:bCs w:val="0"/>
          <w:kern w:val="2"/>
          <w:sz w:val="21"/>
          <w:szCs w:val="21"/>
          <w:highlight w:val="none"/>
          <w:lang w:val="en-US" w:eastAsia="zh-CN" w:bidi="ar-SA"/>
        </w:rPr>
        <w:t>因甲方业务发展需要或需求变动引发对本合同约定的系统的新增、完善软件功能且工作量小于等于 2 人日的开发工作的。</w:t>
      </w:r>
      <w:r>
        <w:rPr>
          <w:rFonts w:hint="eastAsia" w:eastAsia="宋体" w:cs="Times New Roman" w:asciiTheme="minorEastAsia" w:hAnsiTheme="minorEastAsia"/>
          <w:bCs w:val="0"/>
          <w:kern w:val="2"/>
          <w:sz w:val="21"/>
          <w:szCs w:val="21"/>
          <w:highlight w:val="none"/>
          <w:lang w:val="en-US" w:eastAsia="zh-CN" w:bidi="ar-SA"/>
        </w:rPr>
        <w:t xml:space="preserve"> </w:t>
      </w:r>
    </w:p>
    <w:p w14:paraId="5D4E1286">
      <w:pPr>
        <w:ind w:firstLine="360" w:firstLineChars="200"/>
        <w:rPr>
          <w:rFonts w:hint="eastAsia" w:eastAsia="宋体" w:cs="Times New Roman" w:asciiTheme="minorEastAsia" w:hAnsiTheme="minorEastAsia"/>
          <w:bCs w:val="0"/>
          <w:kern w:val="2"/>
          <w:sz w:val="21"/>
          <w:szCs w:val="21"/>
          <w:highlight w:val="none"/>
          <w:lang w:val="en-US" w:eastAsia="zh-CN" w:bidi="ar-SA"/>
        </w:rPr>
      </w:pPr>
      <w:r>
        <w:rPr>
          <w:rFonts w:hint="eastAsia" w:cs="Times New Roman" w:asciiTheme="minorEastAsia" w:hAnsiTheme="minorEastAsia"/>
          <w:bCs w:val="0"/>
          <w:kern w:val="2"/>
          <w:sz w:val="18"/>
          <w:szCs w:val="18"/>
          <w:highlight w:val="none"/>
          <w:lang w:val="en-US" w:eastAsia="zh-CN" w:bidi="ar-SA"/>
        </w:rPr>
        <w:fldChar w:fldCharType="begin"/>
      </w:r>
      <w:r>
        <w:rPr>
          <w:rFonts w:hint="eastAsia" w:cs="Times New Roman" w:asciiTheme="minorEastAsia" w:hAnsiTheme="minorEastAsia"/>
          <w:bCs w:val="0"/>
          <w:kern w:val="2"/>
          <w:sz w:val="18"/>
          <w:szCs w:val="18"/>
          <w:highlight w:val="none"/>
          <w:lang w:val="en-US" w:eastAsia="zh-CN" w:bidi="ar-SA"/>
        </w:rPr>
        <w:instrText xml:space="preserve"> EQ \o\ac(</w:instrText>
      </w:r>
      <w:r>
        <w:rPr>
          <w:rFonts w:hint="eastAsia" w:eastAsia="宋体" w:cs="Times New Roman" w:asciiTheme="minorEastAsia" w:hAnsiTheme="minorEastAsia"/>
          <w:bCs w:val="0"/>
          <w:kern w:val="2"/>
          <w:position w:val="-3"/>
          <w:sz w:val="27"/>
          <w:szCs w:val="18"/>
          <w:highlight w:val="none"/>
          <w:lang w:val="en-US" w:eastAsia="zh-CN" w:bidi="ar-SA"/>
        </w:rPr>
        <w:instrText xml:space="preserve">○</w:instrText>
      </w:r>
      <w:r>
        <w:rPr>
          <w:rFonts w:hint="eastAsia" w:cs="Times New Roman" w:asciiTheme="minorEastAsia" w:hAnsiTheme="minorEastAsia"/>
          <w:bCs w:val="0"/>
          <w:kern w:val="2"/>
          <w:position w:val="0"/>
          <w:sz w:val="18"/>
          <w:szCs w:val="18"/>
          <w:highlight w:val="none"/>
          <w:lang w:val="en-US" w:eastAsia="zh-CN" w:bidi="ar-SA"/>
        </w:rPr>
        <w:instrText xml:space="preserve">,14)</w:instrText>
      </w:r>
      <w:r>
        <w:rPr>
          <w:rFonts w:hint="eastAsia" w:cs="Times New Roman" w:asciiTheme="minorEastAsia" w:hAnsiTheme="minorEastAsia"/>
          <w:bCs w:val="0"/>
          <w:kern w:val="2"/>
          <w:sz w:val="18"/>
          <w:szCs w:val="18"/>
          <w:highlight w:val="none"/>
          <w:lang w:val="en-US" w:eastAsia="zh-CN" w:bidi="ar-SA"/>
        </w:rPr>
        <w:fldChar w:fldCharType="end"/>
      </w:r>
      <w:r>
        <w:rPr>
          <w:rFonts w:hint="eastAsia" w:eastAsia="宋体" w:cs="Times New Roman" w:asciiTheme="minorEastAsia" w:hAnsiTheme="minorEastAsia"/>
          <w:bCs w:val="0"/>
          <w:kern w:val="2"/>
          <w:sz w:val="21"/>
          <w:szCs w:val="21"/>
          <w:highlight w:val="none"/>
          <w:lang w:val="en-US" w:eastAsia="zh-CN" w:bidi="ar-SA"/>
        </w:rPr>
        <w:t>协助市、区两级管理用户完成各种业务数据的分类导出及汇总查询统计，包括但不限于年度农经数据统计和专项检查数据统计等。</w:t>
      </w:r>
    </w:p>
    <w:p w14:paraId="48938F66">
      <w:pPr>
        <w:ind w:firstLine="360" w:firstLineChars="200"/>
        <w:rPr>
          <w:rFonts w:hint="eastAsia" w:eastAsia="宋体" w:cs="Times New Roman" w:asciiTheme="minorEastAsia" w:hAnsiTheme="minorEastAsia"/>
          <w:bCs w:val="0"/>
          <w:kern w:val="2"/>
          <w:sz w:val="21"/>
          <w:szCs w:val="21"/>
          <w:highlight w:val="none"/>
          <w:lang w:val="en-US" w:eastAsia="zh-CN" w:bidi="ar-SA"/>
        </w:rPr>
      </w:pPr>
      <w:r>
        <w:rPr>
          <w:rFonts w:hint="eastAsia" w:cs="Times New Roman" w:asciiTheme="minorEastAsia" w:hAnsiTheme="minorEastAsia"/>
          <w:bCs w:val="0"/>
          <w:kern w:val="2"/>
          <w:sz w:val="18"/>
          <w:szCs w:val="18"/>
          <w:highlight w:val="none"/>
          <w:lang w:val="en-US" w:eastAsia="zh-CN" w:bidi="ar-SA"/>
        </w:rPr>
        <w:fldChar w:fldCharType="begin"/>
      </w:r>
      <w:r>
        <w:rPr>
          <w:rFonts w:hint="eastAsia" w:cs="Times New Roman" w:asciiTheme="minorEastAsia" w:hAnsiTheme="minorEastAsia"/>
          <w:bCs w:val="0"/>
          <w:kern w:val="2"/>
          <w:sz w:val="18"/>
          <w:szCs w:val="18"/>
          <w:highlight w:val="none"/>
          <w:lang w:val="en-US" w:eastAsia="zh-CN" w:bidi="ar-SA"/>
        </w:rPr>
        <w:instrText xml:space="preserve"> EQ \o\ac(</w:instrText>
      </w:r>
      <w:r>
        <w:rPr>
          <w:rFonts w:hint="eastAsia" w:eastAsia="宋体" w:cs="Times New Roman" w:asciiTheme="minorEastAsia" w:hAnsiTheme="minorEastAsia"/>
          <w:bCs w:val="0"/>
          <w:kern w:val="2"/>
          <w:position w:val="-3"/>
          <w:sz w:val="27"/>
          <w:szCs w:val="18"/>
          <w:highlight w:val="none"/>
          <w:lang w:val="en-US" w:eastAsia="zh-CN" w:bidi="ar-SA"/>
        </w:rPr>
        <w:instrText xml:space="preserve">○</w:instrText>
      </w:r>
      <w:r>
        <w:rPr>
          <w:rFonts w:hint="eastAsia" w:cs="Times New Roman" w:asciiTheme="minorEastAsia" w:hAnsiTheme="minorEastAsia"/>
          <w:bCs w:val="0"/>
          <w:kern w:val="2"/>
          <w:position w:val="0"/>
          <w:sz w:val="18"/>
          <w:szCs w:val="18"/>
          <w:highlight w:val="none"/>
          <w:lang w:val="en-US" w:eastAsia="zh-CN" w:bidi="ar-SA"/>
        </w:rPr>
        <w:instrText xml:space="preserve">,15)</w:instrText>
      </w:r>
      <w:r>
        <w:rPr>
          <w:rFonts w:hint="eastAsia" w:cs="Times New Roman" w:asciiTheme="minorEastAsia" w:hAnsiTheme="minorEastAsia"/>
          <w:bCs w:val="0"/>
          <w:kern w:val="2"/>
          <w:sz w:val="18"/>
          <w:szCs w:val="18"/>
          <w:highlight w:val="none"/>
          <w:lang w:val="en-US" w:eastAsia="zh-CN" w:bidi="ar-SA"/>
        </w:rPr>
        <w:fldChar w:fldCharType="end"/>
      </w:r>
      <w:r>
        <w:rPr>
          <w:rFonts w:hint="eastAsia" w:eastAsia="宋体" w:cs="Times New Roman" w:asciiTheme="minorEastAsia" w:hAnsiTheme="minorEastAsia"/>
          <w:bCs w:val="0"/>
          <w:kern w:val="2"/>
          <w:sz w:val="21"/>
          <w:szCs w:val="21"/>
          <w:highlight w:val="none"/>
          <w:lang w:val="en-US" w:eastAsia="zh-CN" w:bidi="ar-SA"/>
        </w:rPr>
        <w:t>提供市、区、乡（街道）、村四级用户现场上门服务，坚持和完善季度回访机制，收集和分析处理平台应用问题，提升平台操作能力和优化系统效能。</w:t>
      </w:r>
      <w:r>
        <w:rPr>
          <w:rFonts w:hint="eastAsia" w:eastAsia="宋体" w:cs="Times New Roman" w:asciiTheme="minorEastAsia" w:hAnsiTheme="minorEastAsia"/>
          <w:bCs w:val="0"/>
          <w:kern w:val="2"/>
          <w:sz w:val="21"/>
          <w:szCs w:val="21"/>
          <w:highlight w:val="none"/>
          <w:lang w:val="en-US" w:eastAsia="zh-CN" w:bidi="ar-SA"/>
        </w:rPr>
        <w:t xml:space="preserve">  </w:t>
      </w:r>
    </w:p>
    <w:p w14:paraId="67548ED7">
      <w:pPr>
        <w:ind w:firstLine="360" w:firstLineChars="200"/>
        <w:rPr>
          <w:highlight w:val="none"/>
        </w:rPr>
      </w:pPr>
      <w:r>
        <w:rPr>
          <w:rFonts w:hint="eastAsia" w:cs="Times New Roman" w:asciiTheme="minorEastAsia" w:hAnsiTheme="minorEastAsia"/>
          <w:bCs w:val="0"/>
          <w:kern w:val="2"/>
          <w:sz w:val="18"/>
          <w:szCs w:val="18"/>
          <w:highlight w:val="none"/>
          <w:lang w:val="en-US" w:eastAsia="zh-CN" w:bidi="ar-SA"/>
        </w:rPr>
        <w:fldChar w:fldCharType="begin"/>
      </w:r>
      <w:r>
        <w:rPr>
          <w:rFonts w:hint="eastAsia" w:cs="Times New Roman" w:asciiTheme="minorEastAsia" w:hAnsiTheme="minorEastAsia"/>
          <w:bCs w:val="0"/>
          <w:kern w:val="2"/>
          <w:sz w:val="18"/>
          <w:szCs w:val="18"/>
          <w:highlight w:val="none"/>
          <w:lang w:val="en-US" w:eastAsia="zh-CN" w:bidi="ar-SA"/>
        </w:rPr>
        <w:instrText xml:space="preserve"> EQ \o\ac(</w:instrText>
      </w:r>
      <w:r>
        <w:rPr>
          <w:rFonts w:hint="eastAsia" w:eastAsia="宋体" w:cs="Times New Roman" w:asciiTheme="minorEastAsia" w:hAnsiTheme="minorEastAsia"/>
          <w:bCs w:val="0"/>
          <w:kern w:val="2"/>
          <w:position w:val="-3"/>
          <w:sz w:val="27"/>
          <w:szCs w:val="18"/>
          <w:highlight w:val="none"/>
          <w:lang w:val="en-US" w:eastAsia="zh-CN" w:bidi="ar-SA"/>
        </w:rPr>
        <w:instrText xml:space="preserve">○</w:instrText>
      </w:r>
      <w:r>
        <w:rPr>
          <w:rFonts w:hint="eastAsia" w:cs="Times New Roman" w:asciiTheme="minorEastAsia" w:hAnsiTheme="minorEastAsia"/>
          <w:bCs w:val="0"/>
          <w:kern w:val="2"/>
          <w:position w:val="0"/>
          <w:sz w:val="18"/>
          <w:szCs w:val="18"/>
          <w:highlight w:val="none"/>
          <w:lang w:val="en-US" w:eastAsia="zh-CN" w:bidi="ar-SA"/>
        </w:rPr>
        <w:instrText xml:space="preserve">,16)</w:instrText>
      </w:r>
      <w:r>
        <w:rPr>
          <w:rFonts w:hint="eastAsia" w:cs="Times New Roman" w:asciiTheme="minorEastAsia" w:hAnsiTheme="minorEastAsia"/>
          <w:bCs w:val="0"/>
          <w:kern w:val="2"/>
          <w:sz w:val="18"/>
          <w:szCs w:val="18"/>
          <w:highlight w:val="none"/>
          <w:lang w:val="en-US" w:eastAsia="zh-CN" w:bidi="ar-SA"/>
        </w:rPr>
        <w:fldChar w:fldCharType="end"/>
      </w:r>
      <w:r>
        <w:rPr>
          <w:rFonts w:hint="default" w:eastAsia="宋体" w:cs="Times New Roman" w:asciiTheme="minorEastAsia" w:hAnsiTheme="minorEastAsia"/>
          <w:bCs w:val="0"/>
          <w:kern w:val="2"/>
          <w:sz w:val="21"/>
          <w:szCs w:val="21"/>
          <w:highlight w:val="none"/>
          <w:lang w:val="en-US" w:eastAsia="zh-CN" w:bidi="ar-SA"/>
        </w:rPr>
        <w:t>配合云服务厂商不定期对武汉三资服务器进行安全漏洞扫描和更新及用户弱密码处理等。</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2E9972"/>
    <w:multiLevelType w:val="singleLevel"/>
    <w:tmpl w:val="1B2E9972"/>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3YmU1M2RmOGNmNThjOTVlZmU3YWY4NGRiYjM4YjEifQ=="/>
  </w:docVars>
  <w:rsids>
    <w:rsidRoot w:val="70DB5D69"/>
    <w:rsid w:val="0348159A"/>
    <w:rsid w:val="08167EB9"/>
    <w:rsid w:val="0A2E6D28"/>
    <w:rsid w:val="0BFA364D"/>
    <w:rsid w:val="0E5D24C7"/>
    <w:rsid w:val="10FF4861"/>
    <w:rsid w:val="16F970CC"/>
    <w:rsid w:val="1AAA27D1"/>
    <w:rsid w:val="1E7948A6"/>
    <w:rsid w:val="1EB12291"/>
    <w:rsid w:val="1F841754"/>
    <w:rsid w:val="20714A90"/>
    <w:rsid w:val="22A7378F"/>
    <w:rsid w:val="2A946CEF"/>
    <w:rsid w:val="397A4E84"/>
    <w:rsid w:val="39D10532"/>
    <w:rsid w:val="3E5F540E"/>
    <w:rsid w:val="4AC81CA8"/>
    <w:rsid w:val="5FE13A7D"/>
    <w:rsid w:val="6AE26F2C"/>
    <w:rsid w:val="6CA67BE1"/>
    <w:rsid w:val="70DB5D69"/>
    <w:rsid w:val="74FF2584"/>
    <w:rsid w:val="79AD7E28"/>
    <w:rsid w:val="7A7C46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300" w:lineRule="auto"/>
      <w:jc w:val="center"/>
      <w:outlineLvl w:val="0"/>
    </w:pPr>
    <w:rPr>
      <w:b/>
      <w:bCs/>
      <w:kern w:val="44"/>
      <w:sz w:val="32"/>
      <w:szCs w:val="44"/>
    </w:rPr>
  </w:style>
  <w:style w:type="paragraph" w:styleId="2">
    <w:name w:val="heading 2"/>
    <w:basedOn w:val="1"/>
    <w:next w:val="1"/>
    <w:qFormat/>
    <w:uiPriority w:val="0"/>
    <w:pPr>
      <w:keepNext/>
      <w:keepLines/>
      <w:spacing w:before="260" w:after="260" w:line="415" w:lineRule="auto"/>
      <w:outlineLvl w:val="1"/>
    </w:pPr>
    <w:rPr>
      <w:rFonts w:ascii="Arial" w:hAnsi="Arial" w:eastAsia="黑体"/>
      <w:bCs/>
      <w:sz w:val="32"/>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djustRightInd w:val="0"/>
      <w:spacing w:line="312" w:lineRule="atLeast"/>
      <w:ind w:firstLine="420"/>
      <w:textAlignment w:val="baseline"/>
    </w:pPr>
    <w:rPr>
      <w:kern w:val="0"/>
      <w:szCs w:val="20"/>
    </w:r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unhideWhenUse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1228</Words>
  <Characters>1248</Characters>
  <Lines>0</Lines>
  <Paragraphs>0</Paragraphs>
  <TotalTime>13</TotalTime>
  <ScaleCrop>false</ScaleCrop>
  <LinksUpToDate>false</LinksUpToDate>
  <CharactersWithSpaces>1271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2023-02-28T05:43:00Z</dcterms:created>
  <dc:creator>Administrator</dc:creator>
  <cp:lastModifiedBy>婵娟</cp:lastModifiedBy>
  <dcterms:modified xsi:type="dcterms:W3CDTF">2025-06-20T01:04:26Z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3E51CD7DB75E4B228DB5AAD9D8F893E3_13</vt:lpwstr>
  </property>
  <property fmtid="{D5CDD505-2E9C-101B-9397-08002B2CF9AE}" pid="4" name="KSOTemplateDocerSaveRecord">
    <vt:lpwstr>eyJoZGlkIjoiODQ5NWY1NjRiOTljOTFmOTMzZjhlODc1MzhhN2VjNzAiLCJ1c2VySWQiOiIzMTM4MTY0NzQifQ==</vt:lpwstr>
  </property>
</Properties>
</file>