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color w:val="156082" w:themeColor="accent1"/>
          <w:kern w:val="2"/>
          <w:szCs w:val="24"/>
          <w14:textFill>
            <w14:solidFill>
              <w14:schemeClr w14:val="accent1"/>
            </w14:solidFill>
          </w14:textFill>
          <w14:ligatures w14:val="standardContextual"/>
        </w:rPr>
        <w:id w:val="-1870593245"/>
        <w:docPartObj>
          <w:docPartGallery w:val="autotext"/>
        </w:docPartObj>
      </w:sdtPr>
      <w:sdtEndPr>
        <w:rPr>
          <w:rFonts w:hint="eastAsia"/>
          <w:color w:val="auto"/>
          <w:kern w:val="2"/>
          <w:szCs w:val="24"/>
          <w14:ligatures w14:val="standardContextual"/>
        </w:rPr>
      </w:sdtEndPr>
      <w:sdtContent>
        <w:p>
          <w:pPr>
            <w:pStyle w:val="50"/>
            <w:spacing w:before="100" w:beforeAutospacing="1" w:after="100" w:afterAutospacing="1"/>
            <w:jc w:val="center"/>
            <w:rPr>
              <w:rFonts w:hint="eastAsia"/>
              <w:color w:val="156082" w:themeColor="accent1"/>
              <w14:textFill>
                <w14:solidFill>
                  <w14:schemeClr w14:val="accent1"/>
                </w14:solidFill>
              </w14:textFill>
            </w:rPr>
          </w:pPr>
        </w:p>
        <w:p>
          <w:pPr>
            <w:pStyle w:val="50"/>
            <w:spacing w:before="100" w:beforeAutospacing="1" w:after="100" w:afterAutospacing="1"/>
            <w:jc w:val="center"/>
            <w:rPr>
              <w:rFonts w:hint="eastAsia"/>
              <w:color w:val="156082" w:themeColor="accent1"/>
              <w14:textFill>
                <w14:solidFill>
                  <w14:schemeClr w14:val="accent1"/>
                </w14:solidFill>
              </w14:textFill>
            </w:rPr>
          </w:pPr>
        </w:p>
        <w:p>
          <w:pPr>
            <w:pStyle w:val="50"/>
            <w:spacing w:before="100" w:beforeAutospacing="1" w:after="100" w:afterAutospacing="1"/>
            <w:jc w:val="center"/>
            <w:rPr>
              <w:rFonts w:hint="eastAsia"/>
              <w:color w:val="156082" w:themeColor="accent1"/>
              <w14:textFill>
                <w14:solidFill>
                  <w14:schemeClr w14:val="accent1"/>
                </w14:solidFill>
              </w14:textFill>
            </w:rPr>
          </w:pPr>
        </w:p>
        <w:p>
          <w:pPr>
            <w:pStyle w:val="50"/>
            <w:spacing w:before="100" w:beforeAutospacing="1" w:after="100" w:afterAutospacing="1"/>
            <w:jc w:val="center"/>
            <w:rPr>
              <w:rFonts w:hint="eastAsia" w:ascii="黑体" w:hAnsi="黑体" w:eastAsia="黑体"/>
              <w:sz w:val="48"/>
              <w:szCs w:val="48"/>
            </w:rPr>
          </w:pPr>
          <w:r>
            <w:rPr>
              <w:rFonts w:hint="eastAsia" w:ascii="黑体" w:hAnsi="黑体" w:eastAsia="黑体"/>
              <w:sz w:val="48"/>
              <w:szCs w:val="48"/>
            </w:rPr>
            <w:t>武汉市财政局预算收入综合查询系统</w:t>
          </w:r>
        </w:p>
        <w:p>
          <w:pPr>
            <w:pStyle w:val="50"/>
            <w:spacing w:before="100" w:beforeAutospacing="1" w:after="100" w:afterAutospacing="1"/>
            <w:jc w:val="center"/>
            <w:rPr>
              <w:rFonts w:hint="eastAsia" w:ascii="黑体" w:hAnsi="黑体" w:eastAsia="黑体"/>
              <w:sz w:val="48"/>
              <w:szCs w:val="48"/>
            </w:rPr>
          </w:pPr>
          <w:r>
            <w:rPr>
              <w:rFonts w:hint="eastAsia" w:ascii="黑体" w:hAnsi="黑体" w:eastAsia="黑体"/>
              <w:sz w:val="48"/>
              <w:szCs w:val="48"/>
              <w:lang w:eastAsia="zh-CN"/>
            </w:rPr>
            <w:t>运维升级</w:t>
          </w:r>
          <w:r>
            <w:rPr>
              <w:rFonts w:hint="eastAsia" w:ascii="黑体" w:hAnsi="黑体" w:eastAsia="黑体"/>
              <w:sz w:val="48"/>
              <w:szCs w:val="48"/>
            </w:rPr>
            <w:t>方案及概算</w:t>
          </w:r>
        </w:p>
        <w:p>
          <w:pPr>
            <w:pStyle w:val="50"/>
            <w:spacing w:before="1540" w:after="240"/>
            <w:jc w:val="center"/>
            <w:rPr>
              <w:rFonts w:hint="eastAsia"/>
              <w:color w:val="156082" w:themeColor="accent1"/>
              <w14:textFill>
                <w14:solidFill>
                  <w14:schemeClr w14:val="accent1"/>
                </w14:solidFill>
              </w14:textFill>
            </w:rPr>
          </w:pPr>
        </w:p>
        <w:p>
          <w:pPr>
            <w:pStyle w:val="50"/>
            <w:spacing w:before="1540" w:after="240"/>
            <w:jc w:val="center"/>
            <w:rPr>
              <w:rFonts w:hint="eastAsia"/>
              <w:color w:val="156082" w:themeColor="accent1"/>
              <w14:textFill>
                <w14:solidFill>
                  <w14:schemeClr w14:val="accent1"/>
                </w14:solidFill>
              </w14:textFill>
            </w:rPr>
          </w:pPr>
        </w:p>
        <w:p>
          <w:pPr>
            <w:pStyle w:val="50"/>
            <w:spacing w:before="1540" w:after="240"/>
            <w:jc w:val="center"/>
            <w:rPr>
              <w:rFonts w:hint="eastAsia"/>
              <w:color w:val="156082" w:themeColor="accent1"/>
              <w14:textFill>
                <w14:solidFill>
                  <w14:schemeClr w14:val="accent1"/>
                </w14:solidFill>
              </w14:textFill>
            </w:rPr>
          </w:pPr>
        </w:p>
        <w:p>
          <w:pPr>
            <w:pStyle w:val="50"/>
            <w:spacing w:before="100" w:beforeAutospacing="1" w:after="100" w:afterAutospacing="1"/>
            <w:jc w:val="center"/>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2025年11月</w:t>
          </w:r>
        </w:p>
        <w:p>
          <w:pPr>
            <w:widowControl/>
          </w:pPr>
          <w:r>
            <w:rPr>
              <w:rFonts w:hint="eastAsia"/>
            </w:rPr>
            <w:br w:type="page"/>
          </w:r>
          <w:bookmarkStart w:id="0" w:name="_Toc213606058"/>
        </w:p>
      </w:sdtContent>
    </w:sdt>
    <w:p>
      <w:pPr>
        <w:pStyle w:val="2"/>
        <w:pageBreakBefore/>
        <w:jc w:val="center"/>
        <w:rPr>
          <w:rFonts w:hint="eastAsia" w:ascii="黑体" w:hAnsi="黑体" w:eastAsia="黑体"/>
          <w:color w:val="000000" w:themeColor="text1"/>
          <w:sz w:val="44"/>
          <w:szCs w:val="44"/>
          <w14:textFill>
            <w14:solidFill>
              <w14:schemeClr w14:val="tx1"/>
            </w14:solidFill>
          </w14:textFill>
        </w:rPr>
      </w:pPr>
      <w:r>
        <w:rPr>
          <w:rFonts w:ascii="黑体" w:hAnsi="黑体" w:eastAsia="黑体"/>
          <w:color w:val="000000" w:themeColor="text1"/>
          <w:sz w:val="44"/>
          <w:szCs w:val="44"/>
          <w14:textFill>
            <w14:solidFill>
              <w14:schemeClr w14:val="tx1"/>
            </w14:solidFill>
          </w14:textFill>
        </w:rPr>
        <w:t>第一章 项目概述</w:t>
      </w:r>
      <w:bookmarkEnd w:id="0"/>
    </w:p>
    <w:p>
      <w:pPr>
        <w:pStyle w:val="4"/>
        <w:rPr>
          <w:rStyle w:val="31"/>
          <w:rFonts w:hint="eastAsia" w:ascii="黑体" w:hAnsi="黑体" w:eastAsia="黑体"/>
          <w:color w:val="000000" w:themeColor="text1"/>
          <w:sz w:val="32"/>
          <w:szCs w:val="32"/>
          <w14:textFill>
            <w14:solidFill>
              <w14:schemeClr w14:val="tx1"/>
            </w14:solidFill>
          </w14:textFill>
        </w:rPr>
      </w:pPr>
      <w:bookmarkStart w:id="1" w:name="_Toc213606059"/>
      <w:r>
        <w:rPr>
          <w:rStyle w:val="31"/>
          <w:rFonts w:ascii="黑体" w:hAnsi="黑体" w:eastAsia="黑体"/>
          <w:color w:val="000000" w:themeColor="text1"/>
          <w:sz w:val="32"/>
          <w:szCs w:val="32"/>
          <w14:textFill>
            <w14:solidFill>
              <w14:schemeClr w14:val="tx1"/>
            </w14:solidFill>
          </w14:textFill>
        </w:rPr>
        <w:t>1.1 项目名称</w:t>
      </w:r>
      <w:bookmarkEnd w:id="1"/>
    </w:p>
    <w:p>
      <w:pPr>
        <w:ind w:firstLine="607" w:firstLineChars="253"/>
        <w:rPr>
          <w:rFonts w:hint="eastAsia" w:ascii="仿宋" w:hAnsi="仿宋" w:eastAsia="仿宋"/>
          <w:sz w:val="24"/>
        </w:rPr>
      </w:pPr>
      <w:r>
        <w:rPr>
          <w:rFonts w:hint="eastAsia" w:ascii="仿宋" w:hAnsi="仿宋" w:eastAsia="仿宋"/>
          <w:sz w:val="24"/>
        </w:rPr>
        <w:t>武汉市财政局预算收入综合查询系统</w:t>
      </w:r>
    </w:p>
    <w:p>
      <w:pPr>
        <w:pStyle w:val="4"/>
        <w:rPr>
          <w:rStyle w:val="31"/>
          <w:rFonts w:hint="eastAsia" w:ascii="黑体" w:hAnsi="黑体" w:eastAsia="黑体"/>
          <w:color w:val="000000" w:themeColor="text1"/>
          <w:sz w:val="32"/>
          <w:szCs w:val="32"/>
          <w14:textFill>
            <w14:solidFill>
              <w14:schemeClr w14:val="tx1"/>
            </w14:solidFill>
          </w14:textFill>
        </w:rPr>
      </w:pPr>
      <w:bookmarkStart w:id="2" w:name="_Toc213606063"/>
      <w:r>
        <w:rPr>
          <w:rStyle w:val="31"/>
          <w:rFonts w:ascii="黑体" w:hAnsi="黑体" w:eastAsia="黑体"/>
          <w:color w:val="000000" w:themeColor="text1"/>
          <w:sz w:val="32"/>
          <w:szCs w:val="32"/>
          <w14:textFill>
            <w14:solidFill>
              <w14:schemeClr w14:val="tx1"/>
            </w14:solidFill>
          </w14:textFill>
        </w:rPr>
        <w:t>1.</w:t>
      </w:r>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 xml:space="preserve"> 项目</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ascii="黑体" w:hAnsi="黑体" w:eastAsia="黑体"/>
          <w:color w:val="000000" w:themeColor="text1"/>
          <w:sz w:val="32"/>
          <w:szCs w:val="32"/>
          <w14:textFill>
            <w14:solidFill>
              <w14:schemeClr w14:val="tx1"/>
            </w14:solidFill>
          </w14:textFill>
        </w:rPr>
        <w:t>目标、规模、内容、</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ascii="黑体" w:hAnsi="黑体" w:eastAsia="黑体"/>
          <w:color w:val="000000" w:themeColor="text1"/>
          <w:sz w:val="32"/>
          <w:szCs w:val="32"/>
          <w14:textFill>
            <w14:solidFill>
              <w14:schemeClr w14:val="tx1"/>
            </w14:solidFill>
          </w14:textFill>
        </w:rPr>
        <w:t>期</w:t>
      </w:r>
      <w:bookmarkEnd w:id="2"/>
      <w:r>
        <w:rPr>
          <w:rStyle w:val="31"/>
          <w:rFonts w:ascii="黑体" w:hAnsi="黑体" w:eastAsia="黑体"/>
          <w:color w:val="000000" w:themeColor="text1"/>
          <w:sz w:val="32"/>
          <w:szCs w:val="32"/>
          <w14:textFill>
            <w14:solidFill>
              <w14:schemeClr w14:val="tx1"/>
            </w14:solidFill>
          </w14:textFill>
        </w:rPr>
        <w:t xml:space="preserve"> </w:t>
      </w:r>
    </w:p>
    <w:p>
      <w:pPr>
        <w:pStyle w:val="4"/>
        <w:widowControl/>
        <w:spacing w:before="120" w:after="120" w:line="360" w:lineRule="auto"/>
        <w:rPr>
          <w:rFonts w:hint="eastAsia" w:ascii="黑体" w:hAnsi="黑体" w:eastAsia="黑体"/>
          <w:color w:val="000000" w:themeColor="text1"/>
          <w14:textFill>
            <w14:solidFill>
              <w14:schemeClr w14:val="tx1"/>
            </w14:solidFill>
          </w14:textFill>
        </w:rPr>
      </w:pPr>
      <w:bookmarkStart w:id="3" w:name="_Toc213606064"/>
      <w:r>
        <w:rPr>
          <w:rFonts w:ascii="黑体" w:hAnsi="黑体" w:eastAsia="黑体"/>
          <w:color w:val="000000" w:themeColor="text1"/>
          <w14:textFill>
            <w14:solidFill>
              <w14:schemeClr w14:val="tx1"/>
            </w14:solidFill>
          </w14:textFill>
        </w:rPr>
        <w:t>1.</w:t>
      </w:r>
      <w:r>
        <w:rPr>
          <w:rFonts w:hint="eastAsia" w:ascii="黑体" w:hAnsi="黑体" w:eastAsia="黑体"/>
          <w:color w:val="000000" w:themeColor="text1"/>
          <w:lang w:val="en-US" w:eastAsia="zh-CN"/>
          <w14:textFill>
            <w14:solidFill>
              <w14:schemeClr w14:val="tx1"/>
            </w14:solidFill>
          </w14:textFill>
        </w:rPr>
        <w:t>2</w:t>
      </w:r>
      <w:r>
        <w:rPr>
          <w:rFonts w:ascii="黑体" w:hAnsi="黑体" w:eastAsia="黑体"/>
          <w:color w:val="000000" w:themeColor="text1"/>
          <w14:textFill>
            <w14:solidFill>
              <w14:schemeClr w14:val="tx1"/>
            </w14:solidFill>
          </w14:textFill>
        </w:rPr>
        <w:t>.1 项目</w:t>
      </w:r>
      <w:r>
        <w:rPr>
          <w:rFonts w:hint="eastAsia" w:ascii="黑体" w:hAnsi="黑体" w:eastAsia="黑体"/>
          <w:color w:val="000000" w:themeColor="text1"/>
          <w:lang w:eastAsia="zh-CN"/>
          <w14:textFill>
            <w14:solidFill>
              <w14:schemeClr w14:val="tx1"/>
            </w14:solidFill>
          </w14:textFill>
        </w:rPr>
        <w:t>运维升级</w:t>
      </w:r>
      <w:r>
        <w:rPr>
          <w:rFonts w:ascii="黑体" w:hAnsi="黑体" w:eastAsia="黑体"/>
          <w:color w:val="000000" w:themeColor="text1"/>
          <w14:textFill>
            <w14:solidFill>
              <w14:schemeClr w14:val="tx1"/>
            </w14:solidFill>
          </w14:textFill>
        </w:rPr>
        <w:t>目标</w:t>
      </w:r>
      <w:bookmarkEnd w:id="3"/>
      <w:r>
        <w:rPr>
          <w:rFonts w:ascii="黑体" w:hAnsi="黑体" w:eastAsia="黑体"/>
          <w:color w:val="000000" w:themeColor="text1"/>
          <w14:textFill>
            <w14:solidFill>
              <w14:schemeClr w14:val="tx1"/>
            </w14:solidFill>
          </w14:textFill>
        </w:rPr>
        <w:t xml:space="preserve"> </w:t>
      </w:r>
    </w:p>
    <w:p>
      <w:pPr>
        <w:ind w:firstLine="607" w:firstLineChars="253"/>
        <w:rPr>
          <w:rFonts w:hint="eastAsia" w:ascii="仿宋" w:hAnsi="仿宋" w:eastAsia="仿宋"/>
          <w:sz w:val="24"/>
          <w:lang w:eastAsia="zh-CN"/>
        </w:rPr>
      </w:pPr>
      <w:r>
        <w:rPr>
          <w:rFonts w:hint="eastAsia" w:ascii="仿宋" w:hAnsi="仿宋" w:eastAsia="仿宋"/>
          <w:sz w:val="24"/>
        </w:rPr>
        <w:t>此次项目</w:t>
      </w:r>
      <w:r>
        <w:rPr>
          <w:rFonts w:hint="eastAsia" w:ascii="仿宋" w:hAnsi="仿宋" w:eastAsia="仿宋"/>
          <w:sz w:val="24"/>
          <w:lang w:eastAsia="zh-CN"/>
        </w:rPr>
        <w:t>运维升级</w:t>
      </w:r>
      <w:r>
        <w:rPr>
          <w:rFonts w:hint="eastAsia" w:ascii="仿宋" w:hAnsi="仿宋" w:eastAsia="仿宋"/>
          <w:sz w:val="24"/>
        </w:rPr>
        <w:t>，将使用国产化的硬件、软件替代原有基础软件，并在国产化的硬件、软件基础上重构预算收入综合查询系统、保持现有业务功能不变</w:t>
      </w:r>
      <w:r>
        <w:rPr>
          <w:rFonts w:hint="eastAsia" w:ascii="仿宋" w:hAnsi="仿宋" w:eastAsia="仿宋"/>
          <w:sz w:val="24"/>
          <w:lang w:eastAsia="zh-CN"/>
        </w:rPr>
        <w:t>，新增部分权限分配和分析功能。</w:t>
      </w:r>
    </w:p>
    <w:p>
      <w:pPr>
        <w:pStyle w:val="4"/>
        <w:widowControl/>
        <w:spacing w:before="120" w:after="120" w:line="360" w:lineRule="auto"/>
        <w:rPr>
          <w:rFonts w:hint="eastAsia" w:ascii="黑体" w:hAnsi="黑体" w:eastAsia="黑体"/>
          <w:color w:val="000000" w:themeColor="text1"/>
          <w14:textFill>
            <w14:solidFill>
              <w14:schemeClr w14:val="tx1"/>
            </w14:solidFill>
          </w14:textFill>
        </w:rPr>
      </w:pPr>
      <w:bookmarkStart w:id="4" w:name="_Toc213606065"/>
      <w:r>
        <w:rPr>
          <w:rFonts w:ascii="黑体" w:hAnsi="黑体" w:eastAsia="黑体"/>
          <w:color w:val="000000" w:themeColor="text1"/>
          <w14:textFill>
            <w14:solidFill>
              <w14:schemeClr w14:val="tx1"/>
            </w14:solidFill>
          </w14:textFill>
        </w:rPr>
        <w:t>1.</w:t>
      </w:r>
      <w:r>
        <w:rPr>
          <w:rFonts w:hint="eastAsia" w:ascii="黑体" w:hAnsi="黑体" w:eastAsia="黑体"/>
          <w:color w:val="000000" w:themeColor="text1"/>
          <w:lang w:val="en-US" w:eastAsia="zh-CN"/>
          <w14:textFill>
            <w14:solidFill>
              <w14:schemeClr w14:val="tx1"/>
            </w14:solidFill>
          </w14:textFill>
        </w:rPr>
        <w:t>2</w:t>
      </w:r>
      <w:r>
        <w:rPr>
          <w:rFonts w:ascii="黑体" w:hAnsi="黑体" w:eastAsia="黑体"/>
          <w:color w:val="000000" w:themeColor="text1"/>
          <w14:textFill>
            <w14:solidFill>
              <w14:schemeClr w14:val="tx1"/>
            </w14:solidFill>
          </w14:textFill>
        </w:rPr>
        <w:t>.2 项目</w:t>
      </w:r>
      <w:r>
        <w:rPr>
          <w:rFonts w:hint="eastAsia" w:ascii="黑体" w:hAnsi="黑体" w:eastAsia="黑体"/>
          <w:color w:val="000000" w:themeColor="text1"/>
          <w:lang w:eastAsia="zh-CN"/>
          <w14:textFill>
            <w14:solidFill>
              <w14:schemeClr w14:val="tx1"/>
            </w14:solidFill>
          </w14:textFill>
        </w:rPr>
        <w:t>运维升级</w:t>
      </w:r>
      <w:r>
        <w:rPr>
          <w:rFonts w:hint="eastAsia" w:ascii="黑体" w:hAnsi="黑体" w:eastAsia="黑体"/>
          <w:color w:val="000000" w:themeColor="text1"/>
          <w14:textFill>
            <w14:solidFill>
              <w14:schemeClr w14:val="tx1"/>
            </w14:solidFill>
          </w14:textFill>
        </w:rPr>
        <w:t>规模</w:t>
      </w:r>
      <w:bookmarkEnd w:id="4"/>
    </w:p>
    <w:p>
      <w:pPr>
        <w:ind w:firstLine="607" w:firstLineChars="253"/>
        <w:rPr>
          <w:rFonts w:hint="eastAsia" w:ascii="仿宋" w:hAnsi="仿宋" w:eastAsia="仿宋"/>
          <w:sz w:val="24"/>
        </w:rPr>
      </w:pPr>
      <w:r>
        <w:rPr>
          <w:rFonts w:hint="eastAsia" w:ascii="仿宋" w:hAnsi="仿宋" w:eastAsia="仿宋"/>
          <w:sz w:val="24"/>
        </w:rPr>
        <w:t>项目</w:t>
      </w:r>
      <w:r>
        <w:rPr>
          <w:rFonts w:hint="eastAsia" w:ascii="仿宋" w:hAnsi="仿宋" w:eastAsia="仿宋"/>
          <w:sz w:val="24"/>
          <w:lang w:eastAsia="zh-CN"/>
        </w:rPr>
        <w:t>运维升级</w:t>
      </w:r>
      <w:r>
        <w:rPr>
          <w:rFonts w:hint="eastAsia" w:ascii="仿宋" w:hAnsi="仿宋" w:eastAsia="仿宋"/>
          <w:sz w:val="24"/>
        </w:rPr>
        <w:t>规模为武汉市财政局。用户范围为武汉市财政局各业务</w:t>
      </w:r>
      <w:r>
        <w:rPr>
          <w:rFonts w:hint="eastAsia" w:ascii="仿宋" w:hAnsi="仿宋" w:eastAsia="仿宋"/>
          <w:sz w:val="24"/>
          <w:lang w:eastAsia="zh-CN"/>
        </w:rPr>
        <w:t>处室及各区财政局</w:t>
      </w:r>
      <w:r>
        <w:rPr>
          <w:rFonts w:hint="eastAsia" w:ascii="仿宋" w:hAnsi="仿宋" w:eastAsia="仿宋"/>
          <w:sz w:val="24"/>
        </w:rPr>
        <w:t>。</w:t>
      </w:r>
    </w:p>
    <w:p>
      <w:pPr>
        <w:pStyle w:val="4"/>
        <w:widowControl/>
        <w:spacing w:before="120" w:after="120" w:line="360" w:lineRule="auto"/>
        <w:rPr>
          <w:rFonts w:hint="eastAsia" w:ascii="黑体" w:hAnsi="黑体" w:eastAsia="黑体"/>
          <w:color w:val="000000" w:themeColor="text1"/>
          <w14:textFill>
            <w14:solidFill>
              <w14:schemeClr w14:val="tx1"/>
            </w14:solidFill>
          </w14:textFill>
        </w:rPr>
      </w:pPr>
      <w:bookmarkStart w:id="5" w:name="_Toc213606066"/>
      <w:r>
        <w:rPr>
          <w:rFonts w:ascii="黑体" w:hAnsi="黑体" w:eastAsia="黑体"/>
          <w:color w:val="000000" w:themeColor="text1"/>
          <w14:textFill>
            <w14:solidFill>
              <w14:schemeClr w14:val="tx1"/>
            </w14:solidFill>
          </w14:textFill>
        </w:rPr>
        <w:t>1.</w:t>
      </w:r>
      <w:r>
        <w:rPr>
          <w:rFonts w:hint="eastAsia" w:ascii="黑体" w:hAnsi="黑体" w:eastAsia="黑体"/>
          <w:color w:val="000000" w:themeColor="text1"/>
          <w:lang w:val="en-US" w:eastAsia="zh-CN"/>
          <w14:textFill>
            <w14:solidFill>
              <w14:schemeClr w14:val="tx1"/>
            </w14:solidFill>
          </w14:textFill>
        </w:rPr>
        <w:t>2</w:t>
      </w:r>
      <w:r>
        <w:rPr>
          <w:rFonts w:ascii="黑体" w:hAnsi="黑体" w:eastAsia="黑体"/>
          <w:color w:val="000000" w:themeColor="text1"/>
          <w14:textFill>
            <w14:solidFill>
              <w14:schemeClr w14:val="tx1"/>
            </w14:solidFill>
          </w14:textFill>
        </w:rPr>
        <w:t>.</w:t>
      </w:r>
      <w:r>
        <w:rPr>
          <w:rFonts w:hint="eastAsia" w:ascii="黑体" w:hAnsi="黑体" w:eastAsia="黑体"/>
          <w:color w:val="000000" w:themeColor="text1"/>
          <w14:textFill>
            <w14:solidFill>
              <w14:schemeClr w14:val="tx1"/>
            </w14:solidFill>
          </w14:textFill>
        </w:rPr>
        <w:t>3</w:t>
      </w:r>
      <w:r>
        <w:rPr>
          <w:rFonts w:ascii="黑体" w:hAnsi="黑体" w:eastAsia="黑体"/>
          <w:color w:val="000000" w:themeColor="text1"/>
          <w14:textFill>
            <w14:solidFill>
              <w14:schemeClr w14:val="tx1"/>
            </w14:solidFill>
          </w14:textFill>
        </w:rPr>
        <w:t xml:space="preserve"> 项目</w:t>
      </w:r>
      <w:r>
        <w:rPr>
          <w:rFonts w:hint="eastAsia" w:ascii="黑体" w:hAnsi="黑体" w:eastAsia="黑体"/>
          <w:color w:val="000000" w:themeColor="text1"/>
          <w:lang w:eastAsia="zh-CN"/>
          <w14:textFill>
            <w14:solidFill>
              <w14:schemeClr w14:val="tx1"/>
            </w14:solidFill>
          </w14:textFill>
        </w:rPr>
        <w:t>运维升级</w:t>
      </w:r>
      <w:r>
        <w:rPr>
          <w:rFonts w:hint="eastAsia" w:ascii="黑体" w:hAnsi="黑体" w:eastAsia="黑体"/>
          <w:color w:val="000000" w:themeColor="text1"/>
          <w14:textFill>
            <w14:solidFill>
              <w14:schemeClr w14:val="tx1"/>
            </w14:solidFill>
          </w14:textFill>
        </w:rPr>
        <w:t>内容</w:t>
      </w:r>
      <w:bookmarkEnd w:id="5"/>
      <w:r>
        <w:rPr>
          <w:rFonts w:ascii="黑体" w:hAnsi="黑体" w:eastAsia="黑体"/>
          <w:color w:val="000000" w:themeColor="text1"/>
          <w14:textFill>
            <w14:solidFill>
              <w14:schemeClr w14:val="tx1"/>
            </w14:solidFill>
          </w14:textFill>
        </w:rPr>
        <w:t xml:space="preserve"> </w:t>
      </w:r>
    </w:p>
    <w:p>
      <w:pPr>
        <w:ind w:firstLine="607" w:firstLineChars="253"/>
        <w:rPr>
          <w:rFonts w:hint="eastAsia" w:ascii="仿宋" w:hAnsi="仿宋" w:eastAsia="仿宋"/>
          <w:sz w:val="24"/>
        </w:rPr>
      </w:pPr>
      <w:bookmarkStart w:id="6" w:name="_Toc213606067"/>
      <w:r>
        <w:rPr>
          <w:rFonts w:hint="eastAsia" w:ascii="仿宋" w:hAnsi="仿宋" w:eastAsia="仿宋"/>
          <w:sz w:val="24"/>
        </w:rPr>
        <w:t>1、基于现有一体化系统技术架构，重构预算收入综合查询系统相关基础软件、应用软件。</w:t>
      </w:r>
    </w:p>
    <w:p>
      <w:pPr>
        <w:ind w:firstLine="607" w:firstLineChars="253"/>
        <w:rPr>
          <w:rFonts w:hint="eastAsia" w:ascii="仿宋" w:hAnsi="仿宋" w:eastAsia="仿宋"/>
          <w:sz w:val="24"/>
        </w:rPr>
      </w:pPr>
      <w:r>
        <w:rPr>
          <w:rFonts w:hint="eastAsia" w:ascii="仿宋" w:hAnsi="仿宋" w:eastAsia="仿宋"/>
          <w:sz w:val="24"/>
        </w:rPr>
        <w:t>2、以国产化硬件、软件为基础</w:t>
      </w:r>
      <w:r>
        <w:rPr>
          <w:rFonts w:hint="eastAsia" w:ascii="仿宋" w:hAnsi="仿宋" w:eastAsia="仿宋"/>
          <w:sz w:val="24"/>
          <w:lang w:eastAsia="zh-CN"/>
        </w:rPr>
        <w:t>运维升级</w:t>
      </w:r>
      <w:r>
        <w:rPr>
          <w:rFonts w:hint="eastAsia" w:ascii="仿宋" w:hAnsi="仿宋" w:eastAsia="仿宋"/>
          <w:sz w:val="24"/>
        </w:rPr>
        <w:t>应用系统支撑平台，为预算收入综合查询系统提供基础运行环境。</w:t>
      </w:r>
    </w:p>
    <w:p>
      <w:pPr>
        <w:ind w:firstLine="607" w:firstLineChars="253"/>
        <w:rPr>
          <w:rFonts w:hint="eastAsia" w:ascii="仿宋" w:hAnsi="仿宋" w:eastAsia="仿宋"/>
          <w:sz w:val="24"/>
        </w:rPr>
      </w:pPr>
      <w:r>
        <w:rPr>
          <w:rFonts w:hint="eastAsia" w:ascii="仿宋" w:hAnsi="仿宋" w:eastAsia="仿宋"/>
          <w:sz w:val="24"/>
        </w:rPr>
        <w:t>3、按照国产化硬件、软件的技术标准，重构预算收入综合查询系统相关基础软件。</w:t>
      </w:r>
    </w:p>
    <w:p>
      <w:pPr>
        <w:ind w:firstLine="607" w:firstLineChars="253"/>
        <w:rPr>
          <w:rFonts w:hint="eastAsia" w:ascii="仿宋" w:hAnsi="仿宋" w:eastAsia="仿宋"/>
          <w:sz w:val="24"/>
          <w:lang w:eastAsia="zh-CN"/>
        </w:rPr>
      </w:pPr>
      <w:r>
        <w:rPr>
          <w:rFonts w:hint="eastAsia" w:ascii="仿宋" w:hAnsi="仿宋" w:eastAsia="仿宋"/>
          <w:sz w:val="24"/>
          <w:lang w:val="en-US" w:eastAsia="zh-CN"/>
        </w:rPr>
        <w:t>4</w:t>
      </w:r>
      <w:r>
        <w:rPr>
          <w:rFonts w:hint="eastAsia" w:ascii="仿宋" w:hAnsi="仿宋" w:eastAsia="仿宋"/>
          <w:sz w:val="24"/>
        </w:rPr>
        <w:t>、满足信创技术要求，保持现有业务功能不变</w:t>
      </w:r>
      <w:r>
        <w:rPr>
          <w:rFonts w:hint="eastAsia" w:ascii="仿宋" w:hAnsi="仿宋" w:eastAsia="仿宋"/>
          <w:sz w:val="24"/>
          <w:lang w:eastAsia="zh-CN"/>
        </w:rPr>
        <w:t>，新增部分权限分配和分析功能等。</w:t>
      </w:r>
    </w:p>
    <w:p>
      <w:pPr>
        <w:pStyle w:val="4"/>
        <w:widowControl/>
        <w:spacing w:before="120" w:after="120" w:line="360" w:lineRule="auto"/>
        <w:rPr>
          <w:rFonts w:hint="eastAsia" w:ascii="黑体" w:hAnsi="黑体" w:eastAsia="黑体"/>
          <w:color w:val="000000" w:themeColor="text1"/>
          <w14:textFill>
            <w14:solidFill>
              <w14:schemeClr w14:val="tx1"/>
            </w14:solidFill>
          </w14:textFill>
        </w:rPr>
      </w:pPr>
      <w:r>
        <w:rPr>
          <w:rFonts w:ascii="黑体" w:hAnsi="黑体" w:eastAsia="黑体"/>
          <w:color w:val="000000" w:themeColor="text1"/>
          <w14:textFill>
            <w14:solidFill>
              <w14:schemeClr w14:val="tx1"/>
            </w14:solidFill>
          </w14:textFill>
        </w:rPr>
        <w:t>1.</w:t>
      </w:r>
      <w:r>
        <w:rPr>
          <w:rFonts w:hint="eastAsia" w:ascii="黑体" w:hAnsi="黑体" w:eastAsia="黑体"/>
          <w:color w:val="000000" w:themeColor="text1"/>
          <w:lang w:val="en-US" w:eastAsia="zh-CN"/>
          <w14:textFill>
            <w14:solidFill>
              <w14:schemeClr w14:val="tx1"/>
            </w14:solidFill>
          </w14:textFill>
        </w:rPr>
        <w:t>2</w:t>
      </w:r>
      <w:r>
        <w:rPr>
          <w:rFonts w:hint="eastAsia" w:ascii="黑体" w:hAnsi="黑体" w:eastAsia="黑体"/>
          <w:color w:val="000000" w:themeColor="text1"/>
          <w14:textFill>
            <w14:solidFill>
              <w14:schemeClr w14:val="tx1"/>
            </w14:solidFill>
          </w14:textFill>
        </w:rPr>
        <w:t>.</w:t>
      </w:r>
      <w:r>
        <w:rPr>
          <w:rFonts w:hint="eastAsia" w:ascii="黑体" w:hAnsi="黑体" w:eastAsia="黑体"/>
          <w:color w:val="000000" w:themeColor="text1"/>
          <w:lang w:val="en-US" w:eastAsia="zh-CN"/>
          <w14:textFill>
            <w14:solidFill>
              <w14:schemeClr w14:val="tx1"/>
            </w14:solidFill>
          </w14:textFill>
        </w:rPr>
        <w:t>4</w:t>
      </w:r>
      <w:r>
        <w:rPr>
          <w:rFonts w:ascii="黑体" w:hAnsi="黑体" w:eastAsia="黑体"/>
          <w:color w:val="000000" w:themeColor="text1"/>
          <w14:textFill>
            <w14:solidFill>
              <w14:schemeClr w14:val="tx1"/>
            </w14:solidFill>
          </w14:textFill>
        </w:rPr>
        <w:t xml:space="preserve"> 项目</w:t>
      </w:r>
      <w:r>
        <w:rPr>
          <w:rFonts w:hint="eastAsia" w:ascii="黑体" w:hAnsi="黑体" w:eastAsia="黑体"/>
          <w:color w:val="000000" w:themeColor="text1"/>
          <w:lang w:eastAsia="zh-CN"/>
          <w14:textFill>
            <w14:solidFill>
              <w14:schemeClr w14:val="tx1"/>
            </w14:solidFill>
          </w14:textFill>
        </w:rPr>
        <w:t>运维升级</w:t>
      </w:r>
      <w:r>
        <w:rPr>
          <w:rFonts w:ascii="黑体" w:hAnsi="黑体" w:eastAsia="黑体"/>
          <w:color w:val="000000" w:themeColor="text1"/>
          <w14:textFill>
            <w14:solidFill>
              <w14:schemeClr w14:val="tx1"/>
            </w14:solidFill>
          </w14:textFill>
        </w:rPr>
        <w:t>期</w:t>
      </w:r>
      <w:bookmarkEnd w:id="6"/>
    </w:p>
    <w:p>
      <w:pPr>
        <w:ind w:firstLine="607" w:firstLineChars="253"/>
        <w:rPr>
          <w:rFonts w:hint="eastAsia" w:ascii="仿宋" w:hAnsi="仿宋" w:eastAsia="仿宋"/>
          <w:sz w:val="24"/>
        </w:rPr>
      </w:pPr>
      <w:r>
        <w:rPr>
          <w:rFonts w:hint="eastAsia" w:ascii="仿宋" w:hAnsi="仿宋" w:eastAsia="仿宋"/>
          <w:sz w:val="24"/>
        </w:rPr>
        <w:t>项目</w:t>
      </w:r>
      <w:r>
        <w:rPr>
          <w:rFonts w:hint="eastAsia" w:ascii="仿宋" w:hAnsi="仿宋" w:eastAsia="仿宋"/>
          <w:sz w:val="24"/>
          <w:lang w:eastAsia="zh-CN"/>
        </w:rPr>
        <w:t>运维升级</w:t>
      </w:r>
      <w:r>
        <w:rPr>
          <w:rFonts w:hint="eastAsia" w:ascii="仿宋" w:hAnsi="仿宋" w:eastAsia="仿宋"/>
          <w:sz w:val="24"/>
        </w:rPr>
        <w:t>期为2个月。</w:t>
      </w:r>
    </w:p>
    <w:p>
      <w:pPr>
        <w:pStyle w:val="2"/>
        <w:pageBreakBefore/>
        <w:jc w:val="center"/>
        <w:rPr>
          <w:rFonts w:hint="eastAsia" w:ascii="黑体" w:hAnsi="黑体" w:eastAsia="黑体"/>
          <w:color w:val="000000" w:themeColor="text1"/>
          <w:sz w:val="44"/>
          <w:szCs w:val="44"/>
          <w14:textFill>
            <w14:solidFill>
              <w14:schemeClr w14:val="tx1"/>
            </w14:solidFill>
          </w14:textFill>
        </w:rPr>
      </w:pPr>
      <w:bookmarkStart w:id="7" w:name="_Toc213606077"/>
      <w:r>
        <w:rPr>
          <w:rFonts w:ascii="黑体" w:hAnsi="黑体" w:eastAsia="黑体"/>
          <w:color w:val="000000" w:themeColor="text1"/>
          <w:sz w:val="44"/>
          <w:szCs w:val="44"/>
          <w14:textFill>
            <w14:solidFill>
              <w14:schemeClr w14:val="tx1"/>
            </w14:solidFill>
          </w14:textFill>
        </w:rPr>
        <w:t>第</w:t>
      </w:r>
      <w:r>
        <w:rPr>
          <w:rFonts w:hint="eastAsia" w:ascii="黑体" w:hAnsi="黑体" w:eastAsia="黑体"/>
          <w:color w:val="000000" w:themeColor="text1"/>
          <w:sz w:val="44"/>
          <w:szCs w:val="44"/>
          <w:lang w:eastAsia="zh-CN"/>
          <w14:textFill>
            <w14:solidFill>
              <w14:schemeClr w14:val="tx1"/>
            </w14:solidFill>
          </w14:textFill>
        </w:rPr>
        <w:t>二</w:t>
      </w:r>
      <w:r>
        <w:rPr>
          <w:rFonts w:ascii="黑体" w:hAnsi="黑体" w:eastAsia="黑体"/>
          <w:color w:val="000000" w:themeColor="text1"/>
          <w:sz w:val="44"/>
          <w:szCs w:val="44"/>
          <w14:textFill>
            <w14:solidFill>
              <w14:schemeClr w14:val="tx1"/>
            </w14:solidFill>
          </w14:textFill>
        </w:rPr>
        <w:t>章 业务功能</w:t>
      </w:r>
      <w:r>
        <w:rPr>
          <w:rFonts w:hint="eastAsia" w:ascii="黑体" w:hAnsi="黑体" w:eastAsia="黑体"/>
          <w:color w:val="000000" w:themeColor="text1"/>
          <w:sz w:val="44"/>
          <w:szCs w:val="44"/>
          <w:lang w:eastAsia="zh-CN"/>
          <w14:textFill>
            <w14:solidFill>
              <w14:schemeClr w14:val="tx1"/>
            </w14:solidFill>
          </w14:textFill>
        </w:rPr>
        <w:t>分析</w:t>
      </w:r>
      <w:r>
        <w:rPr>
          <w:rFonts w:ascii="黑体" w:hAnsi="黑体" w:eastAsia="黑体"/>
          <w:color w:val="000000" w:themeColor="text1"/>
          <w:sz w:val="44"/>
          <w:szCs w:val="44"/>
          <w14:textFill>
            <w14:solidFill>
              <w14:schemeClr w14:val="tx1"/>
            </w14:solidFill>
          </w14:textFill>
        </w:rPr>
        <w:t>和项目</w:t>
      </w:r>
      <w:r>
        <w:rPr>
          <w:rFonts w:hint="eastAsia" w:ascii="黑体" w:hAnsi="黑体" w:eastAsia="黑体"/>
          <w:color w:val="000000" w:themeColor="text1"/>
          <w:sz w:val="44"/>
          <w:szCs w:val="44"/>
          <w:lang w:eastAsia="zh-CN"/>
          <w14:textFill>
            <w14:solidFill>
              <w14:schemeClr w14:val="tx1"/>
            </w14:solidFill>
          </w14:textFill>
        </w:rPr>
        <w:t>运维升级</w:t>
      </w:r>
      <w:r>
        <w:rPr>
          <w:rFonts w:ascii="黑体" w:hAnsi="黑体" w:eastAsia="黑体"/>
          <w:color w:val="000000" w:themeColor="text1"/>
          <w:sz w:val="44"/>
          <w:szCs w:val="44"/>
          <w14:textFill>
            <w14:solidFill>
              <w14:schemeClr w14:val="tx1"/>
            </w14:solidFill>
          </w14:textFill>
        </w:rPr>
        <w:t>的必要性</w:t>
      </w:r>
      <w:bookmarkEnd w:id="7"/>
      <w:r>
        <w:rPr>
          <w:rFonts w:ascii="黑体" w:hAnsi="黑体" w:eastAsia="黑体"/>
          <w:color w:val="000000" w:themeColor="text1"/>
          <w:sz w:val="44"/>
          <w:szCs w:val="44"/>
          <w14:textFill>
            <w14:solidFill>
              <w14:schemeClr w14:val="tx1"/>
            </w14:solidFill>
          </w14:textFill>
        </w:rPr>
        <w:t xml:space="preserve"> </w:t>
      </w:r>
    </w:p>
    <w:p>
      <w:pPr>
        <w:rPr>
          <w:rFonts w:hint="eastAsia"/>
        </w:rPr>
      </w:pPr>
    </w:p>
    <w:p>
      <w:pPr>
        <w:pStyle w:val="4"/>
        <w:rPr>
          <w:rStyle w:val="31"/>
          <w:rFonts w:hint="eastAsia" w:ascii="黑体" w:hAnsi="黑体" w:eastAsia="黑体"/>
          <w:color w:val="000000" w:themeColor="text1"/>
          <w:sz w:val="32"/>
          <w:szCs w:val="32"/>
          <w14:textFill>
            <w14:solidFill>
              <w14:schemeClr w14:val="tx1"/>
            </w14:solidFill>
          </w14:textFill>
        </w:rPr>
      </w:pPr>
      <w:bookmarkStart w:id="8" w:name="_Toc213606078"/>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1</w:t>
      </w:r>
      <w:r>
        <w:rPr>
          <w:rStyle w:val="31"/>
          <w:rFonts w:ascii="黑体" w:hAnsi="黑体" w:eastAsia="黑体"/>
          <w:color w:val="000000" w:themeColor="text1"/>
          <w:sz w:val="32"/>
          <w:szCs w:val="32"/>
          <w14:textFill>
            <w14:solidFill>
              <w14:schemeClr w14:val="tx1"/>
            </w14:solidFill>
          </w14:textFill>
        </w:rPr>
        <w:t xml:space="preserve"> 业务功能、业务流程和业务量分析</w:t>
      </w:r>
      <w:bookmarkEnd w:id="8"/>
      <w:r>
        <w:rPr>
          <w:rStyle w:val="31"/>
          <w:rFonts w:ascii="黑体" w:hAnsi="黑体" w:eastAsia="黑体"/>
          <w:color w:val="000000" w:themeColor="text1"/>
          <w:sz w:val="32"/>
          <w:szCs w:val="32"/>
          <w14:textFill>
            <w14:solidFill>
              <w14:schemeClr w14:val="tx1"/>
            </w14:solidFill>
          </w14:textFill>
        </w:rPr>
        <w:t xml:space="preserve"> </w:t>
      </w:r>
    </w:p>
    <w:p>
      <w:pPr>
        <w:pStyle w:val="4"/>
        <w:rPr>
          <w:rStyle w:val="31"/>
          <w:rFonts w:hint="eastAsia" w:ascii="黑体" w:hAnsi="黑体" w:eastAsia="黑体"/>
          <w:color w:val="000000" w:themeColor="text1"/>
          <w:sz w:val="32"/>
          <w:szCs w:val="32"/>
          <w14:textFill>
            <w14:solidFill>
              <w14:schemeClr w14:val="tx1"/>
            </w14:solidFill>
          </w14:textFill>
        </w:rPr>
      </w:pPr>
      <w:bookmarkStart w:id="9" w:name="_Toc213606079"/>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1</w:t>
      </w:r>
      <w:r>
        <w:rPr>
          <w:rStyle w:val="31"/>
          <w:rFonts w:ascii="黑体" w:hAnsi="黑体" w:eastAsia="黑体"/>
          <w:color w:val="000000" w:themeColor="text1"/>
          <w:sz w:val="32"/>
          <w:szCs w:val="32"/>
          <w14:textFill>
            <w14:solidFill>
              <w14:schemeClr w14:val="tx1"/>
            </w14:solidFill>
          </w14:textFill>
        </w:rPr>
        <w:t>.1 业务功能</w:t>
      </w:r>
      <w:bookmarkEnd w:id="9"/>
    </w:p>
    <w:p>
      <w:pPr>
        <w:pStyle w:val="43"/>
        <w:numPr>
          <w:ilvl w:val="0"/>
          <w:numId w:val="1"/>
        </w:numPr>
        <w:rPr>
          <w:rFonts w:hint="eastAsia" w:ascii="仿宋" w:hAnsi="仿宋" w:eastAsia="仿宋"/>
          <w:b/>
          <w:bCs/>
          <w:sz w:val="24"/>
        </w:rPr>
      </w:pPr>
      <w:r>
        <w:rPr>
          <w:rFonts w:hint="eastAsia" w:ascii="仿宋" w:hAnsi="仿宋" w:eastAsia="仿宋"/>
          <w:b/>
          <w:bCs/>
          <w:sz w:val="24"/>
        </w:rPr>
        <w:t>收入报表</w:t>
      </w:r>
    </w:p>
    <w:p>
      <w:pPr>
        <w:ind w:firstLine="607" w:firstLineChars="253"/>
        <w:rPr>
          <w:rFonts w:hint="eastAsia" w:ascii="仿宋" w:hAnsi="仿宋" w:eastAsia="仿宋"/>
          <w:sz w:val="24"/>
        </w:rPr>
      </w:pPr>
      <w:r>
        <w:rPr>
          <w:rFonts w:hint="eastAsia" w:ascii="仿宋" w:hAnsi="仿宋" w:eastAsia="仿宋"/>
          <w:sz w:val="24"/>
        </w:rPr>
        <w:t>系统提供按以下选项，每类报表含48个单表。</w:t>
      </w:r>
    </w:p>
    <w:p>
      <w:pPr>
        <w:ind w:firstLine="607" w:firstLineChars="253"/>
        <w:rPr>
          <w:rFonts w:hint="eastAsia" w:ascii="仿宋" w:hAnsi="仿宋" w:eastAsia="仿宋"/>
          <w:sz w:val="24"/>
        </w:rPr>
      </w:pPr>
      <w:r>
        <w:rPr>
          <w:rFonts w:hint="eastAsia" w:ascii="仿宋" w:hAnsi="仿宋" w:eastAsia="仿宋"/>
          <w:sz w:val="24"/>
        </w:rPr>
        <w:t>1财政机关名称（各省、市、县、区财政局）</w:t>
      </w:r>
    </w:p>
    <w:p>
      <w:pPr>
        <w:ind w:firstLine="607" w:firstLineChars="253"/>
        <w:rPr>
          <w:rFonts w:hint="eastAsia" w:ascii="仿宋" w:hAnsi="仿宋" w:eastAsia="仿宋"/>
          <w:sz w:val="24"/>
        </w:rPr>
      </w:pPr>
      <w:r>
        <w:rPr>
          <w:rFonts w:hint="eastAsia" w:ascii="仿宋" w:hAnsi="仿宋" w:eastAsia="仿宋"/>
          <w:sz w:val="24"/>
        </w:rPr>
        <w:t>2报表日期</w:t>
      </w:r>
    </w:p>
    <w:p>
      <w:pPr>
        <w:ind w:firstLine="607" w:firstLineChars="253"/>
        <w:rPr>
          <w:rFonts w:hint="eastAsia" w:ascii="仿宋" w:hAnsi="仿宋" w:eastAsia="仿宋"/>
          <w:sz w:val="24"/>
        </w:rPr>
      </w:pPr>
      <w:r>
        <w:rPr>
          <w:rFonts w:hint="eastAsia" w:ascii="仿宋" w:hAnsi="仿宋" w:eastAsia="仿宋"/>
          <w:sz w:val="24"/>
        </w:rPr>
        <w:t>3行政范围（全辖、本级、下级汇总）</w:t>
      </w:r>
    </w:p>
    <w:p>
      <w:pPr>
        <w:ind w:firstLine="607" w:firstLineChars="253"/>
        <w:rPr>
          <w:rFonts w:hint="eastAsia" w:ascii="仿宋" w:hAnsi="仿宋" w:eastAsia="仿宋"/>
          <w:sz w:val="24"/>
        </w:rPr>
      </w:pPr>
      <w:r>
        <w:rPr>
          <w:rFonts w:hint="eastAsia" w:ascii="仿宋" w:hAnsi="仿宋" w:eastAsia="仿宋"/>
          <w:sz w:val="24"/>
        </w:rPr>
        <w:t>4征收机关（不分征收部门、国税部门、地税部门、海关部门、财政部门、其他部门、各征收机关）</w:t>
      </w:r>
    </w:p>
    <w:p>
      <w:pPr>
        <w:ind w:firstLine="607" w:firstLineChars="253"/>
        <w:rPr>
          <w:rFonts w:hint="eastAsia" w:ascii="仿宋" w:hAnsi="仿宋" w:eastAsia="仿宋"/>
          <w:sz w:val="24"/>
        </w:rPr>
      </w:pPr>
      <w:r>
        <w:rPr>
          <w:rFonts w:hint="eastAsia" w:ascii="仿宋" w:hAnsi="仿宋" w:eastAsia="仿宋"/>
          <w:sz w:val="24"/>
        </w:rPr>
        <w:t>5级次（中央级、省级、市级、县级、乡镇级、地方级）</w:t>
      </w:r>
    </w:p>
    <w:p>
      <w:pPr>
        <w:ind w:firstLine="607" w:firstLineChars="253"/>
        <w:rPr>
          <w:rFonts w:hint="eastAsia" w:ascii="仿宋" w:hAnsi="仿宋" w:eastAsia="仿宋"/>
          <w:sz w:val="24"/>
        </w:rPr>
      </w:pPr>
      <w:r>
        <w:rPr>
          <w:rFonts w:hint="eastAsia" w:ascii="仿宋" w:hAnsi="仿宋" w:eastAsia="仿宋"/>
          <w:sz w:val="24"/>
        </w:rPr>
        <w:t>6</w:t>
      </w:r>
      <w:r>
        <w:rPr>
          <w:rFonts w:ascii="仿宋" w:hAnsi="仿宋" w:eastAsia="仿宋"/>
          <w:sz w:val="24"/>
        </w:rPr>
        <w:t xml:space="preserve"> </w:t>
      </w:r>
      <w:r>
        <w:rPr>
          <w:rFonts w:hint="eastAsia" w:ascii="仿宋" w:hAnsi="仿宋" w:eastAsia="仿宋"/>
          <w:sz w:val="24"/>
        </w:rPr>
        <w:t>期间（正常期、调整期）</w:t>
      </w:r>
    </w:p>
    <w:p>
      <w:pPr>
        <w:ind w:firstLine="607" w:firstLineChars="253"/>
        <w:rPr>
          <w:rFonts w:hint="eastAsia" w:ascii="仿宋" w:hAnsi="仿宋" w:eastAsia="仿宋"/>
          <w:sz w:val="24"/>
        </w:rPr>
      </w:pPr>
      <w:r>
        <w:rPr>
          <w:rFonts w:hint="eastAsia" w:ascii="仿宋" w:hAnsi="仿宋" w:eastAsia="仿宋"/>
          <w:sz w:val="24"/>
        </w:rPr>
        <w:t>7</w:t>
      </w:r>
      <w:r>
        <w:rPr>
          <w:rFonts w:ascii="仿宋" w:hAnsi="仿宋" w:eastAsia="仿宋"/>
          <w:sz w:val="24"/>
        </w:rPr>
        <w:t xml:space="preserve"> </w:t>
      </w:r>
      <w:r>
        <w:rPr>
          <w:rFonts w:hint="eastAsia" w:ascii="仿宋" w:hAnsi="仿宋" w:eastAsia="仿宋"/>
          <w:sz w:val="24"/>
        </w:rPr>
        <w:t>预算种类（预算内、预算外）</w:t>
      </w:r>
    </w:p>
    <w:p>
      <w:pPr>
        <w:ind w:firstLine="607" w:firstLineChars="253"/>
        <w:rPr>
          <w:rFonts w:hint="eastAsia" w:ascii="仿宋" w:hAnsi="仿宋" w:eastAsia="仿宋"/>
          <w:sz w:val="24"/>
        </w:rPr>
      </w:pPr>
      <w:r>
        <w:rPr>
          <w:rFonts w:hint="eastAsia" w:ascii="仿宋" w:hAnsi="仿宋" w:eastAsia="仿宋"/>
          <w:sz w:val="24"/>
        </w:rPr>
        <w:t>8</w:t>
      </w:r>
      <w:r>
        <w:rPr>
          <w:rFonts w:ascii="仿宋" w:hAnsi="仿宋" w:eastAsia="仿宋"/>
          <w:sz w:val="24"/>
        </w:rPr>
        <w:t xml:space="preserve"> </w:t>
      </w:r>
      <w:r>
        <w:rPr>
          <w:rFonts w:hint="eastAsia" w:ascii="仿宋" w:hAnsi="仿宋" w:eastAsia="仿宋"/>
          <w:sz w:val="24"/>
        </w:rPr>
        <w:t>单位（元、万元、亿元）</w:t>
      </w:r>
    </w:p>
    <w:p>
      <w:pPr>
        <w:ind w:firstLine="607" w:firstLineChars="253"/>
        <w:rPr>
          <w:rFonts w:hint="eastAsia" w:ascii="仿宋" w:hAnsi="仿宋" w:eastAsia="仿宋"/>
          <w:sz w:val="24"/>
        </w:rPr>
      </w:pPr>
      <w:r>
        <w:rPr>
          <w:rFonts w:hint="eastAsia" w:ascii="仿宋" w:hAnsi="仿宋" w:eastAsia="仿宋"/>
          <w:sz w:val="24"/>
        </w:rPr>
        <w:t>任意组合查询，得出相应预算科目的日、旬、月、季、年累计发生额。</w:t>
      </w:r>
    </w:p>
    <w:p>
      <w:pPr>
        <w:ind w:firstLine="607" w:firstLineChars="253"/>
        <w:rPr>
          <w:rFonts w:hint="eastAsia" w:ascii="仿宋" w:hAnsi="仿宋" w:eastAsia="仿宋"/>
          <w:sz w:val="24"/>
        </w:rPr>
      </w:pPr>
      <w:r>
        <w:rPr>
          <w:rFonts w:hint="eastAsia" w:ascii="仿宋" w:hAnsi="仿宋" w:eastAsia="仿宋"/>
          <w:sz w:val="24"/>
        </w:rPr>
        <w:t>查询结果可以导出为E</w:t>
      </w:r>
      <w:r>
        <w:rPr>
          <w:rFonts w:ascii="仿宋" w:hAnsi="仿宋" w:eastAsia="仿宋"/>
          <w:sz w:val="24"/>
        </w:rPr>
        <w:t>XCEL</w:t>
      </w:r>
      <w:r>
        <w:rPr>
          <w:rFonts w:hint="eastAsia" w:ascii="仿宋" w:hAnsi="仿宋" w:eastAsia="仿宋"/>
          <w:sz w:val="24"/>
        </w:rPr>
        <w:t>文件。</w:t>
      </w:r>
    </w:p>
    <w:p>
      <w:pPr>
        <w:ind w:firstLine="607" w:firstLineChars="253"/>
        <w:rPr>
          <w:rFonts w:hint="eastAsia" w:ascii="仿宋" w:hAnsi="仿宋" w:eastAsia="仿宋"/>
          <w:sz w:val="24"/>
        </w:rPr>
      </w:pPr>
      <w:r>
        <w:rPr>
          <w:rFonts w:hint="eastAsia" w:ascii="仿宋" w:hAnsi="仿宋" w:eastAsia="仿宋"/>
          <w:sz w:val="24"/>
        </w:rPr>
        <w:t>可以打印报表。</w:t>
      </w:r>
    </w:p>
    <w:p>
      <w:pPr>
        <w:ind w:firstLine="607" w:firstLineChars="253"/>
        <w:rPr>
          <w:rFonts w:hint="eastAsia" w:ascii="仿宋" w:hAnsi="仿宋" w:eastAsia="仿宋"/>
          <w:sz w:val="24"/>
        </w:rPr>
      </w:pPr>
      <w:r>
        <w:rPr>
          <w:rFonts w:hint="eastAsia" w:ascii="仿宋" w:hAnsi="仿宋" w:eastAsia="仿宋"/>
          <w:sz w:val="24"/>
        </w:rPr>
        <w:t>表内可以定制过滤。</w:t>
      </w:r>
    </w:p>
    <w:p>
      <w:pPr>
        <w:ind w:firstLine="607" w:firstLineChars="253"/>
        <w:rPr>
          <w:rFonts w:hint="eastAsia" w:ascii="仿宋" w:hAnsi="仿宋" w:eastAsia="仿宋"/>
          <w:sz w:val="24"/>
        </w:rPr>
      </w:pPr>
      <w:r>
        <w:rPr>
          <w:rFonts w:hint="eastAsia" w:ascii="仿宋" w:hAnsi="仿宋" w:eastAsia="仿宋"/>
          <w:sz w:val="24"/>
        </w:rPr>
        <w:t>任意表间可以加合并、减合并、对比。</w:t>
      </w:r>
    </w:p>
    <w:p>
      <w:pPr>
        <w:ind w:firstLine="607" w:firstLineChars="253"/>
        <w:rPr>
          <w:rFonts w:hint="eastAsia" w:ascii="仿宋" w:hAnsi="仿宋" w:eastAsia="仿宋"/>
          <w:sz w:val="24"/>
        </w:rPr>
      </w:pPr>
      <w:r>
        <w:rPr>
          <w:rFonts w:hint="eastAsia" w:ascii="仿宋" w:hAnsi="仿宋" w:eastAsia="仿宋"/>
          <w:sz w:val="24"/>
        </w:rPr>
        <w:t>一体化系统接口功能。定时向一体化系统发送数据。</w:t>
      </w:r>
    </w:p>
    <w:p>
      <w:pPr>
        <w:ind w:firstLine="607" w:firstLineChars="253"/>
        <w:rPr>
          <w:rFonts w:hint="eastAsia" w:ascii="仿宋" w:hAnsi="仿宋" w:eastAsia="仿宋"/>
          <w:sz w:val="24"/>
        </w:rPr>
      </w:pPr>
      <w:r>
        <w:rPr>
          <w:rFonts w:hint="eastAsia" w:ascii="仿宋" w:hAnsi="仿宋" w:eastAsia="仿宋"/>
          <w:sz w:val="24"/>
        </w:rPr>
        <w:t>每类报表含以下48种单表；</w:t>
      </w:r>
    </w:p>
    <w:tbl>
      <w:tblPr>
        <w:tblStyle w:val="26"/>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417" w:type="dxa"/>
            <w:shd w:val="clear" w:color="auto" w:fill="D8D8D8" w:themeFill="background1" w:themeFillShade="D9"/>
            <w:vAlign w:val="center"/>
          </w:tcPr>
          <w:p>
            <w:pPr>
              <w:spacing w:after="0" w:line="240" w:lineRule="auto"/>
              <w:jc w:val="center"/>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序号</w:t>
            </w:r>
          </w:p>
        </w:tc>
        <w:tc>
          <w:tcPr>
            <w:tcW w:w="6600" w:type="dxa"/>
            <w:shd w:val="clear" w:color="auto" w:fill="D8D8D8" w:themeFill="background1" w:themeFillShade="D9"/>
            <w:vAlign w:val="center"/>
          </w:tcPr>
          <w:p>
            <w:pPr>
              <w:spacing w:after="0" w:line="240" w:lineRule="auto"/>
              <w:jc w:val="center"/>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报表名称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全辖不分征收部门不分级次报表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全辖不分征收部门中央级报表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全辖不分征收部门省级报表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全辖不分征收部门市级报表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全辖不分征收部门县区级报表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全辖不分征收部门地方级报表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全辖国税部门不分级次报表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全辖国税部门中央级报表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全辖国税部门省级报表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全辖国税部门市级报表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全辖国税部门县区级报表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全辖国税部门地方级报表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全辖海关部门不分级次报表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全辖海关部门中央级报表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全辖海关部门省级报表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全辖海关部门市级报表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全辖海关部门县区级报表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全辖海关部门地方级报表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全辖财政部门不分级次报表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全辖财政部门中央级报表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全辖财政部门省级报表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全辖财政部门市级报表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全辖财政部门县区级报表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全辖财政部门地方级报表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本级不分征收部门不分级次报表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本级不分征收部门中央级报表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本级不分征收部门省级报表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本级不分征收部门市级报表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本级不分征收部门县区级报表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本级不分征收部门地方级报表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本级国税部门不分级次报表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本级国税部门中央级报表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本级国税部门省级报表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本级国税部门市级报表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本级国税部门县区级报表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本级国税部门地方级报表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本级海关部门不分级次报表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本级海关部门中央级报表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本级海关部门省级报表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本级海关部门市级报表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本级海关部门县区级报表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本级海关部门地方级报表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本级财政部门不分级次报表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本级财政部门中央级报表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本级财政部门省级报表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本级财政部门市级报表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本级财政部门县区级报表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pStyle w:val="43"/>
              <w:numPr>
                <w:ilvl w:val="0"/>
                <w:numId w:val="2"/>
              </w:numPr>
              <w:spacing w:after="0" w:line="240" w:lineRule="auto"/>
              <w:rPr>
                <w:rFonts w:hint="eastAsia" w:ascii="仿宋" w:hAnsi="仿宋" w:eastAsia="仿宋" w:cs="Times New Roman"/>
                <w:kern w:val="0"/>
                <w:sz w:val="24"/>
                <w:szCs w:val="20"/>
                <w14:ligatures w14:val="none"/>
              </w:rPr>
            </w:pPr>
          </w:p>
        </w:tc>
        <w:tc>
          <w:tcPr>
            <w:tcW w:w="6600" w:type="dxa"/>
          </w:tcPr>
          <w:p>
            <w:pPr>
              <w:spacing w:after="0" w:line="240" w:lineRule="auto"/>
              <w:rPr>
                <w:rFonts w:hint="eastAsia" w:ascii="仿宋" w:hAnsi="仿宋" w:eastAsia="仿宋" w:cs="Times New Roman"/>
                <w:kern w:val="0"/>
                <w:sz w:val="24"/>
                <w:szCs w:val="20"/>
                <w14:ligatures w14:val="none"/>
              </w:rPr>
            </w:pPr>
            <w:r>
              <w:rPr>
                <w:rFonts w:hint="eastAsia" w:ascii="Times New Roman" w:hAnsi="Times New Roman" w:eastAsia="宋体" w:cs="Times New Roman"/>
                <w:kern w:val="0"/>
                <w:sz w:val="20"/>
                <w:szCs w:val="20"/>
                <w14:ligatures w14:val="none"/>
              </w:rPr>
              <w:t>本级财政部门地方级报表</w:t>
            </w:r>
          </w:p>
        </w:tc>
      </w:tr>
    </w:tbl>
    <w:p>
      <w:pPr>
        <w:pStyle w:val="43"/>
        <w:numPr>
          <w:ilvl w:val="0"/>
          <w:numId w:val="1"/>
        </w:numPr>
        <w:rPr>
          <w:rFonts w:hint="eastAsia" w:ascii="仿宋" w:hAnsi="仿宋" w:eastAsia="仿宋"/>
          <w:b/>
          <w:bCs/>
          <w:sz w:val="24"/>
        </w:rPr>
      </w:pPr>
      <w:r>
        <w:rPr>
          <w:rFonts w:hint="eastAsia" w:ascii="仿宋" w:hAnsi="仿宋" w:eastAsia="仿宋"/>
          <w:b/>
          <w:bCs/>
          <w:sz w:val="24"/>
        </w:rPr>
        <w:t>收入报表明细</w:t>
      </w:r>
    </w:p>
    <w:p>
      <w:pPr>
        <w:ind w:firstLine="607" w:firstLineChars="253"/>
        <w:rPr>
          <w:rFonts w:hint="eastAsia" w:ascii="仿宋" w:hAnsi="仿宋" w:eastAsia="仿宋"/>
          <w:sz w:val="24"/>
        </w:rPr>
      </w:pPr>
      <w:r>
        <w:rPr>
          <w:rFonts w:hint="eastAsia" w:ascii="仿宋" w:hAnsi="仿宋" w:eastAsia="仿宋"/>
          <w:sz w:val="24"/>
        </w:rPr>
        <w:t>分别查询上述48种报表明细信息。</w:t>
      </w:r>
    </w:p>
    <w:p>
      <w:pPr>
        <w:pStyle w:val="43"/>
        <w:numPr>
          <w:ilvl w:val="0"/>
          <w:numId w:val="1"/>
        </w:numPr>
        <w:rPr>
          <w:rFonts w:hint="eastAsia" w:ascii="仿宋" w:hAnsi="仿宋" w:eastAsia="仿宋"/>
          <w:b/>
          <w:bCs/>
          <w:sz w:val="24"/>
        </w:rPr>
      </w:pPr>
      <w:r>
        <w:rPr>
          <w:rFonts w:hint="eastAsia" w:ascii="仿宋" w:hAnsi="仿宋" w:eastAsia="仿宋"/>
          <w:b/>
          <w:bCs/>
          <w:sz w:val="24"/>
        </w:rPr>
        <w:t>收入报表汇总</w:t>
      </w:r>
    </w:p>
    <w:p>
      <w:pPr>
        <w:ind w:firstLine="607" w:firstLineChars="253"/>
        <w:rPr>
          <w:rFonts w:hint="eastAsia" w:ascii="仿宋" w:hAnsi="仿宋" w:eastAsia="仿宋"/>
          <w:sz w:val="24"/>
        </w:rPr>
      </w:pPr>
      <w:r>
        <w:rPr>
          <w:rFonts w:hint="eastAsia" w:ascii="仿宋" w:hAnsi="仿宋" w:eastAsia="仿宋"/>
          <w:sz w:val="24"/>
        </w:rPr>
        <w:t>按规则对上述48种报表做汇总计算。</w:t>
      </w:r>
    </w:p>
    <w:p>
      <w:pPr>
        <w:pStyle w:val="43"/>
        <w:numPr>
          <w:ilvl w:val="0"/>
          <w:numId w:val="1"/>
        </w:numPr>
        <w:rPr>
          <w:rFonts w:hint="eastAsia" w:ascii="仿宋" w:hAnsi="仿宋" w:eastAsia="仿宋"/>
          <w:b/>
          <w:bCs/>
          <w:sz w:val="24"/>
        </w:rPr>
      </w:pPr>
      <w:bookmarkStart w:id="10" w:name="_Toc90929076"/>
      <w:r>
        <w:rPr>
          <w:rFonts w:hint="eastAsia" w:ascii="仿宋" w:hAnsi="仿宋" w:eastAsia="仿宋"/>
          <w:b/>
          <w:bCs/>
          <w:sz w:val="24"/>
        </w:rPr>
        <w:t>库存日报</w:t>
      </w:r>
      <w:bookmarkEnd w:id="10"/>
    </w:p>
    <w:p>
      <w:pPr>
        <w:ind w:firstLine="607" w:firstLineChars="253"/>
        <w:rPr>
          <w:rFonts w:hint="eastAsia" w:ascii="仿宋" w:hAnsi="仿宋" w:eastAsia="仿宋"/>
          <w:sz w:val="24"/>
        </w:rPr>
      </w:pPr>
      <w:r>
        <w:rPr>
          <w:rFonts w:hint="eastAsia" w:ascii="仿宋" w:hAnsi="仿宋" w:eastAsia="仿宋"/>
          <w:sz w:val="24"/>
        </w:rPr>
        <w:t>可以查询全部财政机关或任意一财政机关指定日期或时间段内的国库账户的上日余额、本日收入、本日支出、本日余额。</w:t>
      </w:r>
    </w:p>
    <w:p>
      <w:pPr>
        <w:pStyle w:val="43"/>
        <w:numPr>
          <w:ilvl w:val="0"/>
          <w:numId w:val="1"/>
        </w:numPr>
        <w:rPr>
          <w:rFonts w:hint="eastAsia" w:ascii="仿宋" w:hAnsi="仿宋" w:eastAsia="仿宋"/>
          <w:b/>
          <w:bCs/>
          <w:sz w:val="24"/>
        </w:rPr>
      </w:pPr>
      <w:r>
        <w:rPr>
          <w:rFonts w:hint="eastAsia" w:ascii="仿宋" w:hAnsi="仿宋" w:eastAsia="仿宋"/>
          <w:b/>
          <w:bCs/>
          <w:sz w:val="24"/>
        </w:rPr>
        <w:t>实时账户余额</w:t>
      </w:r>
    </w:p>
    <w:p>
      <w:pPr>
        <w:ind w:firstLine="607" w:firstLineChars="253"/>
        <w:rPr>
          <w:rFonts w:hint="eastAsia" w:ascii="仿宋" w:hAnsi="仿宋" w:eastAsia="仿宋"/>
          <w:sz w:val="24"/>
        </w:rPr>
      </w:pPr>
      <w:r>
        <w:rPr>
          <w:rFonts w:hint="eastAsia" w:ascii="仿宋" w:hAnsi="仿宋" w:eastAsia="仿宋"/>
          <w:sz w:val="24"/>
        </w:rPr>
        <w:t>查询全市任一财政机关金库账户实时余额。</w:t>
      </w:r>
    </w:p>
    <w:p>
      <w:pPr>
        <w:pStyle w:val="43"/>
        <w:numPr>
          <w:ilvl w:val="0"/>
          <w:numId w:val="1"/>
        </w:numPr>
        <w:rPr>
          <w:rFonts w:hint="eastAsia" w:ascii="仿宋" w:hAnsi="仿宋" w:eastAsia="仿宋"/>
          <w:b/>
          <w:bCs/>
          <w:sz w:val="24"/>
        </w:rPr>
      </w:pPr>
      <w:r>
        <w:rPr>
          <w:rFonts w:hint="eastAsia" w:ascii="仿宋" w:hAnsi="仿宋" w:eastAsia="仿宋"/>
          <w:b/>
          <w:bCs/>
          <w:sz w:val="24"/>
        </w:rPr>
        <w:t>收入预测报表</w:t>
      </w:r>
    </w:p>
    <w:p>
      <w:pPr>
        <w:ind w:firstLine="607" w:firstLineChars="253"/>
        <w:rPr>
          <w:rFonts w:hint="eastAsia" w:ascii="仿宋" w:hAnsi="仿宋" w:eastAsia="仿宋"/>
          <w:sz w:val="24"/>
        </w:rPr>
      </w:pPr>
      <w:r>
        <w:rPr>
          <w:rFonts w:hint="eastAsia" w:ascii="仿宋" w:hAnsi="仿宋" w:eastAsia="仿宋"/>
          <w:sz w:val="24"/>
        </w:rPr>
        <w:t>统计分析预测当日全部财政机关或任意一财政机关的税收收入报表,产生上述48种表格。</w:t>
      </w:r>
    </w:p>
    <w:p>
      <w:pPr>
        <w:pStyle w:val="43"/>
        <w:numPr>
          <w:ilvl w:val="0"/>
          <w:numId w:val="1"/>
        </w:numPr>
        <w:rPr>
          <w:rFonts w:hint="eastAsia" w:ascii="仿宋" w:hAnsi="仿宋" w:eastAsia="仿宋"/>
          <w:b/>
          <w:bCs/>
          <w:sz w:val="24"/>
        </w:rPr>
      </w:pPr>
      <w:bookmarkStart w:id="11" w:name="_Toc90929078"/>
      <w:r>
        <w:rPr>
          <w:rFonts w:hint="eastAsia" w:ascii="仿宋" w:hAnsi="仿宋" w:eastAsia="仿宋"/>
          <w:b/>
          <w:bCs/>
          <w:sz w:val="24"/>
        </w:rPr>
        <w:t>T</w:t>
      </w:r>
      <w:r>
        <w:rPr>
          <w:rFonts w:ascii="仿宋" w:hAnsi="仿宋" w:eastAsia="仿宋"/>
          <w:b/>
          <w:bCs/>
          <w:sz w:val="24"/>
        </w:rPr>
        <w:t>+0</w:t>
      </w:r>
      <w:r>
        <w:rPr>
          <w:rFonts w:hint="eastAsia" w:ascii="仿宋" w:hAnsi="仿宋" w:eastAsia="仿宋"/>
          <w:b/>
          <w:bCs/>
          <w:sz w:val="24"/>
        </w:rPr>
        <w:t>报表</w:t>
      </w:r>
      <w:bookmarkEnd w:id="11"/>
    </w:p>
    <w:p>
      <w:pPr>
        <w:ind w:firstLine="607" w:firstLineChars="253"/>
        <w:rPr>
          <w:rFonts w:hint="eastAsia" w:ascii="仿宋" w:hAnsi="仿宋" w:eastAsia="仿宋"/>
          <w:sz w:val="24"/>
        </w:rPr>
      </w:pPr>
      <w:r>
        <w:rPr>
          <w:rFonts w:hint="eastAsia" w:ascii="仿宋" w:hAnsi="仿宋" w:eastAsia="仿宋"/>
          <w:sz w:val="24"/>
        </w:rPr>
        <w:t>系统可以接收、展示</w:t>
      </w:r>
      <w:r>
        <w:rPr>
          <w:rFonts w:ascii="仿宋" w:hAnsi="仿宋" w:eastAsia="仿宋"/>
          <w:sz w:val="24"/>
        </w:rPr>
        <w:t>TCBS</w:t>
      </w:r>
      <w:r>
        <w:rPr>
          <w:rFonts w:hint="eastAsia" w:ascii="仿宋" w:hAnsi="仿宋" w:eastAsia="仿宋"/>
          <w:sz w:val="24"/>
        </w:rPr>
        <w:t>导出发送的日间报表，实现T</w:t>
      </w:r>
      <w:r>
        <w:rPr>
          <w:rFonts w:ascii="仿宋" w:hAnsi="仿宋" w:eastAsia="仿宋"/>
          <w:sz w:val="24"/>
        </w:rPr>
        <w:t>+0</w:t>
      </w:r>
      <w:r>
        <w:rPr>
          <w:rFonts w:hint="eastAsia" w:ascii="仿宋" w:hAnsi="仿宋" w:eastAsia="仿宋"/>
          <w:sz w:val="24"/>
        </w:rPr>
        <w:t>报表功能,产生上述48种表格。</w:t>
      </w:r>
    </w:p>
    <w:p>
      <w:pPr>
        <w:pStyle w:val="43"/>
        <w:numPr>
          <w:ilvl w:val="0"/>
          <w:numId w:val="1"/>
        </w:numPr>
        <w:rPr>
          <w:rFonts w:hint="eastAsia" w:ascii="仿宋" w:hAnsi="仿宋" w:eastAsia="仿宋"/>
          <w:b/>
          <w:bCs/>
          <w:sz w:val="24"/>
        </w:rPr>
      </w:pPr>
      <w:bookmarkStart w:id="12" w:name="_Toc90929079"/>
      <w:r>
        <w:rPr>
          <w:rFonts w:hint="eastAsia" w:ascii="仿宋" w:hAnsi="仿宋" w:eastAsia="仿宋"/>
          <w:b/>
          <w:bCs/>
          <w:sz w:val="24"/>
        </w:rPr>
        <w:t>重点税源监控</w:t>
      </w:r>
      <w:bookmarkEnd w:id="12"/>
    </w:p>
    <w:p>
      <w:pPr>
        <w:ind w:firstLine="607" w:firstLineChars="253"/>
        <w:rPr>
          <w:rFonts w:hint="eastAsia" w:ascii="仿宋" w:hAnsi="仿宋" w:eastAsia="仿宋"/>
          <w:sz w:val="24"/>
        </w:rPr>
      </w:pPr>
      <w:r>
        <w:rPr>
          <w:rFonts w:hint="eastAsia" w:ascii="仿宋" w:hAnsi="仿宋" w:eastAsia="仿宋"/>
          <w:sz w:val="24"/>
        </w:rPr>
        <w:t>在“纳税税种统计”或“纳税级次统计”根据任意指定条件做排序处理，单选或复选指定的纳税人，点击右键，保存为重点税源。</w:t>
      </w:r>
    </w:p>
    <w:p>
      <w:pPr>
        <w:ind w:firstLine="607" w:firstLineChars="253"/>
        <w:rPr>
          <w:rFonts w:hint="eastAsia" w:ascii="仿宋" w:hAnsi="仿宋" w:eastAsia="仿宋"/>
          <w:sz w:val="24"/>
        </w:rPr>
      </w:pPr>
      <w:r>
        <w:rPr>
          <w:rFonts w:hint="eastAsia" w:ascii="仿宋" w:hAnsi="仿宋" w:eastAsia="仿宋"/>
          <w:sz w:val="24"/>
        </w:rPr>
        <w:t>在“纳税税种统计”或“纳税级次统计”选择“重点税源”选项，点击“查询”按钮，即可查询重点税源纳税情况。</w:t>
      </w:r>
    </w:p>
    <w:p>
      <w:pPr>
        <w:pStyle w:val="43"/>
        <w:numPr>
          <w:ilvl w:val="0"/>
          <w:numId w:val="1"/>
        </w:numPr>
        <w:rPr>
          <w:rFonts w:hint="eastAsia" w:ascii="仿宋" w:hAnsi="仿宋" w:eastAsia="仿宋"/>
          <w:b/>
          <w:bCs/>
          <w:sz w:val="24"/>
        </w:rPr>
      </w:pPr>
      <w:bookmarkStart w:id="13" w:name="_Toc90929080"/>
      <w:r>
        <w:rPr>
          <w:rFonts w:hint="eastAsia" w:ascii="仿宋" w:hAnsi="仿宋" w:eastAsia="仿宋"/>
          <w:b/>
          <w:bCs/>
          <w:sz w:val="24"/>
        </w:rPr>
        <w:t>纳税税种统计</w:t>
      </w:r>
      <w:bookmarkEnd w:id="13"/>
    </w:p>
    <w:p>
      <w:pPr>
        <w:ind w:firstLine="607" w:firstLineChars="253"/>
        <w:rPr>
          <w:rFonts w:hint="eastAsia" w:ascii="仿宋" w:hAnsi="仿宋" w:eastAsia="仿宋"/>
          <w:sz w:val="24"/>
        </w:rPr>
      </w:pPr>
      <w:r>
        <w:rPr>
          <w:rFonts w:hint="eastAsia" w:ascii="仿宋" w:hAnsi="仿宋" w:eastAsia="仿宋"/>
          <w:sz w:val="24"/>
        </w:rPr>
        <w:t>分企业、行业、税种统计指定时间段的纳税情况。</w:t>
      </w:r>
    </w:p>
    <w:p>
      <w:pPr>
        <w:pStyle w:val="43"/>
        <w:numPr>
          <w:ilvl w:val="0"/>
          <w:numId w:val="1"/>
        </w:numPr>
        <w:rPr>
          <w:rFonts w:hint="eastAsia" w:ascii="仿宋" w:hAnsi="仿宋" w:eastAsia="仿宋"/>
          <w:b/>
          <w:bCs/>
          <w:sz w:val="24"/>
        </w:rPr>
      </w:pPr>
      <w:bookmarkStart w:id="14" w:name="_Toc90929081"/>
      <w:r>
        <w:rPr>
          <w:rFonts w:hint="eastAsia" w:ascii="仿宋" w:hAnsi="仿宋" w:eastAsia="仿宋"/>
          <w:b/>
          <w:bCs/>
          <w:sz w:val="24"/>
        </w:rPr>
        <w:t>纳税级次统计</w:t>
      </w:r>
      <w:bookmarkEnd w:id="14"/>
    </w:p>
    <w:p>
      <w:pPr>
        <w:ind w:firstLine="607" w:firstLineChars="253"/>
        <w:rPr>
          <w:rFonts w:hint="eastAsia" w:ascii="仿宋" w:hAnsi="仿宋" w:eastAsia="仿宋"/>
          <w:sz w:val="24"/>
        </w:rPr>
      </w:pPr>
      <w:r>
        <w:rPr>
          <w:rFonts w:hint="eastAsia" w:ascii="仿宋" w:hAnsi="仿宋" w:eastAsia="仿宋"/>
          <w:sz w:val="24"/>
        </w:rPr>
        <w:t>分企业、行业、级次统计指定时间段的纳税情况。</w:t>
      </w:r>
    </w:p>
    <w:p>
      <w:pPr>
        <w:pStyle w:val="43"/>
        <w:numPr>
          <w:ilvl w:val="0"/>
          <w:numId w:val="1"/>
        </w:numPr>
        <w:rPr>
          <w:rFonts w:hint="eastAsia" w:ascii="仿宋" w:hAnsi="仿宋" w:eastAsia="仿宋"/>
          <w:b/>
          <w:bCs/>
          <w:sz w:val="24"/>
        </w:rPr>
      </w:pPr>
      <w:r>
        <w:rPr>
          <w:rFonts w:hint="eastAsia" w:ascii="仿宋" w:hAnsi="仿宋" w:eastAsia="仿宋"/>
          <w:b/>
          <w:bCs/>
          <w:sz w:val="24"/>
        </w:rPr>
        <w:t>行业统计报表</w:t>
      </w:r>
    </w:p>
    <w:p>
      <w:pPr>
        <w:ind w:firstLine="607" w:firstLineChars="253"/>
        <w:rPr>
          <w:rFonts w:hint="eastAsia" w:ascii="仿宋" w:hAnsi="仿宋" w:eastAsia="仿宋"/>
          <w:sz w:val="24"/>
        </w:rPr>
      </w:pPr>
      <w:r>
        <w:rPr>
          <w:rFonts w:hint="eastAsia" w:ascii="仿宋" w:hAnsi="仿宋" w:eastAsia="仿宋"/>
          <w:sz w:val="24"/>
        </w:rPr>
        <w:t>按区划、税种、时间段统计，生成报表。</w:t>
      </w:r>
    </w:p>
    <w:p>
      <w:pPr>
        <w:pStyle w:val="4"/>
        <w:rPr>
          <w:rStyle w:val="31"/>
          <w:rFonts w:hint="eastAsia" w:ascii="黑体" w:hAnsi="黑体" w:eastAsia="黑体"/>
          <w:color w:val="000000" w:themeColor="text1"/>
          <w:sz w:val="32"/>
          <w:szCs w:val="32"/>
          <w14:textFill>
            <w14:solidFill>
              <w14:schemeClr w14:val="tx1"/>
            </w14:solidFill>
          </w14:textFill>
        </w:rPr>
      </w:pPr>
      <w:bookmarkStart w:id="15" w:name="_Toc213606080"/>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1</w:t>
      </w:r>
      <w:r>
        <w:rPr>
          <w:rStyle w:val="31"/>
          <w:rFonts w:ascii="黑体" w:hAnsi="黑体" w:eastAsia="黑体"/>
          <w:color w:val="000000" w:themeColor="text1"/>
          <w:sz w:val="32"/>
          <w:szCs w:val="32"/>
          <w14:textFill>
            <w14:solidFill>
              <w14:schemeClr w14:val="tx1"/>
            </w14:solidFill>
          </w14:textFill>
        </w:rPr>
        <w:t>.2 业务流程</w:t>
      </w:r>
      <w:bookmarkEnd w:id="15"/>
    </w:p>
    <w:p>
      <w:pPr>
        <w:pStyle w:val="43"/>
        <w:numPr>
          <w:ilvl w:val="0"/>
          <w:numId w:val="1"/>
        </w:numPr>
        <w:rPr>
          <w:rFonts w:hint="eastAsia" w:ascii="仿宋" w:hAnsi="仿宋" w:eastAsia="仿宋"/>
          <w:b/>
          <w:bCs/>
          <w:sz w:val="24"/>
        </w:rPr>
      </w:pPr>
      <w:r>
        <w:rPr>
          <w:rFonts w:hint="eastAsia" w:ascii="仿宋" w:hAnsi="仿宋" w:eastAsia="仿宋"/>
          <w:b/>
          <w:bCs/>
          <w:sz w:val="24"/>
        </w:rPr>
        <w:t>数据接收流程</w:t>
      </w:r>
    </w:p>
    <w:p>
      <w:pPr>
        <w:ind w:firstLine="607" w:firstLineChars="253"/>
        <w:rPr>
          <w:rFonts w:hint="eastAsia" w:ascii="仿宋" w:hAnsi="仿宋" w:eastAsia="仿宋"/>
          <w:sz w:val="24"/>
        </w:rPr>
      </w:pPr>
      <w:r>
        <w:rPr>
          <w:rFonts w:hint="eastAsia" w:ascii="仿宋" w:hAnsi="仿宋" w:eastAsia="仿宋"/>
          <w:sz w:val="24"/>
        </w:rPr>
        <w:t>对于收入报表、库存报表、电子税票、入库流水类业务，人民银行会在每天早晨8点前发送上一日数据报文。财政端同步完成接收、存储。</w:t>
      </w:r>
    </w:p>
    <w:p>
      <w:pPr>
        <w:pStyle w:val="43"/>
        <w:numPr>
          <w:ilvl w:val="0"/>
          <w:numId w:val="1"/>
        </w:numPr>
        <w:rPr>
          <w:rFonts w:hint="eastAsia" w:ascii="仿宋" w:hAnsi="仿宋" w:eastAsia="仿宋"/>
          <w:b/>
          <w:bCs/>
          <w:sz w:val="24"/>
        </w:rPr>
      </w:pPr>
      <w:r>
        <w:rPr>
          <w:rFonts w:hint="eastAsia" w:ascii="仿宋" w:hAnsi="仿宋" w:eastAsia="仿宋"/>
          <w:b/>
          <w:bCs/>
          <w:sz w:val="24"/>
        </w:rPr>
        <w:t>数据发送流程</w:t>
      </w:r>
    </w:p>
    <w:p>
      <w:pPr>
        <w:ind w:firstLine="607" w:firstLineChars="253"/>
        <w:rPr>
          <w:rFonts w:hint="eastAsia" w:ascii="仿宋" w:hAnsi="仿宋" w:eastAsia="仿宋"/>
          <w:sz w:val="24"/>
        </w:rPr>
      </w:pPr>
      <w:r>
        <w:rPr>
          <w:rFonts w:hint="eastAsia" w:ascii="仿宋" w:hAnsi="仿宋" w:eastAsia="仿宋"/>
          <w:sz w:val="24"/>
        </w:rPr>
        <w:t>对于非税收入电子缴库等发送类业务，实时向人行、商业银行发送。非税收入电子缴库业务流程如下图：</w:t>
      </w:r>
    </w:p>
    <w:p>
      <w:pPr>
        <w:ind w:firstLine="556" w:firstLineChars="253"/>
        <w:rPr>
          <w:rFonts w:hint="eastAsia" w:ascii="仿宋" w:hAnsi="仿宋" w:eastAsia="仿宋"/>
          <w:sz w:val="24"/>
        </w:rPr>
      </w:pPr>
      <w:bookmarkStart w:id="16" w:name="_Hlk69480669"/>
      <w:r>
        <w:rPr>
          <w:color w:val="000000" w:themeColor="text1"/>
          <w14:textFill>
            <w14:solidFill>
              <w14:schemeClr w14:val="tx1"/>
            </w14:solidFill>
          </w14:textFill>
        </w:rPr>
        <w:object>
          <v:shape id="_x0000_i1025" o:spt="75" type="#_x0000_t75" style="height:325.45pt;width:364.15pt;" o:ole="t" filled="f" o:preferrelative="t" stroked="f" coordsize="21600,21600">
            <v:path/>
            <v:fill on="f" focussize="0,0"/>
            <v:stroke on="f"/>
            <v:imagedata r:id="rId6" o:title=""/>
            <o:lock v:ext="edit" aspectratio="t"/>
            <w10:wrap type="none"/>
            <w10:anchorlock/>
          </v:shape>
          <o:OLEObject Type="Embed" ProgID="Visio.Drawing.11" ShapeID="_x0000_i1025" DrawAspect="Content" ObjectID="_1468075725">
            <o:LockedField>false</o:LockedField>
          </o:OLEObject>
        </w:object>
      </w:r>
      <w:bookmarkEnd w:id="16"/>
    </w:p>
    <w:p>
      <w:pPr>
        <w:pStyle w:val="4"/>
        <w:rPr>
          <w:rStyle w:val="31"/>
          <w:rFonts w:hint="eastAsia" w:ascii="黑体" w:hAnsi="黑体" w:eastAsia="黑体"/>
          <w:color w:val="000000" w:themeColor="text1"/>
          <w:sz w:val="32"/>
          <w:szCs w:val="32"/>
          <w14:textFill>
            <w14:solidFill>
              <w14:schemeClr w14:val="tx1"/>
            </w14:solidFill>
          </w14:textFill>
        </w:rPr>
      </w:pPr>
      <w:bookmarkStart w:id="17" w:name="_Toc213606081"/>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1</w:t>
      </w:r>
      <w:r>
        <w:rPr>
          <w:rStyle w:val="31"/>
          <w:rFonts w:ascii="黑体" w:hAnsi="黑体" w:eastAsia="黑体"/>
          <w:color w:val="000000" w:themeColor="text1"/>
          <w:sz w:val="32"/>
          <w:szCs w:val="32"/>
          <w14:textFill>
            <w14:solidFill>
              <w14:schemeClr w14:val="tx1"/>
            </w14:solidFill>
          </w14:textFill>
        </w:rPr>
        <w:t>.3 业务量分析</w:t>
      </w:r>
      <w:bookmarkEnd w:id="17"/>
      <w:r>
        <w:rPr>
          <w:rStyle w:val="31"/>
          <w:rFonts w:ascii="黑体" w:hAnsi="黑体" w:eastAsia="黑体"/>
          <w:color w:val="000000" w:themeColor="text1"/>
          <w:sz w:val="32"/>
          <w:szCs w:val="32"/>
          <w14:textFill>
            <w14:solidFill>
              <w14:schemeClr w14:val="tx1"/>
            </w14:solidFill>
          </w14:textFill>
        </w:rPr>
        <w:t xml:space="preserve"> </w:t>
      </w:r>
    </w:p>
    <w:p>
      <w:pPr>
        <w:ind w:firstLine="607" w:firstLineChars="253"/>
        <w:rPr>
          <w:rFonts w:hint="eastAsia" w:ascii="仿宋" w:hAnsi="仿宋" w:eastAsia="仿宋"/>
          <w:sz w:val="24"/>
        </w:rPr>
      </w:pPr>
      <w:r>
        <w:rPr>
          <w:rFonts w:hint="eastAsia" w:ascii="仿宋" w:hAnsi="仿宋" w:eastAsia="仿宋"/>
          <w:sz w:val="24"/>
        </w:rPr>
        <w:t>1、长远规划、适度超前</w:t>
      </w:r>
    </w:p>
    <w:p>
      <w:pPr>
        <w:ind w:firstLine="607" w:firstLineChars="253"/>
        <w:rPr>
          <w:rFonts w:hint="eastAsia" w:ascii="仿宋" w:hAnsi="仿宋" w:eastAsia="仿宋"/>
          <w:sz w:val="24"/>
        </w:rPr>
      </w:pPr>
      <w:r>
        <w:rPr>
          <w:rFonts w:hint="eastAsia" w:ascii="仿宋" w:hAnsi="仿宋" w:eastAsia="仿宋"/>
          <w:sz w:val="24"/>
        </w:rPr>
        <w:t>系统充分考虑将来的发展空间，设计一个起点较高的预算收入综合查询系统接入TIPS的架构，满足武汉市财政局本级的预算收入综合查询系统、非税收入TIPS汇缴入库的处理，同时支持市区预算收入综合查询系统、非税收入的汇总入库，市局可以查询、监控全市各级财政机关通过TIPS的预算收入综合查询系统业务、汇缴入库业务。系统同时预留同其他相关系统的数据交换、数据共享的接口。</w:t>
      </w:r>
    </w:p>
    <w:p>
      <w:pPr>
        <w:ind w:firstLine="607" w:firstLineChars="253"/>
        <w:rPr>
          <w:rFonts w:hint="eastAsia" w:ascii="仿宋" w:hAnsi="仿宋" w:eastAsia="仿宋"/>
          <w:sz w:val="24"/>
        </w:rPr>
      </w:pPr>
      <w:r>
        <w:rPr>
          <w:rFonts w:hint="eastAsia" w:ascii="仿宋" w:hAnsi="仿宋" w:eastAsia="仿宋"/>
          <w:sz w:val="24"/>
        </w:rPr>
        <w:t>2、安全性高、统一认证</w:t>
      </w:r>
    </w:p>
    <w:p>
      <w:pPr>
        <w:ind w:firstLine="607" w:firstLineChars="253"/>
        <w:rPr>
          <w:rFonts w:hint="eastAsia" w:ascii="仿宋" w:hAnsi="仿宋" w:eastAsia="仿宋"/>
          <w:sz w:val="24"/>
        </w:rPr>
      </w:pPr>
      <w:r>
        <w:rPr>
          <w:rFonts w:hint="eastAsia" w:ascii="仿宋" w:hAnsi="仿宋" w:eastAsia="仿宋"/>
          <w:sz w:val="24"/>
        </w:rPr>
        <w:t>在预算收入综合查询系统接入TIPS的整个流程中，需要保证以下几个方面的安全需求：</w:t>
      </w:r>
    </w:p>
    <w:p>
      <w:pPr>
        <w:ind w:firstLine="607" w:firstLineChars="253"/>
        <w:rPr>
          <w:rFonts w:hint="eastAsia" w:ascii="仿宋" w:hAnsi="仿宋" w:eastAsia="仿宋"/>
          <w:sz w:val="24"/>
        </w:rPr>
      </w:pPr>
      <w:r>
        <w:rPr>
          <w:rFonts w:hint="eastAsia" w:ascii="仿宋" w:hAnsi="仿宋" w:eastAsia="仿宋"/>
          <w:sz w:val="24"/>
        </w:rPr>
        <w:t>（1）整个系统完全基于国产环境的重构。</w:t>
      </w:r>
    </w:p>
    <w:p>
      <w:pPr>
        <w:ind w:firstLine="607" w:firstLineChars="253"/>
        <w:rPr>
          <w:rFonts w:hint="eastAsia" w:ascii="仿宋" w:hAnsi="仿宋" w:eastAsia="仿宋"/>
          <w:sz w:val="24"/>
        </w:rPr>
      </w:pPr>
      <w:r>
        <w:rPr>
          <w:rFonts w:hint="eastAsia" w:ascii="仿宋" w:hAnsi="仿宋" w:eastAsia="仿宋"/>
          <w:sz w:val="24"/>
        </w:rPr>
        <w:t>（1）所有信息在传输过程中，保证数据的完整性，不可否认性。具有防篡改、抗抵赖的功能，符合《中华人民共和国电子签名法》的法律要求；</w:t>
      </w:r>
    </w:p>
    <w:p>
      <w:pPr>
        <w:ind w:firstLine="607" w:firstLineChars="253"/>
        <w:rPr>
          <w:rFonts w:hint="eastAsia" w:ascii="仿宋" w:hAnsi="仿宋" w:eastAsia="仿宋"/>
          <w:sz w:val="24"/>
        </w:rPr>
      </w:pPr>
      <w:r>
        <w:rPr>
          <w:rFonts w:hint="eastAsia" w:ascii="仿宋" w:hAnsi="仿宋" w:eastAsia="仿宋"/>
          <w:sz w:val="24"/>
        </w:rPr>
        <w:t>（2）数据交换必须满足各子系统之间的数据安全性要求；</w:t>
      </w:r>
    </w:p>
    <w:p>
      <w:pPr>
        <w:ind w:firstLine="607" w:firstLineChars="253"/>
        <w:rPr>
          <w:rFonts w:hint="eastAsia" w:ascii="仿宋" w:hAnsi="仿宋" w:eastAsia="仿宋"/>
          <w:sz w:val="24"/>
        </w:rPr>
      </w:pPr>
      <w:r>
        <w:rPr>
          <w:rFonts w:hint="eastAsia" w:ascii="仿宋" w:hAnsi="仿宋" w:eastAsia="仿宋"/>
          <w:sz w:val="24"/>
        </w:rPr>
        <w:t>（3）业务经办的每一环节必须经过统一的身份认证和授权方可操作；</w:t>
      </w:r>
    </w:p>
    <w:p>
      <w:pPr>
        <w:ind w:firstLine="607" w:firstLineChars="253"/>
        <w:rPr>
          <w:rFonts w:hint="eastAsia" w:ascii="仿宋" w:hAnsi="仿宋" w:eastAsia="仿宋"/>
          <w:sz w:val="24"/>
        </w:rPr>
      </w:pPr>
      <w:r>
        <w:rPr>
          <w:rFonts w:hint="eastAsia" w:ascii="仿宋" w:hAnsi="仿宋" w:eastAsia="仿宋"/>
          <w:sz w:val="24"/>
        </w:rPr>
        <w:t>（4）业务流程中提供各类操作痕迹的审计追踪功能，确保每个关键的操作行为都能记录在案，精确到操作人员。为操作日志提供完备的审计功能。</w:t>
      </w:r>
    </w:p>
    <w:p>
      <w:pPr>
        <w:ind w:firstLine="607" w:firstLineChars="253"/>
        <w:rPr>
          <w:rFonts w:hint="eastAsia" w:ascii="仿宋" w:hAnsi="仿宋" w:eastAsia="仿宋"/>
          <w:sz w:val="24"/>
        </w:rPr>
      </w:pPr>
      <w:r>
        <w:rPr>
          <w:rFonts w:hint="eastAsia" w:ascii="仿宋" w:hAnsi="仿宋" w:eastAsia="仿宋"/>
          <w:sz w:val="24"/>
        </w:rPr>
        <w:t>3、高数据交换能力、数据兼容性强</w:t>
      </w:r>
    </w:p>
    <w:p>
      <w:pPr>
        <w:ind w:firstLine="607" w:firstLineChars="253"/>
        <w:rPr>
          <w:rFonts w:hint="eastAsia" w:ascii="仿宋" w:hAnsi="仿宋" w:eastAsia="仿宋"/>
          <w:sz w:val="24"/>
        </w:rPr>
      </w:pPr>
      <w:r>
        <w:rPr>
          <w:rFonts w:hint="eastAsia" w:ascii="仿宋" w:hAnsi="仿宋" w:eastAsia="仿宋"/>
          <w:sz w:val="24"/>
        </w:rPr>
        <w:t>预算收入综合查询系统接入TIPS涉及到多级财政、国库、银行，系统间数据交换的内容、使用的平台，也是复杂多样的。因此建立高数据交换能力、数据兼容性强的数据交换平台，是支撑系统正常运行的关键。</w:t>
      </w:r>
    </w:p>
    <w:p>
      <w:pPr>
        <w:ind w:firstLine="607" w:firstLineChars="253"/>
        <w:rPr>
          <w:rFonts w:hint="eastAsia" w:ascii="仿宋" w:hAnsi="仿宋" w:eastAsia="仿宋"/>
          <w:sz w:val="24"/>
        </w:rPr>
      </w:pPr>
      <w:r>
        <w:rPr>
          <w:rFonts w:hint="eastAsia" w:ascii="仿宋" w:hAnsi="仿宋" w:eastAsia="仿宋"/>
          <w:sz w:val="24"/>
        </w:rPr>
        <w:t>4、信息整合与共享</w:t>
      </w:r>
    </w:p>
    <w:p>
      <w:pPr>
        <w:ind w:firstLine="607" w:firstLineChars="253"/>
        <w:rPr>
          <w:rFonts w:hint="eastAsia" w:ascii="仿宋" w:hAnsi="仿宋" w:eastAsia="仿宋"/>
          <w:sz w:val="24"/>
        </w:rPr>
      </w:pPr>
      <w:r>
        <w:rPr>
          <w:rFonts w:hint="eastAsia" w:ascii="仿宋" w:hAnsi="仿宋" w:eastAsia="仿宋"/>
          <w:sz w:val="24"/>
        </w:rPr>
        <w:t>本系统的</w:t>
      </w:r>
      <w:r>
        <w:rPr>
          <w:rFonts w:hint="eastAsia" w:ascii="仿宋" w:hAnsi="仿宋" w:eastAsia="仿宋"/>
          <w:sz w:val="24"/>
          <w:lang w:eastAsia="zh-CN"/>
        </w:rPr>
        <w:t>运维升级</w:t>
      </w:r>
      <w:r>
        <w:rPr>
          <w:rFonts w:hint="eastAsia" w:ascii="仿宋" w:hAnsi="仿宋" w:eastAsia="仿宋"/>
          <w:sz w:val="24"/>
        </w:rPr>
        <w:t>将彻底实现财政机关、商业银行、人行国库在数据共享、非税收入汇缴入库方面的真正的信息融合实现非税汇缴的全程电子化。</w:t>
      </w:r>
    </w:p>
    <w:p>
      <w:pPr>
        <w:ind w:firstLine="607" w:firstLineChars="253"/>
        <w:rPr>
          <w:rFonts w:hint="eastAsia" w:ascii="仿宋" w:hAnsi="仿宋" w:eastAsia="仿宋"/>
          <w:sz w:val="24"/>
        </w:rPr>
      </w:pPr>
      <w:r>
        <w:rPr>
          <w:rFonts w:hint="eastAsia" w:ascii="仿宋" w:hAnsi="仿宋" w:eastAsia="仿宋"/>
          <w:sz w:val="24"/>
        </w:rPr>
        <w:t>在本系统中主要体现在整合相关资源，实现预算收入综合查询系统、非税管理和收缴平台电子化缴库子系统与TIPS系统的集成。通过预算收入综合查询系统、非税征管系统接入TIPS的</w:t>
      </w:r>
      <w:r>
        <w:rPr>
          <w:rFonts w:hint="eastAsia" w:ascii="仿宋" w:hAnsi="仿宋" w:eastAsia="仿宋"/>
          <w:sz w:val="24"/>
          <w:lang w:eastAsia="zh-CN"/>
        </w:rPr>
        <w:t>运维升级</w:t>
      </w:r>
      <w:r>
        <w:rPr>
          <w:rFonts w:hint="eastAsia" w:ascii="仿宋" w:hAnsi="仿宋" w:eastAsia="仿宋"/>
          <w:sz w:val="24"/>
        </w:rPr>
        <w:t>，将极大地提供财政与人民银行的管理和服务水平，降低各方的劳动量，具有极大的经济效益和社会效益。</w:t>
      </w:r>
    </w:p>
    <w:p>
      <w:pPr>
        <w:ind w:firstLine="607" w:firstLineChars="253"/>
        <w:rPr>
          <w:rFonts w:hint="eastAsia" w:ascii="仿宋" w:hAnsi="仿宋" w:eastAsia="仿宋"/>
          <w:sz w:val="24"/>
        </w:rPr>
      </w:pPr>
      <w:r>
        <w:rPr>
          <w:rFonts w:hint="eastAsia" w:ascii="仿宋" w:hAnsi="仿宋" w:eastAsia="仿宋"/>
          <w:sz w:val="24"/>
        </w:rPr>
        <w:t>5、流程定义简单、财政自主控制</w:t>
      </w:r>
    </w:p>
    <w:p>
      <w:pPr>
        <w:ind w:firstLine="607" w:firstLineChars="253"/>
        <w:rPr>
          <w:rFonts w:hint="eastAsia" w:ascii="仿宋" w:hAnsi="仿宋" w:eastAsia="仿宋"/>
          <w:sz w:val="24"/>
        </w:rPr>
      </w:pPr>
      <w:r>
        <w:rPr>
          <w:rFonts w:hint="eastAsia" w:ascii="仿宋" w:hAnsi="仿宋" w:eastAsia="仿宋"/>
          <w:sz w:val="24"/>
        </w:rPr>
        <w:t>系统通过数据交换和业务流程的简单定义，实现预算收入综合查询系统、非税收入TIPS汇缴入库功能。</w:t>
      </w:r>
    </w:p>
    <w:p>
      <w:pPr>
        <w:ind w:firstLine="607" w:firstLineChars="253"/>
        <w:rPr>
          <w:rFonts w:hint="eastAsia" w:ascii="仿宋" w:hAnsi="仿宋" w:eastAsia="仿宋"/>
          <w:sz w:val="24"/>
        </w:rPr>
      </w:pPr>
      <w:r>
        <w:rPr>
          <w:rFonts w:hint="eastAsia" w:ascii="仿宋" w:hAnsi="仿宋" w:eastAsia="仿宋"/>
          <w:sz w:val="24"/>
        </w:rPr>
        <w:t>系统流程的简单定义表现为系统流程为业务流程的抽象，因此，熟悉非税汇总缴库业务的人员经过简单培训即可掌握系统操作，为系统的顺利应用奠定坚实基础。</w:t>
      </w:r>
    </w:p>
    <w:p>
      <w:pPr>
        <w:ind w:firstLine="607" w:firstLineChars="253"/>
        <w:rPr>
          <w:rFonts w:hint="eastAsia" w:ascii="仿宋" w:hAnsi="仿宋" w:eastAsia="仿宋"/>
          <w:sz w:val="24"/>
        </w:rPr>
      </w:pPr>
      <w:r>
        <w:rPr>
          <w:rFonts w:hint="eastAsia" w:ascii="仿宋" w:hAnsi="仿宋" w:eastAsia="仿宋"/>
          <w:sz w:val="24"/>
        </w:rPr>
        <w:t>财政自主控制的含义是财政机关根据业务管理需要完全自主决定预算收入综合查询系统、汇缴入库的账户、科目、金额。财政非税收入系统接入TIPS后，财政机关、代理银行、人行国库实现了真正的计算机联网，通过信息共享、流程优化整合，财政可以实时监控任何一笔非税收入汇总缴库票据的状态、入库状态、对账状态以及状态变更的发生时间。财政机关根据这些状态完成一系列的实时查询、统计和资金监控。</w:t>
      </w:r>
    </w:p>
    <w:p>
      <w:pPr>
        <w:ind w:firstLine="607" w:firstLineChars="253"/>
        <w:rPr>
          <w:rFonts w:hint="eastAsia" w:ascii="仿宋" w:hAnsi="仿宋" w:eastAsia="仿宋"/>
          <w:sz w:val="24"/>
        </w:rPr>
      </w:pPr>
      <w:r>
        <w:rPr>
          <w:rFonts w:hint="eastAsia" w:ascii="仿宋" w:hAnsi="仿宋" w:eastAsia="仿宋"/>
          <w:sz w:val="24"/>
        </w:rPr>
        <w:t>由财政自主决定非税收入汇缴结算户资金汇缴入库时间和金额。入库资金在T+0或T+1日由商业银行缴入人行国库，入库流水在T+1或T+2日由TIPS返回给财政机关。</w:t>
      </w:r>
    </w:p>
    <w:p>
      <w:pPr>
        <w:ind w:firstLine="607" w:firstLineChars="253"/>
        <w:rPr>
          <w:rFonts w:hint="eastAsia" w:ascii="仿宋" w:hAnsi="仿宋" w:eastAsia="仿宋"/>
          <w:sz w:val="24"/>
        </w:rPr>
      </w:pPr>
      <w:r>
        <w:rPr>
          <w:rFonts w:hint="eastAsia" w:ascii="仿宋" w:hAnsi="仿宋" w:eastAsia="仿宋"/>
          <w:sz w:val="24"/>
        </w:rPr>
        <w:t>6、实用性强、先进性高</w:t>
      </w:r>
    </w:p>
    <w:p>
      <w:pPr>
        <w:ind w:firstLine="607" w:firstLineChars="253"/>
        <w:rPr>
          <w:rFonts w:hint="eastAsia" w:ascii="仿宋" w:hAnsi="仿宋" w:eastAsia="仿宋"/>
          <w:sz w:val="24"/>
        </w:rPr>
      </w:pPr>
      <w:r>
        <w:rPr>
          <w:rFonts w:hint="eastAsia" w:ascii="仿宋" w:hAnsi="仿宋" w:eastAsia="仿宋"/>
          <w:sz w:val="24"/>
        </w:rPr>
        <w:t>融合最新的Browser/Server、C/S/S技术，具备B/S、C/S的所有优点，避免B/S、C/S的所有缺点，使系统体现最强的灵活性、实用性和先进性。支持数据的存储、处理和传输，支持主流的体系结构、协议、硬件平台。用户端采用通用友好的用户界面。支持海量存储，满足系统在用户数量与信息量不断增加时的需要。</w:t>
      </w:r>
    </w:p>
    <w:p>
      <w:pPr>
        <w:ind w:firstLine="607" w:firstLineChars="253"/>
        <w:rPr>
          <w:rFonts w:hint="eastAsia" w:ascii="仿宋" w:hAnsi="仿宋" w:eastAsia="仿宋"/>
          <w:sz w:val="24"/>
        </w:rPr>
      </w:pPr>
      <w:r>
        <w:rPr>
          <w:rFonts w:hint="eastAsia" w:ascii="仿宋" w:hAnsi="仿宋" w:eastAsia="仿宋"/>
          <w:sz w:val="24"/>
        </w:rPr>
        <w:t>7、开放性强、兼容多种国产环境</w:t>
      </w:r>
    </w:p>
    <w:p>
      <w:pPr>
        <w:ind w:firstLine="607" w:firstLineChars="253"/>
        <w:rPr>
          <w:rFonts w:hint="eastAsia" w:ascii="仿宋" w:hAnsi="仿宋" w:eastAsia="仿宋"/>
          <w:sz w:val="24"/>
        </w:rPr>
      </w:pPr>
      <w:r>
        <w:rPr>
          <w:rFonts w:hint="eastAsia" w:ascii="仿宋" w:hAnsi="仿宋" w:eastAsia="仿宋"/>
          <w:sz w:val="24"/>
        </w:rPr>
        <w:t>支持各种物理网络体系结构以及上层的TCP/IP网络和SSL/VPN安全通讯协议。支持Internet/Intranet技术。服务器使用国产硬件、国产操作系统、O国产数据库、国产中间件。</w:t>
      </w:r>
    </w:p>
    <w:p>
      <w:pPr>
        <w:ind w:firstLine="607" w:firstLineChars="253"/>
        <w:rPr>
          <w:rFonts w:hint="eastAsia" w:ascii="仿宋" w:hAnsi="仿宋" w:eastAsia="仿宋"/>
          <w:sz w:val="24"/>
        </w:rPr>
      </w:pPr>
      <w:r>
        <w:rPr>
          <w:rFonts w:hint="eastAsia" w:ascii="仿宋" w:hAnsi="仿宋" w:eastAsia="仿宋"/>
          <w:sz w:val="24"/>
        </w:rPr>
        <w:t>8、系统响应性能高</w:t>
      </w:r>
    </w:p>
    <w:p>
      <w:pPr>
        <w:ind w:firstLine="607" w:firstLineChars="253"/>
        <w:rPr>
          <w:rFonts w:hint="eastAsia" w:ascii="仿宋" w:hAnsi="仿宋" w:eastAsia="仿宋"/>
          <w:sz w:val="24"/>
        </w:rPr>
      </w:pPr>
      <w:r>
        <w:rPr>
          <w:rFonts w:hint="eastAsia" w:ascii="仿宋" w:hAnsi="仿宋" w:eastAsia="仿宋"/>
          <w:sz w:val="24"/>
        </w:rPr>
        <w:t>从支撑平台配置、软件体系结构等方面，能保证大用户量访问时系统的响应速度不受明显影响；通过负载均衡等技术，确保系统的高响应性能。</w:t>
      </w:r>
    </w:p>
    <w:p>
      <w:pPr>
        <w:pStyle w:val="4"/>
        <w:rPr>
          <w:rStyle w:val="31"/>
          <w:rFonts w:hint="eastAsia" w:ascii="黑体" w:hAnsi="黑体" w:eastAsia="黑体"/>
          <w:color w:val="000000" w:themeColor="text1"/>
          <w:sz w:val="32"/>
          <w:szCs w:val="32"/>
          <w14:textFill>
            <w14:solidFill>
              <w14:schemeClr w14:val="tx1"/>
            </w14:solidFill>
          </w14:textFill>
        </w:rPr>
      </w:pPr>
      <w:bookmarkStart w:id="18" w:name="_Toc213606082"/>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 xml:space="preserve"> 数据量分析与预测</w:t>
      </w:r>
      <w:bookmarkEnd w:id="18"/>
      <w:r>
        <w:rPr>
          <w:rStyle w:val="31"/>
          <w:rFonts w:ascii="黑体" w:hAnsi="黑体" w:eastAsia="黑体"/>
          <w:color w:val="000000" w:themeColor="text1"/>
          <w:sz w:val="32"/>
          <w:szCs w:val="32"/>
          <w14:textFill>
            <w14:solidFill>
              <w14:schemeClr w14:val="tx1"/>
            </w14:solidFill>
          </w14:textFill>
        </w:rPr>
        <w:t xml:space="preserve"> </w:t>
      </w:r>
    </w:p>
    <w:p>
      <w:pPr>
        <w:pStyle w:val="4"/>
        <w:rPr>
          <w:rStyle w:val="31"/>
          <w:rFonts w:hint="eastAsia" w:ascii="黑体" w:hAnsi="黑体" w:eastAsia="黑体"/>
          <w:color w:val="000000" w:themeColor="text1"/>
          <w:sz w:val="32"/>
          <w:szCs w:val="32"/>
          <w14:textFill>
            <w14:solidFill>
              <w14:schemeClr w14:val="tx1"/>
            </w14:solidFill>
          </w14:textFill>
        </w:rPr>
      </w:pPr>
      <w:bookmarkStart w:id="19" w:name="_Toc213606083"/>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.1 市级数据量分析与预测</w:t>
      </w:r>
      <w:bookmarkEnd w:id="19"/>
      <w:r>
        <w:rPr>
          <w:rStyle w:val="31"/>
          <w:rFonts w:ascii="黑体" w:hAnsi="黑体" w:eastAsia="黑体"/>
          <w:color w:val="000000" w:themeColor="text1"/>
          <w:sz w:val="32"/>
          <w:szCs w:val="32"/>
          <w14:textFill>
            <w14:solidFill>
              <w14:schemeClr w14:val="tx1"/>
            </w14:solidFill>
          </w14:textFill>
        </w:rPr>
        <w:t xml:space="preserve"> </w:t>
      </w:r>
    </w:p>
    <w:p>
      <w:pPr>
        <w:ind w:firstLine="607" w:firstLineChars="253"/>
        <w:rPr>
          <w:rFonts w:hint="eastAsia" w:ascii="仿宋" w:hAnsi="仿宋" w:eastAsia="仿宋"/>
          <w:sz w:val="24"/>
        </w:rPr>
      </w:pPr>
      <w:r>
        <w:rPr>
          <w:rFonts w:hint="eastAsia" w:ascii="仿宋" w:hAnsi="仿宋" w:eastAsia="仿宋"/>
          <w:sz w:val="24"/>
        </w:rPr>
        <w:t>本次项目</w:t>
      </w:r>
      <w:r>
        <w:rPr>
          <w:rFonts w:hint="eastAsia" w:ascii="仿宋" w:hAnsi="仿宋" w:eastAsia="仿宋"/>
          <w:sz w:val="24"/>
          <w:lang w:eastAsia="zh-CN"/>
        </w:rPr>
        <w:t>运维升级</w:t>
      </w:r>
      <w:r>
        <w:rPr>
          <w:rFonts w:hint="eastAsia" w:ascii="仿宋" w:hAnsi="仿宋" w:eastAsia="仿宋"/>
          <w:sz w:val="24"/>
        </w:rPr>
        <w:t>系统的用户使用范围涉及市与区市财政部门。</w:t>
      </w:r>
    </w:p>
    <w:p>
      <w:pPr>
        <w:ind w:firstLine="607" w:firstLineChars="253"/>
        <w:rPr>
          <w:rFonts w:hint="eastAsia" w:ascii="仿宋" w:hAnsi="仿宋" w:eastAsia="仿宋"/>
          <w:sz w:val="24"/>
        </w:rPr>
      </w:pPr>
      <w:r>
        <w:rPr>
          <w:rFonts w:hint="eastAsia" w:ascii="仿宋" w:hAnsi="仿宋" w:eastAsia="仿宋"/>
          <w:sz w:val="24"/>
        </w:rPr>
        <w:t>1、存量数据信息量：</w:t>
      </w:r>
    </w:p>
    <w:p>
      <w:pPr>
        <w:ind w:firstLine="607" w:firstLineChars="253"/>
        <w:rPr>
          <w:rFonts w:hint="eastAsia" w:ascii="仿宋" w:hAnsi="仿宋" w:eastAsia="仿宋"/>
          <w:sz w:val="24"/>
        </w:rPr>
      </w:pPr>
      <w:r>
        <w:rPr>
          <w:rFonts w:hint="eastAsia" w:ascii="仿宋" w:hAnsi="仿宋" w:eastAsia="仿宋"/>
          <w:sz w:val="24"/>
        </w:rPr>
        <w:t>当前历史存量数据约2T，包含自2021年以来的历史数据。</w:t>
      </w:r>
    </w:p>
    <w:p>
      <w:pPr>
        <w:ind w:firstLine="607" w:firstLineChars="253"/>
        <w:rPr>
          <w:rFonts w:hint="eastAsia" w:ascii="仿宋" w:hAnsi="仿宋" w:eastAsia="仿宋"/>
          <w:sz w:val="24"/>
        </w:rPr>
      </w:pPr>
      <w:r>
        <w:rPr>
          <w:rFonts w:hint="eastAsia" w:ascii="仿宋" w:hAnsi="仿宋" w:eastAsia="仿宋"/>
          <w:sz w:val="24"/>
        </w:rPr>
        <w:t>2、每年新增信息量：</w:t>
      </w:r>
    </w:p>
    <w:p>
      <w:pPr>
        <w:ind w:firstLine="607" w:firstLineChars="253"/>
        <w:rPr>
          <w:rFonts w:hint="eastAsia" w:ascii="仿宋" w:hAnsi="仿宋" w:eastAsia="仿宋"/>
          <w:sz w:val="24"/>
        </w:rPr>
      </w:pPr>
      <w:r>
        <w:rPr>
          <w:rFonts w:hint="eastAsia" w:ascii="仿宋" w:hAnsi="仿宋" w:eastAsia="仿宋"/>
          <w:sz w:val="24"/>
        </w:rPr>
        <w:t>根据对历史年度的存量数据分析，系统每年新增数据量约500G。</w:t>
      </w:r>
    </w:p>
    <w:p>
      <w:pPr>
        <w:pStyle w:val="4"/>
        <w:rPr>
          <w:rStyle w:val="31"/>
          <w:rFonts w:hint="eastAsia" w:ascii="黑体" w:hAnsi="黑体" w:eastAsia="黑体"/>
          <w:color w:val="000000" w:themeColor="text1"/>
          <w:sz w:val="32"/>
          <w:szCs w:val="32"/>
          <w14:textFill>
            <w14:solidFill>
              <w14:schemeClr w14:val="tx1"/>
            </w14:solidFill>
          </w14:textFill>
        </w:rPr>
      </w:pPr>
      <w:bookmarkStart w:id="20" w:name="_Toc213606084"/>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.2 区（市）级数据量分析与预测</w:t>
      </w:r>
      <w:bookmarkEnd w:id="20"/>
    </w:p>
    <w:p>
      <w:pPr>
        <w:ind w:firstLine="607" w:firstLineChars="253"/>
        <w:rPr>
          <w:rFonts w:hint="eastAsia" w:ascii="仿宋" w:hAnsi="仿宋" w:eastAsia="仿宋"/>
          <w:sz w:val="24"/>
        </w:rPr>
      </w:pPr>
      <w:r>
        <w:rPr>
          <w:rFonts w:hint="eastAsia" w:ascii="仿宋" w:hAnsi="仿宋" w:eastAsia="仿宋"/>
          <w:sz w:val="24"/>
        </w:rPr>
        <w:t>每区市每年新增数据量约50G。</w:t>
      </w:r>
    </w:p>
    <w:p>
      <w:pPr>
        <w:pStyle w:val="4"/>
        <w:rPr>
          <w:rStyle w:val="31"/>
          <w:rFonts w:hint="eastAsia" w:ascii="黑体" w:hAnsi="黑体" w:eastAsia="黑体"/>
          <w:color w:val="000000" w:themeColor="text1"/>
          <w:sz w:val="32"/>
          <w:szCs w:val="32"/>
          <w14:textFill>
            <w14:solidFill>
              <w14:schemeClr w14:val="tx1"/>
            </w14:solidFill>
          </w14:textFill>
        </w:rPr>
      </w:pPr>
      <w:bookmarkStart w:id="21" w:name="_Toc213606087"/>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3</w:t>
      </w:r>
      <w:r>
        <w:rPr>
          <w:rStyle w:val="31"/>
          <w:rFonts w:ascii="黑体" w:hAnsi="黑体" w:eastAsia="黑体"/>
          <w:color w:val="000000" w:themeColor="text1"/>
          <w:sz w:val="32"/>
          <w:szCs w:val="32"/>
          <w14:textFill>
            <w14:solidFill>
              <w14:schemeClr w14:val="tx1"/>
            </w14:solidFill>
          </w14:textFill>
        </w:rPr>
        <w:t>.2 系统非功能需求分析</w:t>
      </w:r>
      <w:bookmarkEnd w:id="21"/>
    </w:p>
    <w:p>
      <w:pPr>
        <w:ind w:firstLine="607" w:firstLineChars="253"/>
        <w:rPr>
          <w:rFonts w:hint="eastAsia" w:ascii="仿宋" w:hAnsi="仿宋" w:eastAsia="仿宋"/>
          <w:sz w:val="24"/>
        </w:rPr>
      </w:pPr>
      <w:r>
        <w:rPr>
          <w:rFonts w:ascii="仿宋" w:hAnsi="仿宋" w:eastAsia="仿宋"/>
          <w:sz w:val="24"/>
        </w:rPr>
        <w:t>（1）性能需求</w:t>
      </w:r>
    </w:p>
    <w:p>
      <w:pPr>
        <w:tabs>
          <w:tab w:val="left" w:pos="720"/>
        </w:tabs>
        <w:ind w:firstLine="607" w:firstLineChars="253"/>
        <w:rPr>
          <w:rFonts w:hint="eastAsia" w:ascii="仿宋" w:hAnsi="仿宋" w:eastAsia="仿宋"/>
          <w:sz w:val="24"/>
        </w:rPr>
      </w:pPr>
      <w:r>
        <w:rPr>
          <w:rFonts w:ascii="仿宋" w:hAnsi="仿宋" w:eastAsia="仿宋"/>
          <w:sz w:val="24"/>
        </w:rPr>
        <w:t>响应时间：高峰时段交易响应≤4秒（95%场景）</w:t>
      </w:r>
    </w:p>
    <w:p>
      <w:pPr>
        <w:tabs>
          <w:tab w:val="left" w:pos="720"/>
        </w:tabs>
        <w:ind w:firstLine="607" w:firstLineChars="253"/>
        <w:rPr>
          <w:rFonts w:hint="eastAsia" w:ascii="仿宋" w:hAnsi="仿宋" w:eastAsia="仿宋"/>
          <w:sz w:val="24"/>
        </w:rPr>
      </w:pPr>
      <w:r>
        <w:rPr>
          <w:rFonts w:ascii="仿宋" w:hAnsi="仿宋" w:eastAsia="仿宋"/>
          <w:sz w:val="24"/>
        </w:rPr>
        <w:t>吞吐量：支持50并发交易/秒，日处理量≥</w:t>
      </w:r>
      <w:r>
        <w:rPr>
          <w:rFonts w:hint="eastAsia" w:ascii="仿宋" w:hAnsi="仿宋" w:eastAsia="仿宋"/>
          <w:sz w:val="24"/>
        </w:rPr>
        <w:t>100万笔。</w:t>
      </w:r>
    </w:p>
    <w:p>
      <w:pPr>
        <w:tabs>
          <w:tab w:val="left" w:pos="720"/>
        </w:tabs>
        <w:ind w:firstLine="607" w:firstLineChars="253"/>
        <w:rPr>
          <w:rFonts w:hint="eastAsia" w:ascii="仿宋" w:hAnsi="仿宋" w:eastAsia="仿宋"/>
          <w:sz w:val="24"/>
        </w:rPr>
      </w:pPr>
      <w:r>
        <w:rPr>
          <w:rFonts w:ascii="仿宋" w:hAnsi="仿宋" w:eastAsia="仿宋"/>
          <w:sz w:val="24"/>
        </w:rPr>
        <w:t>资源限制：CPU利用率≤50%，内存占用≤60%</w:t>
      </w:r>
    </w:p>
    <w:p>
      <w:pPr>
        <w:ind w:firstLine="607" w:firstLineChars="253"/>
        <w:rPr>
          <w:rFonts w:hint="eastAsia" w:ascii="仿宋" w:hAnsi="仿宋" w:eastAsia="仿宋"/>
          <w:sz w:val="24"/>
        </w:rPr>
      </w:pPr>
      <w:r>
        <w:rPr>
          <w:rFonts w:ascii="仿宋" w:hAnsi="仿宋" w:eastAsia="仿宋"/>
          <w:sz w:val="24"/>
        </w:rPr>
        <w:t>（2）安全需求</w:t>
      </w:r>
    </w:p>
    <w:p>
      <w:pPr>
        <w:tabs>
          <w:tab w:val="left" w:pos="720"/>
        </w:tabs>
        <w:ind w:firstLine="607" w:firstLineChars="253"/>
        <w:rPr>
          <w:rFonts w:hint="eastAsia" w:ascii="仿宋" w:hAnsi="仿宋" w:eastAsia="仿宋"/>
          <w:sz w:val="24"/>
        </w:rPr>
      </w:pPr>
      <w:r>
        <w:rPr>
          <w:rFonts w:ascii="仿宋" w:hAnsi="仿宋" w:eastAsia="仿宋"/>
          <w:sz w:val="24"/>
        </w:rPr>
        <w:t>数据加密：敏感字段</w:t>
      </w:r>
      <w:r>
        <w:rPr>
          <w:rFonts w:hint="eastAsia" w:ascii="仿宋" w:hAnsi="仿宋" w:eastAsia="仿宋"/>
          <w:sz w:val="24"/>
        </w:rPr>
        <w:t>SM2/SM3</w:t>
      </w:r>
      <w:r>
        <w:rPr>
          <w:rFonts w:ascii="仿宋" w:hAnsi="仿宋" w:eastAsia="仿宋"/>
          <w:sz w:val="24"/>
        </w:rPr>
        <w:t>加密存储</w:t>
      </w:r>
    </w:p>
    <w:p>
      <w:pPr>
        <w:tabs>
          <w:tab w:val="left" w:pos="720"/>
        </w:tabs>
        <w:ind w:firstLine="607" w:firstLineChars="253"/>
        <w:rPr>
          <w:rFonts w:hint="eastAsia" w:ascii="仿宋" w:hAnsi="仿宋" w:eastAsia="仿宋"/>
          <w:sz w:val="24"/>
        </w:rPr>
      </w:pPr>
      <w:r>
        <w:rPr>
          <w:rFonts w:ascii="仿宋" w:hAnsi="仿宋" w:eastAsia="仿宋"/>
          <w:sz w:val="24"/>
        </w:rPr>
        <w:t>攻击防护：99%网络攻击10秒内检测并阻断</w:t>
      </w:r>
    </w:p>
    <w:p>
      <w:pPr>
        <w:tabs>
          <w:tab w:val="left" w:pos="720"/>
        </w:tabs>
        <w:ind w:firstLine="607" w:firstLineChars="253"/>
        <w:rPr>
          <w:rFonts w:hint="eastAsia" w:ascii="仿宋" w:hAnsi="仿宋" w:eastAsia="仿宋"/>
          <w:sz w:val="24"/>
        </w:rPr>
      </w:pPr>
      <w:r>
        <w:rPr>
          <w:rFonts w:ascii="仿宋" w:hAnsi="仿宋" w:eastAsia="仿宋"/>
          <w:sz w:val="24"/>
        </w:rPr>
        <w:t>审计追踪：保留6个月完整操作日志</w:t>
      </w:r>
    </w:p>
    <w:p>
      <w:pPr>
        <w:ind w:firstLine="607" w:firstLineChars="253"/>
        <w:rPr>
          <w:rFonts w:hint="eastAsia" w:ascii="仿宋" w:hAnsi="仿宋" w:eastAsia="仿宋"/>
          <w:sz w:val="24"/>
        </w:rPr>
      </w:pPr>
      <w:r>
        <w:rPr>
          <w:rFonts w:ascii="仿宋" w:hAnsi="仿宋" w:eastAsia="仿宋"/>
          <w:sz w:val="24"/>
        </w:rPr>
        <w:t>（3）可靠性需求</w:t>
      </w:r>
    </w:p>
    <w:p>
      <w:pPr>
        <w:ind w:firstLine="607" w:firstLineChars="253"/>
        <w:rPr>
          <w:rFonts w:hint="eastAsia" w:ascii="仿宋" w:hAnsi="仿宋" w:eastAsia="仿宋"/>
          <w:sz w:val="24"/>
        </w:rPr>
      </w:pPr>
      <w:r>
        <w:rPr>
          <w:rFonts w:ascii="仿宋" w:hAnsi="仿宋" w:eastAsia="仿宋"/>
          <w:sz w:val="24"/>
        </w:rPr>
        <w:t>可用性：全年故障时间&lt;8.76小时（99.9% SLA）</w:t>
      </w:r>
    </w:p>
    <w:p>
      <w:pPr>
        <w:ind w:firstLine="607" w:firstLineChars="253"/>
        <w:rPr>
          <w:rFonts w:hint="eastAsia" w:ascii="仿宋" w:hAnsi="仿宋" w:eastAsia="仿宋"/>
          <w:sz w:val="24"/>
        </w:rPr>
      </w:pPr>
      <w:r>
        <w:rPr>
          <w:rFonts w:ascii="仿宋" w:hAnsi="仿宋" w:eastAsia="仿宋"/>
          <w:sz w:val="24"/>
        </w:rPr>
        <w:t>容灾恢复：RTO≤4小时，RPO≤15分钟</w:t>
      </w:r>
    </w:p>
    <w:p>
      <w:pPr>
        <w:pStyle w:val="4"/>
        <w:rPr>
          <w:rStyle w:val="31"/>
          <w:rFonts w:hint="eastAsia" w:ascii="黑体" w:hAnsi="黑体" w:eastAsia="黑体"/>
          <w:color w:val="000000" w:themeColor="text1"/>
          <w:sz w:val="32"/>
          <w:szCs w:val="32"/>
          <w14:textFill>
            <w14:solidFill>
              <w14:schemeClr w14:val="tx1"/>
            </w14:solidFill>
          </w14:textFill>
        </w:rPr>
      </w:pPr>
      <w:bookmarkStart w:id="22" w:name="_Toc213606088"/>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14:textFill>
            <w14:solidFill>
              <w14:schemeClr w14:val="tx1"/>
            </w14:solidFill>
          </w14:textFill>
        </w:rPr>
        <w:t>4</w:t>
      </w:r>
      <w:r>
        <w:rPr>
          <w:rStyle w:val="31"/>
          <w:rFonts w:ascii="黑体" w:hAnsi="黑体" w:eastAsia="黑体"/>
          <w:color w:val="000000" w:themeColor="text1"/>
          <w:sz w:val="32"/>
          <w:szCs w:val="32"/>
          <w14:textFill>
            <w14:solidFill>
              <w14:schemeClr w14:val="tx1"/>
            </w14:solidFill>
          </w14:textFill>
        </w:rPr>
        <w:t xml:space="preserve"> 项目</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ascii="黑体" w:hAnsi="黑体" w:eastAsia="黑体"/>
          <w:color w:val="000000" w:themeColor="text1"/>
          <w:sz w:val="32"/>
          <w:szCs w:val="32"/>
          <w14:textFill>
            <w14:solidFill>
              <w14:schemeClr w14:val="tx1"/>
            </w14:solidFill>
          </w14:textFill>
        </w:rPr>
        <w:t>的必要性</w:t>
      </w:r>
      <w:bookmarkEnd w:id="22"/>
      <w:r>
        <w:rPr>
          <w:rStyle w:val="31"/>
          <w:rFonts w:ascii="黑体" w:hAnsi="黑体" w:eastAsia="黑体"/>
          <w:color w:val="000000" w:themeColor="text1"/>
          <w:sz w:val="32"/>
          <w:szCs w:val="32"/>
          <w14:textFill>
            <w14:solidFill>
              <w14:schemeClr w14:val="tx1"/>
            </w14:solidFill>
          </w14:textFill>
        </w:rPr>
        <w:t xml:space="preserve"> </w:t>
      </w:r>
    </w:p>
    <w:p>
      <w:pPr>
        <w:pStyle w:val="4"/>
        <w:rPr>
          <w:rStyle w:val="31"/>
          <w:rFonts w:hint="eastAsia" w:ascii="黑体" w:hAnsi="黑体" w:eastAsia="黑体"/>
          <w:color w:val="000000" w:themeColor="text1"/>
          <w:sz w:val="32"/>
          <w:szCs w:val="32"/>
          <w14:textFill>
            <w14:solidFill>
              <w14:schemeClr w14:val="tx1"/>
            </w14:solidFill>
          </w14:textFill>
        </w:rPr>
      </w:pPr>
      <w:bookmarkStart w:id="23" w:name="_Toc120277284"/>
      <w:bookmarkStart w:id="24" w:name="_Toc116994005"/>
      <w:bookmarkStart w:id="25" w:name="_Toc120278030"/>
      <w:bookmarkStart w:id="26" w:name="_Toc121251946"/>
      <w:bookmarkStart w:id="27" w:name="_Toc213606089"/>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hint="eastAsia" w:ascii="黑体" w:hAnsi="黑体" w:eastAsia="黑体"/>
          <w:color w:val="000000" w:themeColor="text1"/>
          <w:sz w:val="32"/>
          <w:szCs w:val="32"/>
          <w14:textFill>
            <w14:solidFill>
              <w14:schemeClr w14:val="tx1"/>
            </w14:solidFill>
          </w14:textFill>
        </w:rPr>
        <w:t>.4.1</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hint="eastAsia" w:ascii="黑体" w:hAnsi="黑体" w:eastAsia="黑体"/>
          <w:color w:val="000000" w:themeColor="text1"/>
          <w:sz w:val="32"/>
          <w:szCs w:val="32"/>
          <w14:textFill>
            <w14:solidFill>
              <w14:schemeClr w14:val="tx1"/>
            </w14:solidFill>
          </w14:textFill>
        </w:rPr>
        <w:t>依据</w:t>
      </w:r>
      <w:bookmarkEnd w:id="23"/>
      <w:bookmarkEnd w:id="24"/>
      <w:bookmarkEnd w:id="25"/>
      <w:bookmarkEnd w:id="26"/>
      <w:bookmarkEnd w:id="27"/>
    </w:p>
    <w:p>
      <w:pPr>
        <w:tabs>
          <w:tab w:val="left" w:pos="720"/>
          <w:tab w:val="left" w:pos="1440"/>
        </w:tabs>
        <w:ind w:firstLine="607" w:firstLineChars="253"/>
        <w:rPr>
          <w:rFonts w:hint="eastAsia" w:ascii="仿宋" w:hAnsi="仿宋" w:eastAsia="仿宋"/>
          <w:sz w:val="24"/>
        </w:rPr>
      </w:pPr>
      <w:r>
        <w:rPr>
          <w:rFonts w:hint="eastAsia" w:ascii="仿宋" w:hAnsi="仿宋" w:eastAsia="仿宋"/>
          <w:sz w:val="24"/>
        </w:rPr>
        <w:t>为加快政务信息系统整合共享，满足政府治理和公共服务改革需要，国务院于2015年5月印发《关于印发政务信息系统整合共享实施方案的通知》（国办发〔2017〕39号），明确要求按照“五个统一”的总体原则，有效推进政务信息系统整合共享，切实避免各自为政、自成体系、重复投资、重复</w:t>
      </w:r>
      <w:r>
        <w:rPr>
          <w:rFonts w:hint="eastAsia" w:ascii="仿宋" w:hAnsi="仿宋" w:eastAsia="仿宋"/>
          <w:sz w:val="24"/>
          <w:lang w:eastAsia="zh-CN"/>
        </w:rPr>
        <w:t>运维升级</w:t>
      </w:r>
      <w:r>
        <w:rPr>
          <w:rFonts w:hint="eastAsia" w:ascii="仿宋" w:hAnsi="仿宋" w:eastAsia="仿宋"/>
          <w:sz w:val="24"/>
        </w:rPr>
        <w:t>，原则上将分散的、独立的信息系统整合为一个互联互通、业务协同、信息共享的“大系统”。为构建精简高效的政务生态，实施新旧动能转换重大工程。强化财政业务一体化集中管理，实现指标流、资金流和业务流的闭环运行。</w:t>
      </w:r>
    </w:p>
    <w:p>
      <w:pPr>
        <w:tabs>
          <w:tab w:val="left" w:pos="720"/>
          <w:tab w:val="left" w:pos="1440"/>
        </w:tabs>
        <w:ind w:firstLine="607" w:firstLineChars="253"/>
        <w:rPr>
          <w:rFonts w:hint="eastAsia" w:ascii="仿宋" w:hAnsi="仿宋" w:eastAsia="仿宋"/>
          <w:sz w:val="24"/>
        </w:rPr>
      </w:pPr>
      <w:r>
        <w:rPr>
          <w:rFonts w:hint="eastAsia" w:ascii="仿宋" w:hAnsi="仿宋" w:eastAsia="仿宋"/>
          <w:sz w:val="24"/>
        </w:rPr>
        <w:t>为贯彻落实</w:t>
      </w:r>
      <w:r>
        <w:rPr>
          <w:rFonts w:ascii="仿宋" w:hAnsi="仿宋" w:eastAsia="仿宋"/>
          <w:sz w:val="24"/>
        </w:rPr>
        <w:t>《财政部关于印发〈财政部整合下发地方应用软件工作方案〉的通知》（财办〔2021〕25号）</w:t>
      </w:r>
      <w:r>
        <w:rPr>
          <w:rFonts w:hint="eastAsia" w:ascii="仿宋" w:hAnsi="仿宋" w:eastAsia="仿宋"/>
          <w:sz w:val="24"/>
        </w:rPr>
        <w:t>，</w:t>
      </w:r>
      <w:r>
        <w:rPr>
          <w:rFonts w:ascii="仿宋" w:hAnsi="仿宋" w:eastAsia="仿宋"/>
          <w:sz w:val="24"/>
        </w:rPr>
        <w:t>在前期一体化</w:t>
      </w:r>
      <w:r>
        <w:rPr>
          <w:rFonts w:hint="eastAsia" w:ascii="仿宋" w:hAnsi="仿宋" w:eastAsia="仿宋"/>
          <w:sz w:val="24"/>
          <w:lang w:eastAsia="zh-CN"/>
        </w:rPr>
        <w:t>运维升级</w:t>
      </w:r>
      <w:r>
        <w:rPr>
          <w:rFonts w:ascii="仿宋" w:hAnsi="仿宋" w:eastAsia="仿宋"/>
          <w:sz w:val="24"/>
        </w:rPr>
        <w:t>全面推进的基础上，</w:t>
      </w:r>
      <w:r>
        <w:rPr>
          <w:rFonts w:hint="eastAsia" w:ascii="仿宋" w:hAnsi="仿宋" w:eastAsia="仿宋"/>
          <w:sz w:val="24"/>
        </w:rPr>
        <w:t>青岛</w:t>
      </w:r>
      <w:r>
        <w:rPr>
          <w:rFonts w:ascii="仿宋" w:hAnsi="仿宋" w:eastAsia="仿宋"/>
          <w:sz w:val="24"/>
        </w:rPr>
        <w:t>统筹考虑工作实际，制定整合应用软件工作方案，分批整合财政部下发的应用软件</w:t>
      </w:r>
      <w:r>
        <w:rPr>
          <w:rFonts w:hint="eastAsia" w:ascii="仿宋" w:hAnsi="仿宋" w:eastAsia="仿宋"/>
          <w:sz w:val="24"/>
        </w:rPr>
        <w:t>。武汉市</w:t>
      </w:r>
      <w:r>
        <w:rPr>
          <w:rFonts w:ascii="仿宋" w:hAnsi="仿宋" w:eastAsia="仿宋"/>
          <w:sz w:val="24"/>
        </w:rPr>
        <w:t>通过对各类软件进行梳理整合，统一纳入一体化系统，将有利于加强地方与中央之间的财政数据交互，为切实发挥一体化</w:t>
      </w:r>
      <w:r>
        <w:rPr>
          <w:rFonts w:hint="eastAsia" w:ascii="仿宋" w:hAnsi="仿宋" w:eastAsia="仿宋"/>
          <w:sz w:val="24"/>
          <w:lang w:eastAsia="zh-CN"/>
        </w:rPr>
        <w:t>运维升级</w:t>
      </w:r>
      <w:r>
        <w:rPr>
          <w:rFonts w:ascii="仿宋" w:hAnsi="仿宋" w:eastAsia="仿宋"/>
          <w:sz w:val="24"/>
        </w:rPr>
        <w:t>成效、进一步提升财政预算管理现代化水平夯实基础。</w:t>
      </w:r>
    </w:p>
    <w:p>
      <w:pPr>
        <w:tabs>
          <w:tab w:val="left" w:pos="720"/>
          <w:tab w:val="left" w:pos="1440"/>
        </w:tabs>
        <w:ind w:firstLine="607" w:firstLineChars="253"/>
        <w:rPr>
          <w:rFonts w:hint="eastAsia" w:ascii="仿宋" w:hAnsi="仿宋" w:eastAsia="仿宋"/>
          <w:sz w:val="24"/>
        </w:rPr>
      </w:pPr>
      <w:r>
        <w:rPr>
          <w:rFonts w:hint="eastAsia" w:ascii="仿宋" w:hAnsi="仿宋" w:eastAsia="仿宋"/>
          <w:sz w:val="24"/>
        </w:rPr>
        <w:t>随着武汉市全市政务系统信创改造的全面铺开，对全市财政信息化</w:t>
      </w:r>
      <w:r>
        <w:rPr>
          <w:rFonts w:hint="eastAsia" w:ascii="仿宋" w:hAnsi="仿宋" w:eastAsia="仿宋"/>
          <w:sz w:val="24"/>
          <w:lang w:eastAsia="zh-CN"/>
        </w:rPr>
        <w:t>运维升级</w:t>
      </w:r>
      <w:r>
        <w:rPr>
          <w:rFonts w:hint="eastAsia" w:ascii="仿宋" w:hAnsi="仿宋" w:eastAsia="仿宋"/>
          <w:sz w:val="24"/>
        </w:rPr>
        <w:t>“统一数据标准、统一技术架构、统一业务体系”的要求越来越高，自主安全可控是必然的发展趋势。</w:t>
      </w:r>
    </w:p>
    <w:p>
      <w:pPr>
        <w:tabs>
          <w:tab w:val="left" w:pos="720"/>
          <w:tab w:val="left" w:pos="1440"/>
        </w:tabs>
        <w:ind w:firstLine="607" w:firstLineChars="253"/>
        <w:rPr>
          <w:rFonts w:hint="eastAsia" w:ascii="仿宋" w:hAnsi="仿宋" w:eastAsia="仿宋"/>
          <w:sz w:val="24"/>
        </w:rPr>
      </w:pPr>
    </w:p>
    <w:p>
      <w:pPr>
        <w:pStyle w:val="2"/>
        <w:pageBreakBefore/>
        <w:jc w:val="center"/>
        <w:rPr>
          <w:rFonts w:hint="eastAsia" w:ascii="黑体" w:hAnsi="黑体" w:eastAsia="黑体"/>
          <w:color w:val="000000" w:themeColor="text1"/>
          <w:sz w:val="44"/>
          <w:szCs w:val="44"/>
          <w14:textFill>
            <w14:solidFill>
              <w14:schemeClr w14:val="tx1"/>
            </w14:solidFill>
          </w14:textFill>
        </w:rPr>
      </w:pPr>
      <w:bookmarkStart w:id="28" w:name="_Toc213606096"/>
      <w:r>
        <w:rPr>
          <w:rFonts w:ascii="黑体" w:hAnsi="黑体" w:eastAsia="黑体"/>
          <w:color w:val="000000" w:themeColor="text1"/>
          <w:sz w:val="44"/>
          <w:szCs w:val="44"/>
          <w14:textFill>
            <w14:solidFill>
              <w14:schemeClr w14:val="tx1"/>
            </w14:solidFill>
          </w14:textFill>
        </w:rPr>
        <w:t>第</w:t>
      </w:r>
      <w:r>
        <w:rPr>
          <w:rFonts w:hint="eastAsia" w:ascii="黑体" w:hAnsi="黑体" w:eastAsia="黑体"/>
          <w:color w:val="000000" w:themeColor="text1"/>
          <w:sz w:val="44"/>
          <w:szCs w:val="44"/>
          <w:lang w:eastAsia="zh-CN"/>
          <w14:textFill>
            <w14:solidFill>
              <w14:schemeClr w14:val="tx1"/>
            </w14:solidFill>
          </w14:textFill>
        </w:rPr>
        <w:t>三</w:t>
      </w:r>
      <w:r>
        <w:rPr>
          <w:rFonts w:ascii="黑体" w:hAnsi="黑体" w:eastAsia="黑体"/>
          <w:color w:val="000000" w:themeColor="text1"/>
          <w:sz w:val="44"/>
          <w:szCs w:val="44"/>
          <w14:textFill>
            <w14:solidFill>
              <w14:schemeClr w14:val="tx1"/>
            </w14:solidFill>
          </w14:textFill>
        </w:rPr>
        <w:t>章 本期项目</w:t>
      </w:r>
      <w:r>
        <w:rPr>
          <w:rFonts w:hint="eastAsia" w:ascii="黑体" w:hAnsi="黑体" w:eastAsia="黑体"/>
          <w:color w:val="000000" w:themeColor="text1"/>
          <w:sz w:val="44"/>
          <w:szCs w:val="44"/>
          <w:lang w:eastAsia="zh-CN"/>
          <w14:textFill>
            <w14:solidFill>
              <w14:schemeClr w14:val="tx1"/>
            </w14:solidFill>
          </w14:textFill>
        </w:rPr>
        <w:t>运维升级</w:t>
      </w:r>
      <w:r>
        <w:rPr>
          <w:rFonts w:ascii="黑体" w:hAnsi="黑体" w:eastAsia="黑体"/>
          <w:color w:val="000000" w:themeColor="text1"/>
          <w:sz w:val="44"/>
          <w:szCs w:val="44"/>
          <w14:textFill>
            <w14:solidFill>
              <w14:schemeClr w14:val="tx1"/>
            </w14:solidFill>
          </w14:textFill>
        </w:rPr>
        <w:t>方案</w:t>
      </w:r>
      <w:bookmarkEnd w:id="28"/>
      <w:r>
        <w:rPr>
          <w:rFonts w:ascii="黑体" w:hAnsi="黑体" w:eastAsia="黑体"/>
          <w:color w:val="000000" w:themeColor="text1"/>
          <w:sz w:val="44"/>
          <w:szCs w:val="44"/>
          <w14:textFill>
            <w14:solidFill>
              <w14:schemeClr w14:val="tx1"/>
            </w14:solidFill>
          </w14:textFill>
        </w:rPr>
        <w:t xml:space="preserve"> </w:t>
      </w:r>
    </w:p>
    <w:p>
      <w:pPr>
        <w:rPr>
          <w:rFonts w:hint="eastAsia"/>
        </w:rPr>
      </w:pPr>
    </w:p>
    <w:p>
      <w:pPr>
        <w:pStyle w:val="4"/>
        <w:rPr>
          <w:rStyle w:val="31"/>
          <w:rFonts w:hint="eastAsia" w:ascii="黑体" w:hAnsi="黑体" w:eastAsia="黑体"/>
          <w:color w:val="000000" w:themeColor="text1"/>
          <w:sz w:val="32"/>
          <w:szCs w:val="32"/>
          <w14:textFill>
            <w14:solidFill>
              <w14:schemeClr w14:val="tx1"/>
            </w14:solidFill>
          </w14:textFill>
        </w:rPr>
      </w:pPr>
      <w:bookmarkStart w:id="29" w:name="_Toc213606102"/>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1</w:t>
      </w:r>
      <w:r>
        <w:rPr>
          <w:rStyle w:val="31"/>
          <w:rFonts w:ascii="黑体" w:hAnsi="黑体" w:eastAsia="黑体"/>
          <w:color w:val="000000" w:themeColor="text1"/>
          <w:sz w:val="32"/>
          <w:szCs w:val="32"/>
          <w14:textFill>
            <w14:solidFill>
              <w14:schemeClr w14:val="tx1"/>
            </w14:solidFill>
          </w14:textFill>
        </w:rPr>
        <w:t xml:space="preserve"> 应用系统</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ascii="黑体" w:hAnsi="黑体" w:eastAsia="黑体"/>
          <w:color w:val="000000" w:themeColor="text1"/>
          <w:sz w:val="32"/>
          <w:szCs w:val="32"/>
          <w14:textFill>
            <w14:solidFill>
              <w14:schemeClr w14:val="tx1"/>
            </w14:solidFill>
          </w14:textFill>
        </w:rPr>
        <w:t>方案</w:t>
      </w:r>
      <w:bookmarkEnd w:id="29"/>
      <w:r>
        <w:rPr>
          <w:rStyle w:val="31"/>
          <w:rFonts w:ascii="黑体" w:hAnsi="黑体" w:eastAsia="黑体"/>
          <w:color w:val="000000" w:themeColor="text1"/>
          <w:sz w:val="32"/>
          <w:szCs w:val="32"/>
          <w14:textFill>
            <w14:solidFill>
              <w14:schemeClr w14:val="tx1"/>
            </w14:solidFill>
          </w14:textFill>
        </w:rPr>
        <w:t xml:space="preserve"> </w:t>
      </w:r>
    </w:p>
    <w:p>
      <w:pPr>
        <w:ind w:firstLine="607" w:firstLineChars="253"/>
        <w:rPr>
          <w:rFonts w:hint="eastAsia" w:ascii="仿宋" w:hAnsi="仿宋" w:eastAsia="仿宋"/>
          <w:sz w:val="24"/>
        </w:rPr>
      </w:pPr>
      <w:r>
        <w:rPr>
          <w:rFonts w:hint="eastAsia" w:ascii="仿宋" w:hAnsi="仿宋" w:eastAsia="仿宋"/>
          <w:sz w:val="24"/>
        </w:rPr>
        <w:t>应用系统</w:t>
      </w:r>
      <w:r>
        <w:rPr>
          <w:rFonts w:hint="eastAsia" w:ascii="仿宋" w:hAnsi="仿宋" w:eastAsia="仿宋"/>
          <w:sz w:val="24"/>
          <w:lang w:eastAsia="zh-CN"/>
        </w:rPr>
        <w:t>运维升级</w:t>
      </w:r>
      <w:r>
        <w:rPr>
          <w:rFonts w:hint="eastAsia" w:ascii="仿宋" w:hAnsi="仿宋" w:eastAsia="仿宋"/>
          <w:sz w:val="24"/>
        </w:rPr>
        <w:t>坚持适应信创需求、保持现有业务功能不变为基本原则。在这个原则下对原有系统重构改造，主要涉及到新增开发MQ-TongQ转换程序、重构TIPS数据交换程序、重构TIPS核心通讯程序、适配基础数据处理程序、重构预算收入综合查询系统应用程序</w:t>
      </w:r>
      <w:r>
        <w:rPr>
          <w:rFonts w:hint="eastAsia" w:ascii="仿宋" w:hAnsi="仿宋" w:eastAsia="仿宋"/>
          <w:sz w:val="24"/>
          <w:lang w:eastAsia="zh-CN"/>
        </w:rPr>
        <w:t>和新增部分权限分配、数据分析功能</w:t>
      </w:r>
      <w:r>
        <w:rPr>
          <w:rFonts w:hint="eastAsia" w:ascii="仿宋" w:hAnsi="仿宋" w:eastAsia="仿宋"/>
          <w:sz w:val="24"/>
        </w:rPr>
        <w:t>。</w:t>
      </w:r>
    </w:p>
    <w:p>
      <w:pPr>
        <w:pStyle w:val="4"/>
        <w:rPr>
          <w:rStyle w:val="31"/>
          <w:rFonts w:hint="eastAsia" w:ascii="黑体" w:hAnsi="黑体" w:eastAsia="黑体"/>
          <w:color w:val="000000" w:themeColor="text1"/>
          <w:sz w:val="32"/>
          <w:szCs w:val="32"/>
          <w14:textFill>
            <w14:solidFill>
              <w14:schemeClr w14:val="tx1"/>
            </w14:solidFill>
          </w14:textFill>
        </w:rPr>
      </w:pPr>
      <w:bookmarkStart w:id="30" w:name="_Toc213606103"/>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1</w:t>
      </w:r>
      <w:r>
        <w:rPr>
          <w:rStyle w:val="31"/>
          <w:rFonts w:hint="eastAsia" w:ascii="黑体" w:hAnsi="黑体" w:eastAsia="黑体"/>
          <w:color w:val="000000" w:themeColor="text1"/>
          <w:sz w:val="32"/>
          <w:szCs w:val="32"/>
          <w14:textFill>
            <w14:solidFill>
              <w14:schemeClr w14:val="tx1"/>
            </w14:solidFill>
          </w14:textFill>
        </w:rPr>
        <w:t>.2</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hint="eastAsia" w:ascii="黑体" w:hAnsi="黑体" w:eastAsia="黑体"/>
          <w:color w:val="000000" w:themeColor="text1"/>
          <w:sz w:val="32"/>
          <w:szCs w:val="32"/>
          <w14:textFill>
            <w14:solidFill>
              <w14:schemeClr w14:val="tx1"/>
            </w14:solidFill>
          </w14:textFill>
        </w:rPr>
        <w:t>TIPS数据交换程序</w:t>
      </w:r>
      <w:bookmarkEnd w:id="30"/>
    </w:p>
    <w:p>
      <w:pPr>
        <w:ind w:firstLine="607" w:firstLineChars="253"/>
        <w:rPr>
          <w:rFonts w:hint="eastAsia" w:ascii="仿宋" w:hAnsi="仿宋" w:eastAsia="仿宋"/>
          <w:sz w:val="24"/>
        </w:rPr>
      </w:pPr>
      <w:r>
        <w:rPr>
          <w:rFonts w:hint="eastAsia" w:ascii="仿宋" w:hAnsi="仿宋" w:eastAsia="仿宋"/>
          <w:sz w:val="24"/>
        </w:rPr>
        <w:t>系统基于TongQ、达梦V8数据库。</w:t>
      </w:r>
    </w:p>
    <w:p>
      <w:pPr>
        <w:ind w:firstLine="607" w:firstLineChars="253"/>
        <w:rPr>
          <w:rFonts w:hint="eastAsia" w:ascii="仿宋" w:hAnsi="仿宋" w:eastAsia="仿宋"/>
          <w:sz w:val="24"/>
        </w:rPr>
      </w:pPr>
      <w:r>
        <w:rPr>
          <w:rFonts w:hint="eastAsia" w:ascii="仿宋" w:hAnsi="仿宋" w:eastAsia="仿宋"/>
          <w:sz w:val="24"/>
        </w:rPr>
        <w:t>主要功能包括；队列监控、通道监控、事务管理、上行直通、下行分发、下行匹配、下行广播、配置管理、日志管理。</w:t>
      </w:r>
    </w:p>
    <w:p>
      <w:pPr>
        <w:pStyle w:val="4"/>
        <w:rPr>
          <w:rStyle w:val="31"/>
          <w:rFonts w:hint="eastAsia" w:ascii="黑体" w:hAnsi="黑体" w:eastAsia="黑体"/>
          <w:color w:val="000000" w:themeColor="text1"/>
          <w:sz w:val="32"/>
          <w:szCs w:val="32"/>
          <w14:textFill>
            <w14:solidFill>
              <w14:schemeClr w14:val="tx1"/>
            </w14:solidFill>
          </w14:textFill>
        </w:rPr>
      </w:pPr>
      <w:bookmarkStart w:id="31" w:name="_Toc213606104"/>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1</w:t>
      </w:r>
      <w:r>
        <w:rPr>
          <w:rStyle w:val="31"/>
          <w:rFonts w:hint="eastAsia" w:ascii="黑体" w:hAnsi="黑体" w:eastAsia="黑体"/>
          <w:color w:val="000000" w:themeColor="text1"/>
          <w:sz w:val="32"/>
          <w:szCs w:val="32"/>
          <w14:textFill>
            <w14:solidFill>
              <w14:schemeClr w14:val="tx1"/>
            </w14:solidFill>
          </w14:textFill>
        </w:rPr>
        <w:t>.3</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hint="eastAsia" w:ascii="黑体" w:hAnsi="黑体" w:eastAsia="黑体"/>
          <w:color w:val="000000" w:themeColor="text1"/>
          <w:sz w:val="32"/>
          <w:szCs w:val="32"/>
          <w14:textFill>
            <w14:solidFill>
              <w14:schemeClr w14:val="tx1"/>
            </w14:solidFill>
          </w14:textFill>
        </w:rPr>
        <w:t>TIPS核心通讯程序</w:t>
      </w:r>
      <w:bookmarkEnd w:id="31"/>
    </w:p>
    <w:p>
      <w:pPr>
        <w:ind w:firstLine="607" w:firstLineChars="253"/>
        <w:rPr>
          <w:rFonts w:hint="eastAsia" w:ascii="仿宋" w:hAnsi="仿宋" w:eastAsia="仿宋"/>
          <w:sz w:val="24"/>
        </w:rPr>
      </w:pPr>
      <w:r>
        <w:rPr>
          <w:rFonts w:hint="eastAsia" w:ascii="仿宋" w:hAnsi="仿宋" w:eastAsia="仿宋"/>
          <w:sz w:val="24"/>
        </w:rPr>
        <w:t>系统基于TongQ、达梦V8数据库。TIPS核心通讯程序的主要功能点如下；</w:t>
      </w:r>
    </w:p>
    <w:p>
      <w:pPr>
        <w:pStyle w:val="43"/>
        <w:numPr>
          <w:ilvl w:val="0"/>
          <w:numId w:val="3"/>
        </w:numPr>
        <w:rPr>
          <w:rFonts w:hint="eastAsia" w:ascii="仿宋" w:hAnsi="仿宋" w:eastAsia="仿宋"/>
          <w:sz w:val="24"/>
        </w:rPr>
      </w:pPr>
      <w:r>
        <w:rPr>
          <w:rFonts w:hint="eastAsia" w:ascii="仿宋" w:hAnsi="仿宋" w:eastAsia="仿宋"/>
          <w:sz w:val="24"/>
        </w:rPr>
        <w:t>3128报文解析、插库</w:t>
      </w:r>
    </w:p>
    <w:p>
      <w:pPr>
        <w:pStyle w:val="43"/>
        <w:numPr>
          <w:ilvl w:val="0"/>
          <w:numId w:val="3"/>
        </w:numPr>
        <w:rPr>
          <w:rFonts w:hint="eastAsia" w:ascii="仿宋" w:hAnsi="仿宋" w:eastAsia="仿宋"/>
          <w:sz w:val="24"/>
        </w:rPr>
      </w:pPr>
      <w:r>
        <w:rPr>
          <w:rFonts w:hint="eastAsia" w:ascii="仿宋" w:hAnsi="仿宋" w:eastAsia="仿宋"/>
          <w:sz w:val="24"/>
        </w:rPr>
        <w:t>3129报文解析、插库</w:t>
      </w:r>
    </w:p>
    <w:p>
      <w:pPr>
        <w:pStyle w:val="43"/>
        <w:numPr>
          <w:ilvl w:val="0"/>
          <w:numId w:val="3"/>
        </w:numPr>
        <w:rPr>
          <w:rFonts w:hint="eastAsia" w:ascii="仿宋" w:hAnsi="仿宋" w:eastAsia="仿宋"/>
          <w:sz w:val="24"/>
        </w:rPr>
      </w:pPr>
      <w:r>
        <w:rPr>
          <w:rFonts w:hint="eastAsia" w:ascii="仿宋" w:hAnsi="仿宋" w:eastAsia="仿宋"/>
          <w:sz w:val="24"/>
        </w:rPr>
        <w:t>3139报文解析、插库</w:t>
      </w:r>
    </w:p>
    <w:p>
      <w:pPr>
        <w:pStyle w:val="43"/>
        <w:numPr>
          <w:ilvl w:val="0"/>
          <w:numId w:val="3"/>
        </w:numPr>
        <w:rPr>
          <w:rFonts w:hint="eastAsia" w:ascii="仿宋" w:hAnsi="仿宋" w:eastAsia="仿宋"/>
          <w:sz w:val="24"/>
        </w:rPr>
      </w:pPr>
      <w:r>
        <w:rPr>
          <w:rFonts w:hint="eastAsia" w:ascii="仿宋" w:hAnsi="仿宋" w:eastAsia="仿宋"/>
          <w:sz w:val="24"/>
        </w:rPr>
        <w:t>3140报文解析、插库</w:t>
      </w:r>
    </w:p>
    <w:p>
      <w:pPr>
        <w:pStyle w:val="43"/>
        <w:numPr>
          <w:ilvl w:val="0"/>
          <w:numId w:val="3"/>
        </w:numPr>
        <w:rPr>
          <w:rFonts w:hint="eastAsia" w:ascii="仿宋" w:hAnsi="仿宋" w:eastAsia="仿宋"/>
          <w:sz w:val="24"/>
        </w:rPr>
      </w:pPr>
      <w:r>
        <w:rPr>
          <w:rFonts w:hint="eastAsia" w:ascii="仿宋" w:hAnsi="仿宋" w:eastAsia="仿宋"/>
          <w:sz w:val="24"/>
        </w:rPr>
        <w:t>3141报文解析、插库</w:t>
      </w:r>
    </w:p>
    <w:p>
      <w:pPr>
        <w:pStyle w:val="43"/>
        <w:numPr>
          <w:ilvl w:val="0"/>
          <w:numId w:val="3"/>
        </w:numPr>
        <w:rPr>
          <w:rFonts w:hint="eastAsia" w:ascii="仿宋" w:hAnsi="仿宋" w:eastAsia="仿宋"/>
          <w:sz w:val="24"/>
        </w:rPr>
      </w:pPr>
      <w:r>
        <w:rPr>
          <w:rFonts w:hint="eastAsia" w:ascii="仿宋" w:hAnsi="仿宋" w:eastAsia="仿宋"/>
          <w:sz w:val="24"/>
        </w:rPr>
        <w:t>3142报文解析、插库</w:t>
      </w:r>
    </w:p>
    <w:p>
      <w:pPr>
        <w:pStyle w:val="43"/>
        <w:numPr>
          <w:ilvl w:val="0"/>
          <w:numId w:val="3"/>
        </w:numPr>
        <w:rPr>
          <w:rFonts w:hint="eastAsia" w:ascii="仿宋" w:hAnsi="仿宋" w:eastAsia="仿宋"/>
          <w:sz w:val="24"/>
        </w:rPr>
      </w:pPr>
      <w:r>
        <w:rPr>
          <w:rFonts w:hint="eastAsia" w:ascii="仿宋" w:hAnsi="仿宋" w:eastAsia="仿宋"/>
          <w:sz w:val="24"/>
        </w:rPr>
        <w:t>3178报文解析、插库</w:t>
      </w:r>
    </w:p>
    <w:p>
      <w:pPr>
        <w:pStyle w:val="43"/>
        <w:numPr>
          <w:ilvl w:val="0"/>
          <w:numId w:val="3"/>
        </w:numPr>
        <w:rPr>
          <w:rFonts w:hint="eastAsia" w:ascii="仿宋" w:hAnsi="仿宋" w:eastAsia="仿宋"/>
          <w:sz w:val="24"/>
        </w:rPr>
      </w:pPr>
      <w:r>
        <w:rPr>
          <w:rFonts w:hint="eastAsia" w:ascii="仿宋" w:hAnsi="仿宋" w:eastAsia="仿宋"/>
          <w:sz w:val="24"/>
        </w:rPr>
        <w:t>9100报文解析、插库</w:t>
      </w:r>
    </w:p>
    <w:p>
      <w:pPr>
        <w:pStyle w:val="43"/>
        <w:numPr>
          <w:ilvl w:val="0"/>
          <w:numId w:val="3"/>
        </w:numPr>
        <w:rPr>
          <w:rFonts w:hint="eastAsia" w:ascii="仿宋" w:hAnsi="仿宋" w:eastAsia="仿宋"/>
          <w:sz w:val="24"/>
        </w:rPr>
      </w:pPr>
      <w:r>
        <w:rPr>
          <w:rFonts w:hint="eastAsia" w:ascii="仿宋" w:hAnsi="仿宋" w:eastAsia="仿宋"/>
          <w:sz w:val="24"/>
        </w:rPr>
        <w:t>3128报文解析、插库</w:t>
      </w:r>
    </w:p>
    <w:p>
      <w:pPr>
        <w:pStyle w:val="43"/>
        <w:numPr>
          <w:ilvl w:val="0"/>
          <w:numId w:val="3"/>
        </w:numPr>
        <w:rPr>
          <w:rFonts w:hint="eastAsia" w:ascii="仿宋" w:hAnsi="仿宋" w:eastAsia="仿宋"/>
          <w:sz w:val="24"/>
        </w:rPr>
      </w:pPr>
      <w:r>
        <w:rPr>
          <w:rFonts w:hint="eastAsia" w:ascii="仿宋" w:hAnsi="仿宋" w:eastAsia="仿宋"/>
          <w:sz w:val="24"/>
        </w:rPr>
        <w:t>3128报文解析、插库</w:t>
      </w:r>
    </w:p>
    <w:p>
      <w:pPr>
        <w:pStyle w:val="43"/>
        <w:numPr>
          <w:ilvl w:val="0"/>
          <w:numId w:val="3"/>
        </w:numPr>
        <w:rPr>
          <w:rFonts w:hint="eastAsia" w:ascii="仿宋" w:hAnsi="仿宋" w:eastAsia="仿宋"/>
          <w:sz w:val="24"/>
        </w:rPr>
      </w:pPr>
      <w:r>
        <w:rPr>
          <w:rFonts w:hint="eastAsia" w:ascii="仿宋" w:hAnsi="仿宋" w:eastAsia="仿宋"/>
          <w:sz w:val="24"/>
        </w:rPr>
        <w:t>2001报文解析、插库</w:t>
      </w:r>
    </w:p>
    <w:p>
      <w:pPr>
        <w:pStyle w:val="43"/>
        <w:numPr>
          <w:ilvl w:val="0"/>
          <w:numId w:val="3"/>
        </w:numPr>
        <w:rPr>
          <w:rFonts w:hint="eastAsia" w:ascii="仿宋" w:hAnsi="仿宋" w:eastAsia="仿宋"/>
          <w:sz w:val="24"/>
        </w:rPr>
      </w:pPr>
      <w:r>
        <w:rPr>
          <w:rFonts w:hint="eastAsia" w:ascii="仿宋" w:hAnsi="仿宋" w:eastAsia="仿宋"/>
          <w:sz w:val="24"/>
        </w:rPr>
        <w:t>9101报文解析、插库</w:t>
      </w:r>
    </w:p>
    <w:p>
      <w:pPr>
        <w:pStyle w:val="43"/>
        <w:numPr>
          <w:ilvl w:val="0"/>
          <w:numId w:val="3"/>
        </w:numPr>
        <w:rPr>
          <w:rFonts w:hint="eastAsia" w:ascii="仿宋" w:hAnsi="仿宋" w:eastAsia="仿宋"/>
          <w:sz w:val="24"/>
        </w:rPr>
      </w:pPr>
      <w:r>
        <w:rPr>
          <w:rFonts w:hint="eastAsia" w:ascii="仿宋" w:hAnsi="仿宋" w:eastAsia="仿宋"/>
          <w:sz w:val="24"/>
        </w:rPr>
        <w:t>9113报文解析、插库</w:t>
      </w:r>
    </w:p>
    <w:p>
      <w:pPr>
        <w:pStyle w:val="43"/>
        <w:numPr>
          <w:ilvl w:val="0"/>
          <w:numId w:val="3"/>
        </w:numPr>
        <w:rPr>
          <w:rFonts w:hint="eastAsia" w:ascii="仿宋" w:hAnsi="仿宋" w:eastAsia="仿宋"/>
          <w:sz w:val="24"/>
        </w:rPr>
      </w:pPr>
      <w:r>
        <w:rPr>
          <w:rFonts w:hint="eastAsia" w:ascii="仿宋" w:hAnsi="仿宋" w:eastAsia="仿宋"/>
          <w:sz w:val="24"/>
        </w:rPr>
        <w:t>9114报文解析、插库</w:t>
      </w:r>
    </w:p>
    <w:p>
      <w:pPr>
        <w:pStyle w:val="43"/>
        <w:numPr>
          <w:ilvl w:val="0"/>
          <w:numId w:val="3"/>
        </w:numPr>
        <w:rPr>
          <w:rFonts w:hint="eastAsia" w:ascii="仿宋" w:hAnsi="仿宋" w:eastAsia="仿宋"/>
          <w:sz w:val="24"/>
        </w:rPr>
      </w:pPr>
      <w:r>
        <w:rPr>
          <w:rFonts w:hint="eastAsia" w:ascii="仿宋" w:hAnsi="仿宋" w:eastAsia="仿宋"/>
          <w:sz w:val="24"/>
        </w:rPr>
        <w:t>9120报文解析、插库</w:t>
      </w:r>
    </w:p>
    <w:p>
      <w:pPr>
        <w:pStyle w:val="43"/>
        <w:numPr>
          <w:ilvl w:val="0"/>
          <w:numId w:val="3"/>
        </w:numPr>
        <w:rPr>
          <w:rFonts w:hint="eastAsia" w:ascii="仿宋" w:hAnsi="仿宋" w:eastAsia="仿宋"/>
          <w:sz w:val="24"/>
        </w:rPr>
      </w:pPr>
      <w:r>
        <w:rPr>
          <w:rFonts w:hint="eastAsia" w:ascii="仿宋" w:hAnsi="仿宋" w:eastAsia="仿宋"/>
          <w:sz w:val="24"/>
        </w:rPr>
        <w:t>9121报文解析、插库</w:t>
      </w:r>
    </w:p>
    <w:p>
      <w:pPr>
        <w:pStyle w:val="43"/>
        <w:numPr>
          <w:ilvl w:val="0"/>
          <w:numId w:val="3"/>
        </w:numPr>
        <w:rPr>
          <w:rFonts w:hint="eastAsia" w:ascii="仿宋" w:hAnsi="仿宋" w:eastAsia="仿宋"/>
          <w:sz w:val="24"/>
        </w:rPr>
      </w:pPr>
      <w:r>
        <w:rPr>
          <w:rFonts w:hint="eastAsia" w:ascii="仿宋" w:hAnsi="仿宋" w:eastAsia="仿宋"/>
          <w:sz w:val="24"/>
        </w:rPr>
        <w:t>1001报文组装、发送</w:t>
      </w:r>
    </w:p>
    <w:p>
      <w:pPr>
        <w:pStyle w:val="43"/>
        <w:numPr>
          <w:ilvl w:val="0"/>
          <w:numId w:val="3"/>
        </w:numPr>
        <w:rPr>
          <w:rFonts w:hint="eastAsia" w:ascii="仿宋" w:hAnsi="仿宋" w:eastAsia="仿宋"/>
          <w:sz w:val="24"/>
        </w:rPr>
      </w:pPr>
      <w:r>
        <w:rPr>
          <w:rFonts w:hint="eastAsia" w:ascii="仿宋" w:hAnsi="仿宋" w:eastAsia="仿宋"/>
          <w:sz w:val="24"/>
        </w:rPr>
        <w:t>1021报文组装、发送</w:t>
      </w:r>
    </w:p>
    <w:p>
      <w:pPr>
        <w:pStyle w:val="43"/>
        <w:numPr>
          <w:ilvl w:val="0"/>
          <w:numId w:val="3"/>
        </w:numPr>
        <w:rPr>
          <w:rFonts w:hint="eastAsia" w:ascii="仿宋" w:hAnsi="仿宋" w:eastAsia="仿宋"/>
          <w:sz w:val="24"/>
        </w:rPr>
      </w:pPr>
      <w:r>
        <w:rPr>
          <w:rFonts w:hint="eastAsia" w:ascii="仿宋" w:hAnsi="仿宋" w:eastAsia="仿宋"/>
          <w:sz w:val="24"/>
        </w:rPr>
        <w:t>5001报文组装、发送</w:t>
      </w:r>
    </w:p>
    <w:p>
      <w:pPr>
        <w:pStyle w:val="43"/>
        <w:numPr>
          <w:ilvl w:val="0"/>
          <w:numId w:val="3"/>
        </w:numPr>
        <w:rPr>
          <w:rFonts w:hint="eastAsia" w:ascii="仿宋" w:hAnsi="仿宋" w:eastAsia="仿宋"/>
          <w:sz w:val="24"/>
        </w:rPr>
      </w:pPr>
      <w:r>
        <w:rPr>
          <w:rFonts w:hint="eastAsia" w:ascii="仿宋" w:hAnsi="仿宋" w:eastAsia="仿宋"/>
          <w:sz w:val="24"/>
        </w:rPr>
        <w:t>5002报文组装、发送</w:t>
      </w:r>
    </w:p>
    <w:p>
      <w:pPr>
        <w:pStyle w:val="43"/>
        <w:numPr>
          <w:ilvl w:val="0"/>
          <w:numId w:val="3"/>
        </w:numPr>
        <w:rPr>
          <w:rFonts w:hint="eastAsia" w:ascii="仿宋" w:hAnsi="仿宋" w:eastAsia="仿宋"/>
          <w:sz w:val="24"/>
        </w:rPr>
      </w:pPr>
      <w:r>
        <w:rPr>
          <w:rFonts w:hint="eastAsia" w:ascii="仿宋" w:hAnsi="仿宋" w:eastAsia="仿宋"/>
          <w:sz w:val="24"/>
        </w:rPr>
        <w:t>5003报文组装、发送</w:t>
      </w:r>
    </w:p>
    <w:p>
      <w:pPr>
        <w:pStyle w:val="43"/>
        <w:numPr>
          <w:ilvl w:val="0"/>
          <w:numId w:val="3"/>
        </w:numPr>
        <w:rPr>
          <w:rFonts w:hint="eastAsia" w:ascii="仿宋" w:hAnsi="仿宋" w:eastAsia="仿宋"/>
          <w:sz w:val="24"/>
        </w:rPr>
      </w:pPr>
      <w:r>
        <w:rPr>
          <w:rFonts w:hint="eastAsia" w:ascii="仿宋" w:hAnsi="仿宋" w:eastAsia="仿宋"/>
          <w:sz w:val="24"/>
        </w:rPr>
        <w:t>9001报文组装、发送</w:t>
      </w:r>
    </w:p>
    <w:p>
      <w:pPr>
        <w:pStyle w:val="43"/>
        <w:numPr>
          <w:ilvl w:val="0"/>
          <w:numId w:val="3"/>
        </w:numPr>
        <w:rPr>
          <w:rFonts w:hint="eastAsia" w:ascii="仿宋" w:hAnsi="仿宋" w:eastAsia="仿宋"/>
          <w:sz w:val="24"/>
        </w:rPr>
      </w:pPr>
      <w:r>
        <w:rPr>
          <w:rFonts w:hint="eastAsia" w:ascii="仿宋" w:hAnsi="仿宋" w:eastAsia="仿宋"/>
          <w:sz w:val="24"/>
        </w:rPr>
        <w:t>9113报文组装、发送</w:t>
      </w:r>
    </w:p>
    <w:p>
      <w:pPr>
        <w:pStyle w:val="43"/>
        <w:numPr>
          <w:ilvl w:val="0"/>
          <w:numId w:val="3"/>
        </w:numPr>
        <w:rPr>
          <w:rFonts w:hint="eastAsia" w:ascii="仿宋" w:hAnsi="仿宋" w:eastAsia="仿宋"/>
          <w:sz w:val="24"/>
        </w:rPr>
      </w:pPr>
      <w:r>
        <w:rPr>
          <w:rFonts w:hint="eastAsia" w:ascii="仿宋" w:hAnsi="仿宋" w:eastAsia="仿宋"/>
          <w:sz w:val="24"/>
        </w:rPr>
        <w:t>事务管理</w:t>
      </w:r>
    </w:p>
    <w:p>
      <w:pPr>
        <w:pStyle w:val="43"/>
        <w:numPr>
          <w:ilvl w:val="0"/>
          <w:numId w:val="3"/>
        </w:numPr>
        <w:rPr>
          <w:rFonts w:hint="eastAsia" w:ascii="仿宋" w:hAnsi="仿宋" w:eastAsia="仿宋"/>
          <w:sz w:val="24"/>
        </w:rPr>
      </w:pPr>
      <w:r>
        <w:rPr>
          <w:rFonts w:hint="eastAsia" w:ascii="仿宋" w:hAnsi="仿宋" w:eastAsia="仿宋"/>
          <w:sz w:val="24"/>
        </w:rPr>
        <w:t>交易管理</w:t>
      </w:r>
    </w:p>
    <w:p>
      <w:pPr>
        <w:pStyle w:val="43"/>
        <w:numPr>
          <w:ilvl w:val="0"/>
          <w:numId w:val="3"/>
        </w:numPr>
        <w:rPr>
          <w:rFonts w:hint="eastAsia" w:ascii="仿宋" w:hAnsi="仿宋" w:eastAsia="仿宋"/>
          <w:sz w:val="24"/>
        </w:rPr>
      </w:pPr>
      <w:r>
        <w:rPr>
          <w:rFonts w:hint="eastAsia" w:ascii="仿宋" w:hAnsi="仿宋" w:eastAsia="仿宋"/>
          <w:sz w:val="24"/>
        </w:rPr>
        <w:t>日志管理</w:t>
      </w:r>
    </w:p>
    <w:p>
      <w:pPr>
        <w:pStyle w:val="43"/>
        <w:numPr>
          <w:ilvl w:val="0"/>
          <w:numId w:val="3"/>
        </w:numPr>
        <w:rPr>
          <w:rFonts w:hint="eastAsia" w:ascii="仿宋" w:hAnsi="仿宋" w:eastAsia="仿宋"/>
          <w:sz w:val="24"/>
        </w:rPr>
      </w:pPr>
      <w:r>
        <w:rPr>
          <w:rFonts w:hint="eastAsia" w:ascii="仿宋" w:hAnsi="仿宋" w:eastAsia="仿宋"/>
          <w:sz w:val="24"/>
        </w:rPr>
        <w:t>连接池管理</w:t>
      </w:r>
    </w:p>
    <w:p>
      <w:pPr>
        <w:pStyle w:val="43"/>
        <w:numPr>
          <w:ilvl w:val="0"/>
          <w:numId w:val="3"/>
        </w:numPr>
        <w:rPr>
          <w:rFonts w:hint="eastAsia" w:ascii="仿宋" w:hAnsi="仿宋" w:eastAsia="仿宋"/>
          <w:sz w:val="24"/>
        </w:rPr>
      </w:pPr>
      <w:r>
        <w:rPr>
          <w:rFonts w:hint="eastAsia" w:ascii="仿宋" w:hAnsi="仿宋" w:eastAsia="仿宋"/>
          <w:sz w:val="24"/>
        </w:rPr>
        <w:t>回放工具</w:t>
      </w:r>
    </w:p>
    <w:p>
      <w:pPr>
        <w:pStyle w:val="43"/>
        <w:numPr>
          <w:ilvl w:val="0"/>
          <w:numId w:val="3"/>
        </w:numPr>
        <w:rPr>
          <w:rFonts w:hint="eastAsia" w:ascii="仿宋" w:hAnsi="仿宋" w:eastAsia="仿宋"/>
          <w:sz w:val="24"/>
        </w:rPr>
      </w:pPr>
      <w:r>
        <w:rPr>
          <w:rFonts w:hint="eastAsia" w:ascii="仿宋" w:hAnsi="仿宋" w:eastAsia="仿宋"/>
          <w:sz w:val="24"/>
        </w:rPr>
        <w:t>签名</w:t>
      </w:r>
    </w:p>
    <w:p>
      <w:pPr>
        <w:pStyle w:val="43"/>
        <w:numPr>
          <w:ilvl w:val="0"/>
          <w:numId w:val="3"/>
        </w:numPr>
        <w:rPr>
          <w:rFonts w:hint="eastAsia" w:ascii="仿宋" w:hAnsi="仿宋" w:eastAsia="仿宋"/>
          <w:sz w:val="24"/>
        </w:rPr>
      </w:pPr>
      <w:r>
        <w:rPr>
          <w:rFonts w:hint="eastAsia" w:ascii="仿宋" w:hAnsi="仿宋" w:eastAsia="仿宋"/>
          <w:sz w:val="24"/>
        </w:rPr>
        <w:t>验签</w:t>
      </w:r>
    </w:p>
    <w:p>
      <w:pPr>
        <w:pStyle w:val="43"/>
        <w:numPr>
          <w:ilvl w:val="0"/>
          <w:numId w:val="3"/>
        </w:numPr>
        <w:rPr>
          <w:rFonts w:hint="eastAsia" w:ascii="仿宋" w:hAnsi="仿宋" w:eastAsia="仿宋"/>
          <w:sz w:val="24"/>
        </w:rPr>
      </w:pPr>
      <w:r>
        <w:rPr>
          <w:rFonts w:hint="eastAsia" w:ascii="仿宋" w:hAnsi="仿宋" w:eastAsia="仿宋"/>
          <w:sz w:val="24"/>
        </w:rPr>
        <w:t>加密</w:t>
      </w:r>
    </w:p>
    <w:p>
      <w:pPr>
        <w:pStyle w:val="43"/>
        <w:numPr>
          <w:ilvl w:val="0"/>
          <w:numId w:val="3"/>
        </w:numPr>
        <w:rPr>
          <w:rFonts w:hint="eastAsia" w:ascii="仿宋" w:hAnsi="仿宋" w:eastAsia="仿宋"/>
          <w:sz w:val="24"/>
        </w:rPr>
      </w:pPr>
      <w:r>
        <w:rPr>
          <w:rFonts w:hint="eastAsia" w:ascii="仿宋" w:hAnsi="仿宋" w:eastAsia="仿宋"/>
          <w:sz w:val="24"/>
        </w:rPr>
        <w:t>解密</w:t>
      </w:r>
    </w:p>
    <w:p>
      <w:pPr>
        <w:pStyle w:val="43"/>
        <w:numPr>
          <w:ilvl w:val="0"/>
          <w:numId w:val="3"/>
        </w:numPr>
        <w:rPr>
          <w:rFonts w:hint="eastAsia" w:ascii="仿宋" w:hAnsi="仿宋" w:eastAsia="仿宋"/>
          <w:sz w:val="24"/>
        </w:rPr>
      </w:pPr>
      <w:r>
        <w:rPr>
          <w:rFonts w:hint="eastAsia" w:ascii="仿宋" w:hAnsi="仿宋" w:eastAsia="仿宋"/>
          <w:sz w:val="24"/>
        </w:rPr>
        <w:t>配置管理</w:t>
      </w:r>
    </w:p>
    <w:p>
      <w:pPr>
        <w:pStyle w:val="4"/>
        <w:rPr>
          <w:rStyle w:val="31"/>
          <w:rFonts w:hint="eastAsia" w:ascii="黑体" w:hAnsi="黑体" w:eastAsia="黑体"/>
          <w:color w:val="000000" w:themeColor="text1"/>
          <w:sz w:val="32"/>
          <w:szCs w:val="32"/>
          <w14:textFill>
            <w14:solidFill>
              <w14:schemeClr w14:val="tx1"/>
            </w14:solidFill>
          </w14:textFill>
        </w:rPr>
      </w:pPr>
      <w:bookmarkStart w:id="32" w:name="_Toc213606105"/>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1</w:t>
      </w:r>
      <w:r>
        <w:rPr>
          <w:rStyle w:val="31"/>
          <w:rFonts w:hint="eastAsia" w:ascii="黑体" w:hAnsi="黑体" w:eastAsia="黑体"/>
          <w:color w:val="000000" w:themeColor="text1"/>
          <w:sz w:val="32"/>
          <w:szCs w:val="32"/>
          <w14:textFill>
            <w14:solidFill>
              <w14:schemeClr w14:val="tx1"/>
            </w14:solidFill>
          </w14:textFill>
        </w:rPr>
        <w:t>.4开发基础数据处理程序</w:t>
      </w:r>
      <w:bookmarkEnd w:id="32"/>
    </w:p>
    <w:p>
      <w:pPr>
        <w:ind w:firstLine="607" w:firstLineChars="253"/>
        <w:rPr>
          <w:rFonts w:hint="eastAsia" w:ascii="仿宋" w:hAnsi="仿宋" w:eastAsia="仿宋"/>
          <w:sz w:val="24"/>
        </w:rPr>
      </w:pPr>
      <w:r>
        <w:rPr>
          <w:rFonts w:hint="eastAsia" w:ascii="仿宋" w:hAnsi="仿宋" w:eastAsia="仿宋"/>
          <w:sz w:val="24"/>
        </w:rPr>
        <w:t>基础数据处理包括数据库表的设计、业务逻辑的处理等系统核心功能。主要功能点如下：</w:t>
      </w:r>
    </w:p>
    <w:p>
      <w:pPr>
        <w:pStyle w:val="43"/>
        <w:numPr>
          <w:ilvl w:val="0"/>
          <w:numId w:val="3"/>
        </w:numPr>
        <w:rPr>
          <w:rFonts w:hint="eastAsia" w:ascii="仿宋" w:hAnsi="仿宋" w:eastAsia="仿宋"/>
          <w:sz w:val="24"/>
        </w:rPr>
      </w:pPr>
      <w:r>
        <w:rPr>
          <w:rFonts w:hint="eastAsia" w:ascii="仿宋" w:hAnsi="仿宋" w:eastAsia="仿宋"/>
          <w:sz w:val="24"/>
        </w:rPr>
        <w:t>3128业务逻辑处理</w:t>
      </w:r>
    </w:p>
    <w:p>
      <w:pPr>
        <w:pStyle w:val="43"/>
        <w:numPr>
          <w:ilvl w:val="0"/>
          <w:numId w:val="3"/>
        </w:numPr>
        <w:rPr>
          <w:rFonts w:hint="eastAsia" w:ascii="仿宋" w:hAnsi="仿宋" w:eastAsia="仿宋"/>
          <w:sz w:val="24"/>
        </w:rPr>
      </w:pPr>
      <w:r>
        <w:rPr>
          <w:rFonts w:hint="eastAsia" w:ascii="仿宋" w:hAnsi="仿宋" w:eastAsia="仿宋"/>
          <w:sz w:val="24"/>
        </w:rPr>
        <w:t>3129业务逻辑处理</w:t>
      </w:r>
    </w:p>
    <w:p>
      <w:pPr>
        <w:pStyle w:val="43"/>
        <w:numPr>
          <w:ilvl w:val="0"/>
          <w:numId w:val="3"/>
        </w:numPr>
        <w:rPr>
          <w:rFonts w:hint="eastAsia" w:ascii="仿宋" w:hAnsi="仿宋" w:eastAsia="仿宋"/>
          <w:sz w:val="24"/>
        </w:rPr>
      </w:pPr>
      <w:r>
        <w:rPr>
          <w:rFonts w:hint="eastAsia" w:ascii="仿宋" w:hAnsi="仿宋" w:eastAsia="仿宋"/>
          <w:sz w:val="24"/>
        </w:rPr>
        <w:t>3126业务逻辑处理</w:t>
      </w:r>
    </w:p>
    <w:p>
      <w:pPr>
        <w:pStyle w:val="43"/>
        <w:numPr>
          <w:ilvl w:val="0"/>
          <w:numId w:val="3"/>
        </w:numPr>
        <w:rPr>
          <w:rFonts w:hint="eastAsia" w:ascii="仿宋" w:hAnsi="仿宋" w:eastAsia="仿宋"/>
          <w:sz w:val="24"/>
        </w:rPr>
      </w:pPr>
      <w:r>
        <w:rPr>
          <w:rFonts w:hint="eastAsia" w:ascii="仿宋" w:hAnsi="仿宋" w:eastAsia="仿宋"/>
          <w:sz w:val="24"/>
        </w:rPr>
        <w:t>3139业务逻辑处理</w:t>
      </w:r>
    </w:p>
    <w:p>
      <w:pPr>
        <w:pStyle w:val="43"/>
        <w:numPr>
          <w:ilvl w:val="0"/>
          <w:numId w:val="3"/>
        </w:numPr>
        <w:rPr>
          <w:rFonts w:hint="eastAsia" w:ascii="仿宋" w:hAnsi="仿宋" w:eastAsia="仿宋"/>
          <w:sz w:val="24"/>
        </w:rPr>
      </w:pPr>
      <w:r>
        <w:rPr>
          <w:rFonts w:hint="eastAsia" w:ascii="仿宋" w:hAnsi="仿宋" w:eastAsia="仿宋"/>
          <w:sz w:val="24"/>
        </w:rPr>
        <w:t>3140业务逻辑处理</w:t>
      </w:r>
    </w:p>
    <w:p>
      <w:pPr>
        <w:pStyle w:val="43"/>
        <w:numPr>
          <w:ilvl w:val="0"/>
          <w:numId w:val="3"/>
        </w:numPr>
        <w:rPr>
          <w:rFonts w:hint="eastAsia" w:ascii="仿宋" w:hAnsi="仿宋" w:eastAsia="仿宋"/>
          <w:sz w:val="24"/>
        </w:rPr>
      </w:pPr>
      <w:r>
        <w:rPr>
          <w:rFonts w:hint="eastAsia" w:ascii="仿宋" w:hAnsi="仿宋" w:eastAsia="仿宋"/>
          <w:sz w:val="24"/>
        </w:rPr>
        <w:t>3141业务逻辑处理</w:t>
      </w:r>
    </w:p>
    <w:p>
      <w:pPr>
        <w:pStyle w:val="43"/>
        <w:numPr>
          <w:ilvl w:val="0"/>
          <w:numId w:val="3"/>
        </w:numPr>
        <w:rPr>
          <w:rFonts w:hint="eastAsia" w:ascii="仿宋" w:hAnsi="仿宋" w:eastAsia="仿宋"/>
          <w:sz w:val="24"/>
        </w:rPr>
      </w:pPr>
      <w:r>
        <w:rPr>
          <w:rFonts w:hint="eastAsia" w:ascii="仿宋" w:hAnsi="仿宋" w:eastAsia="仿宋"/>
          <w:sz w:val="24"/>
        </w:rPr>
        <w:t>3142业务逻辑处理</w:t>
      </w:r>
    </w:p>
    <w:p>
      <w:pPr>
        <w:pStyle w:val="43"/>
        <w:numPr>
          <w:ilvl w:val="0"/>
          <w:numId w:val="3"/>
        </w:numPr>
        <w:rPr>
          <w:rFonts w:hint="eastAsia" w:ascii="仿宋" w:hAnsi="仿宋" w:eastAsia="仿宋"/>
          <w:sz w:val="24"/>
        </w:rPr>
      </w:pPr>
      <w:r>
        <w:rPr>
          <w:rFonts w:hint="eastAsia" w:ascii="仿宋" w:hAnsi="仿宋" w:eastAsia="仿宋"/>
          <w:sz w:val="24"/>
        </w:rPr>
        <w:t>3143业务逻辑处理</w:t>
      </w:r>
    </w:p>
    <w:p>
      <w:pPr>
        <w:pStyle w:val="43"/>
        <w:numPr>
          <w:ilvl w:val="0"/>
          <w:numId w:val="3"/>
        </w:numPr>
        <w:rPr>
          <w:rFonts w:hint="eastAsia" w:ascii="仿宋" w:hAnsi="仿宋" w:eastAsia="仿宋"/>
          <w:sz w:val="24"/>
        </w:rPr>
      </w:pPr>
      <w:r>
        <w:rPr>
          <w:rFonts w:hint="eastAsia" w:ascii="仿宋" w:hAnsi="仿宋" w:eastAsia="仿宋"/>
          <w:sz w:val="24"/>
        </w:rPr>
        <w:t>3178业务逻辑处理</w:t>
      </w:r>
    </w:p>
    <w:p>
      <w:pPr>
        <w:pStyle w:val="43"/>
        <w:numPr>
          <w:ilvl w:val="0"/>
          <w:numId w:val="3"/>
        </w:numPr>
        <w:rPr>
          <w:rFonts w:hint="eastAsia" w:ascii="仿宋" w:hAnsi="仿宋" w:eastAsia="仿宋"/>
          <w:sz w:val="24"/>
        </w:rPr>
      </w:pPr>
      <w:r>
        <w:rPr>
          <w:rFonts w:hint="eastAsia" w:ascii="仿宋" w:hAnsi="仿宋" w:eastAsia="仿宋"/>
          <w:sz w:val="24"/>
        </w:rPr>
        <w:t>1001业务逻辑处理</w:t>
      </w:r>
    </w:p>
    <w:p>
      <w:pPr>
        <w:pStyle w:val="43"/>
        <w:numPr>
          <w:ilvl w:val="0"/>
          <w:numId w:val="3"/>
        </w:numPr>
        <w:rPr>
          <w:rFonts w:hint="eastAsia" w:ascii="仿宋" w:hAnsi="仿宋" w:eastAsia="仿宋"/>
          <w:sz w:val="24"/>
        </w:rPr>
      </w:pPr>
      <w:r>
        <w:rPr>
          <w:rFonts w:hint="eastAsia" w:ascii="仿宋" w:hAnsi="仿宋" w:eastAsia="仿宋"/>
          <w:sz w:val="24"/>
        </w:rPr>
        <w:t>1021业务逻辑处理</w:t>
      </w:r>
    </w:p>
    <w:p>
      <w:pPr>
        <w:pStyle w:val="43"/>
        <w:numPr>
          <w:ilvl w:val="0"/>
          <w:numId w:val="3"/>
        </w:numPr>
        <w:rPr>
          <w:rFonts w:hint="eastAsia" w:ascii="仿宋" w:hAnsi="仿宋" w:eastAsia="仿宋"/>
          <w:sz w:val="24"/>
        </w:rPr>
      </w:pPr>
      <w:r>
        <w:rPr>
          <w:rFonts w:hint="eastAsia" w:ascii="仿宋" w:hAnsi="仿宋" w:eastAsia="仿宋"/>
          <w:sz w:val="24"/>
        </w:rPr>
        <w:t>2001业务逻辑处理</w:t>
      </w:r>
    </w:p>
    <w:p>
      <w:pPr>
        <w:pStyle w:val="43"/>
        <w:numPr>
          <w:ilvl w:val="0"/>
          <w:numId w:val="3"/>
        </w:numPr>
        <w:rPr>
          <w:rFonts w:hint="eastAsia" w:ascii="仿宋" w:hAnsi="仿宋" w:eastAsia="仿宋"/>
          <w:sz w:val="24"/>
        </w:rPr>
      </w:pPr>
      <w:r>
        <w:rPr>
          <w:rFonts w:hint="eastAsia" w:ascii="仿宋" w:hAnsi="仿宋" w:eastAsia="仿宋"/>
          <w:sz w:val="24"/>
        </w:rPr>
        <w:t>9120业务逻辑处理</w:t>
      </w:r>
    </w:p>
    <w:p>
      <w:pPr>
        <w:pStyle w:val="43"/>
        <w:numPr>
          <w:ilvl w:val="0"/>
          <w:numId w:val="3"/>
        </w:numPr>
        <w:rPr>
          <w:rFonts w:hint="eastAsia" w:ascii="仿宋" w:hAnsi="仿宋" w:eastAsia="仿宋"/>
          <w:sz w:val="24"/>
        </w:rPr>
      </w:pPr>
      <w:r>
        <w:rPr>
          <w:rFonts w:hint="eastAsia" w:ascii="仿宋" w:hAnsi="仿宋" w:eastAsia="仿宋"/>
          <w:sz w:val="24"/>
        </w:rPr>
        <w:t>9121业务逻辑处理</w:t>
      </w:r>
    </w:p>
    <w:p>
      <w:pPr>
        <w:pStyle w:val="43"/>
        <w:numPr>
          <w:ilvl w:val="0"/>
          <w:numId w:val="3"/>
        </w:numPr>
        <w:rPr>
          <w:rFonts w:hint="eastAsia" w:ascii="仿宋" w:hAnsi="仿宋" w:eastAsia="仿宋"/>
          <w:sz w:val="24"/>
        </w:rPr>
      </w:pPr>
      <w:r>
        <w:rPr>
          <w:rFonts w:hint="eastAsia" w:ascii="仿宋" w:hAnsi="仿宋" w:eastAsia="仿宋"/>
          <w:sz w:val="24"/>
        </w:rPr>
        <w:t>9113业务逻辑处理</w:t>
      </w:r>
    </w:p>
    <w:p>
      <w:pPr>
        <w:pStyle w:val="43"/>
        <w:numPr>
          <w:ilvl w:val="0"/>
          <w:numId w:val="3"/>
        </w:numPr>
        <w:rPr>
          <w:rFonts w:hint="eastAsia" w:ascii="仿宋" w:hAnsi="仿宋" w:eastAsia="仿宋"/>
          <w:sz w:val="24"/>
        </w:rPr>
      </w:pPr>
      <w:r>
        <w:rPr>
          <w:rFonts w:hint="eastAsia" w:ascii="仿宋" w:hAnsi="仿宋" w:eastAsia="仿宋"/>
          <w:sz w:val="24"/>
        </w:rPr>
        <w:t>9114业务逻辑处理</w:t>
      </w:r>
    </w:p>
    <w:p>
      <w:pPr>
        <w:pStyle w:val="43"/>
        <w:numPr>
          <w:ilvl w:val="0"/>
          <w:numId w:val="3"/>
        </w:numPr>
        <w:rPr>
          <w:rFonts w:hint="eastAsia" w:ascii="仿宋" w:hAnsi="仿宋" w:eastAsia="仿宋"/>
          <w:sz w:val="24"/>
        </w:rPr>
      </w:pPr>
      <w:r>
        <w:rPr>
          <w:rFonts w:hint="eastAsia" w:ascii="仿宋" w:hAnsi="仿宋" w:eastAsia="仿宋"/>
          <w:sz w:val="24"/>
        </w:rPr>
        <w:t>9100业务逻辑处理</w:t>
      </w:r>
    </w:p>
    <w:p>
      <w:pPr>
        <w:pStyle w:val="43"/>
        <w:numPr>
          <w:ilvl w:val="0"/>
          <w:numId w:val="3"/>
        </w:numPr>
        <w:rPr>
          <w:rFonts w:hint="eastAsia" w:ascii="仿宋" w:hAnsi="仿宋" w:eastAsia="仿宋"/>
          <w:sz w:val="24"/>
        </w:rPr>
      </w:pPr>
      <w:r>
        <w:rPr>
          <w:rFonts w:hint="eastAsia" w:ascii="仿宋" w:hAnsi="仿宋" w:eastAsia="仿宋"/>
          <w:sz w:val="24"/>
        </w:rPr>
        <w:t>收入报表</w:t>
      </w:r>
    </w:p>
    <w:p>
      <w:pPr>
        <w:pStyle w:val="43"/>
        <w:numPr>
          <w:ilvl w:val="0"/>
          <w:numId w:val="3"/>
        </w:numPr>
        <w:rPr>
          <w:rFonts w:hint="eastAsia" w:ascii="仿宋" w:hAnsi="仿宋" w:eastAsia="仿宋"/>
          <w:sz w:val="24"/>
        </w:rPr>
      </w:pPr>
      <w:r>
        <w:rPr>
          <w:rFonts w:hint="eastAsia" w:ascii="仿宋" w:hAnsi="仿宋" w:eastAsia="仿宋"/>
          <w:sz w:val="24"/>
        </w:rPr>
        <w:t>收入报表明细</w:t>
      </w:r>
    </w:p>
    <w:p>
      <w:pPr>
        <w:pStyle w:val="43"/>
        <w:numPr>
          <w:ilvl w:val="0"/>
          <w:numId w:val="3"/>
        </w:numPr>
        <w:rPr>
          <w:rFonts w:hint="eastAsia" w:ascii="仿宋" w:hAnsi="仿宋" w:eastAsia="仿宋"/>
          <w:sz w:val="24"/>
        </w:rPr>
      </w:pPr>
      <w:r>
        <w:rPr>
          <w:rFonts w:hint="eastAsia" w:ascii="仿宋" w:hAnsi="仿宋" w:eastAsia="仿宋"/>
          <w:sz w:val="24"/>
        </w:rPr>
        <w:t>收入预测报表</w:t>
      </w:r>
    </w:p>
    <w:p>
      <w:pPr>
        <w:pStyle w:val="43"/>
        <w:numPr>
          <w:ilvl w:val="0"/>
          <w:numId w:val="3"/>
        </w:numPr>
        <w:rPr>
          <w:rFonts w:hint="eastAsia" w:ascii="仿宋" w:hAnsi="仿宋" w:eastAsia="仿宋"/>
          <w:sz w:val="24"/>
        </w:rPr>
      </w:pPr>
      <w:r>
        <w:rPr>
          <w:rFonts w:hint="eastAsia" w:ascii="仿宋" w:hAnsi="仿宋" w:eastAsia="仿宋"/>
          <w:sz w:val="24"/>
        </w:rPr>
        <w:t>收入报表汇总</w:t>
      </w:r>
    </w:p>
    <w:p>
      <w:pPr>
        <w:pStyle w:val="43"/>
        <w:numPr>
          <w:ilvl w:val="0"/>
          <w:numId w:val="3"/>
        </w:numPr>
        <w:rPr>
          <w:rFonts w:hint="eastAsia" w:ascii="仿宋" w:hAnsi="仿宋" w:eastAsia="仿宋"/>
          <w:sz w:val="24"/>
        </w:rPr>
      </w:pPr>
      <w:r>
        <w:rPr>
          <w:rFonts w:hint="eastAsia" w:ascii="仿宋" w:hAnsi="仿宋" w:eastAsia="仿宋"/>
          <w:sz w:val="24"/>
        </w:rPr>
        <w:t>T+0报表</w:t>
      </w:r>
    </w:p>
    <w:p>
      <w:pPr>
        <w:pStyle w:val="43"/>
        <w:numPr>
          <w:ilvl w:val="0"/>
          <w:numId w:val="3"/>
        </w:numPr>
        <w:rPr>
          <w:rFonts w:hint="eastAsia" w:ascii="仿宋" w:hAnsi="仿宋" w:eastAsia="仿宋"/>
          <w:sz w:val="24"/>
        </w:rPr>
      </w:pPr>
      <w:r>
        <w:rPr>
          <w:rFonts w:hint="eastAsia" w:ascii="仿宋" w:hAnsi="仿宋" w:eastAsia="仿宋"/>
          <w:sz w:val="24"/>
        </w:rPr>
        <w:t>收入报表合并</w:t>
      </w:r>
    </w:p>
    <w:p>
      <w:pPr>
        <w:pStyle w:val="43"/>
        <w:numPr>
          <w:ilvl w:val="0"/>
          <w:numId w:val="3"/>
        </w:numPr>
        <w:rPr>
          <w:rFonts w:hint="eastAsia" w:ascii="仿宋" w:hAnsi="仿宋" w:eastAsia="仿宋"/>
          <w:sz w:val="24"/>
        </w:rPr>
      </w:pPr>
      <w:r>
        <w:rPr>
          <w:rFonts w:hint="eastAsia" w:ascii="仿宋" w:hAnsi="仿宋" w:eastAsia="仿宋"/>
          <w:sz w:val="24"/>
        </w:rPr>
        <w:t>收入报表比对</w:t>
      </w:r>
    </w:p>
    <w:p>
      <w:pPr>
        <w:pStyle w:val="43"/>
        <w:numPr>
          <w:ilvl w:val="0"/>
          <w:numId w:val="3"/>
        </w:numPr>
        <w:rPr>
          <w:rFonts w:hint="eastAsia" w:ascii="仿宋" w:hAnsi="仿宋" w:eastAsia="仿宋"/>
          <w:sz w:val="24"/>
        </w:rPr>
      </w:pPr>
      <w:r>
        <w:rPr>
          <w:rFonts w:hint="eastAsia" w:ascii="仿宋" w:hAnsi="仿宋" w:eastAsia="仿宋"/>
          <w:sz w:val="24"/>
        </w:rPr>
        <w:t>库存报表</w:t>
      </w:r>
    </w:p>
    <w:p>
      <w:pPr>
        <w:pStyle w:val="43"/>
        <w:numPr>
          <w:ilvl w:val="0"/>
          <w:numId w:val="3"/>
        </w:numPr>
        <w:rPr>
          <w:rFonts w:hint="eastAsia" w:ascii="仿宋" w:hAnsi="仿宋" w:eastAsia="仿宋"/>
          <w:sz w:val="24"/>
        </w:rPr>
      </w:pPr>
      <w:r>
        <w:rPr>
          <w:rFonts w:hint="eastAsia" w:ascii="仿宋" w:hAnsi="仿宋" w:eastAsia="仿宋"/>
          <w:sz w:val="24"/>
        </w:rPr>
        <w:t>实时账户余额</w:t>
      </w:r>
    </w:p>
    <w:p>
      <w:pPr>
        <w:pStyle w:val="43"/>
        <w:numPr>
          <w:ilvl w:val="0"/>
          <w:numId w:val="3"/>
        </w:numPr>
        <w:rPr>
          <w:rFonts w:hint="eastAsia" w:ascii="仿宋" w:hAnsi="仿宋" w:eastAsia="仿宋"/>
          <w:sz w:val="24"/>
        </w:rPr>
      </w:pPr>
      <w:r>
        <w:rPr>
          <w:rFonts w:hint="eastAsia" w:ascii="仿宋" w:hAnsi="仿宋" w:eastAsia="仿宋"/>
          <w:sz w:val="24"/>
        </w:rPr>
        <w:t>重点税源税种统计</w:t>
      </w:r>
    </w:p>
    <w:p>
      <w:pPr>
        <w:pStyle w:val="43"/>
        <w:numPr>
          <w:ilvl w:val="0"/>
          <w:numId w:val="3"/>
        </w:numPr>
        <w:rPr>
          <w:rFonts w:hint="eastAsia" w:ascii="仿宋" w:hAnsi="仿宋" w:eastAsia="仿宋"/>
          <w:sz w:val="24"/>
        </w:rPr>
      </w:pPr>
      <w:r>
        <w:rPr>
          <w:rFonts w:hint="eastAsia" w:ascii="仿宋" w:hAnsi="仿宋" w:eastAsia="仿宋"/>
          <w:sz w:val="24"/>
        </w:rPr>
        <w:t>重点税源级次统计</w:t>
      </w:r>
    </w:p>
    <w:p>
      <w:pPr>
        <w:pStyle w:val="43"/>
        <w:numPr>
          <w:ilvl w:val="0"/>
          <w:numId w:val="3"/>
        </w:numPr>
        <w:rPr>
          <w:rFonts w:hint="eastAsia" w:ascii="仿宋" w:hAnsi="仿宋" w:eastAsia="仿宋"/>
          <w:sz w:val="24"/>
        </w:rPr>
      </w:pPr>
      <w:r>
        <w:rPr>
          <w:rFonts w:hint="eastAsia" w:ascii="仿宋" w:hAnsi="仿宋" w:eastAsia="仿宋"/>
          <w:sz w:val="24"/>
        </w:rPr>
        <w:t>重点税源行业统计</w:t>
      </w:r>
    </w:p>
    <w:p>
      <w:pPr>
        <w:pStyle w:val="43"/>
        <w:numPr>
          <w:ilvl w:val="0"/>
          <w:numId w:val="3"/>
        </w:numPr>
        <w:rPr>
          <w:rFonts w:hint="eastAsia" w:ascii="仿宋" w:hAnsi="仿宋" w:eastAsia="仿宋"/>
          <w:sz w:val="24"/>
        </w:rPr>
      </w:pPr>
      <w:r>
        <w:rPr>
          <w:rFonts w:hint="eastAsia" w:ascii="仿宋" w:hAnsi="仿宋" w:eastAsia="仿宋"/>
          <w:sz w:val="24"/>
        </w:rPr>
        <w:t>定时批量事务处理</w:t>
      </w:r>
    </w:p>
    <w:p>
      <w:pPr>
        <w:pStyle w:val="43"/>
        <w:numPr>
          <w:ilvl w:val="0"/>
          <w:numId w:val="3"/>
        </w:numPr>
        <w:rPr>
          <w:rFonts w:hint="eastAsia" w:ascii="仿宋" w:hAnsi="仿宋" w:eastAsia="仿宋"/>
          <w:sz w:val="24"/>
        </w:rPr>
      </w:pPr>
      <w:r>
        <w:rPr>
          <w:rFonts w:hint="eastAsia" w:ascii="仿宋" w:hAnsi="仿宋" w:eastAsia="仿宋"/>
          <w:sz w:val="24"/>
        </w:rPr>
        <w:t>数据自动备份</w:t>
      </w:r>
    </w:p>
    <w:p>
      <w:pPr>
        <w:pStyle w:val="43"/>
        <w:numPr>
          <w:ilvl w:val="0"/>
          <w:numId w:val="3"/>
        </w:numPr>
        <w:rPr>
          <w:rFonts w:hint="eastAsia" w:ascii="仿宋" w:hAnsi="仿宋" w:eastAsia="仿宋"/>
          <w:sz w:val="24"/>
        </w:rPr>
      </w:pPr>
      <w:r>
        <w:rPr>
          <w:rFonts w:hint="eastAsia" w:ascii="仿宋" w:hAnsi="仿宋" w:eastAsia="仿宋"/>
          <w:sz w:val="24"/>
        </w:rPr>
        <w:t>用户登录管理</w:t>
      </w:r>
    </w:p>
    <w:p>
      <w:pPr>
        <w:pStyle w:val="43"/>
        <w:numPr>
          <w:ilvl w:val="0"/>
          <w:numId w:val="3"/>
        </w:numPr>
        <w:rPr>
          <w:rFonts w:hint="eastAsia" w:ascii="仿宋" w:hAnsi="仿宋" w:eastAsia="仿宋"/>
          <w:sz w:val="24"/>
        </w:rPr>
      </w:pPr>
      <w:r>
        <w:rPr>
          <w:rFonts w:hint="eastAsia" w:ascii="仿宋" w:hAnsi="仿宋" w:eastAsia="仿宋"/>
          <w:sz w:val="24"/>
        </w:rPr>
        <w:t>数据导出excel文件</w:t>
      </w:r>
    </w:p>
    <w:p>
      <w:pPr>
        <w:pStyle w:val="43"/>
        <w:numPr>
          <w:ilvl w:val="0"/>
          <w:numId w:val="3"/>
        </w:numPr>
        <w:rPr>
          <w:rFonts w:hint="eastAsia" w:ascii="仿宋" w:hAnsi="仿宋" w:eastAsia="仿宋"/>
          <w:sz w:val="24"/>
        </w:rPr>
      </w:pPr>
      <w:r>
        <w:rPr>
          <w:rFonts w:hint="eastAsia" w:ascii="仿宋" w:hAnsi="仿宋" w:eastAsia="仿宋"/>
          <w:sz w:val="24"/>
        </w:rPr>
        <w:t>与征管系统接口</w:t>
      </w:r>
    </w:p>
    <w:p>
      <w:pPr>
        <w:pStyle w:val="4"/>
        <w:rPr>
          <w:rStyle w:val="31"/>
          <w:rFonts w:hint="eastAsia" w:ascii="黑体" w:hAnsi="黑体" w:eastAsia="黑体"/>
          <w:color w:val="000000" w:themeColor="text1"/>
          <w:sz w:val="32"/>
          <w:szCs w:val="32"/>
          <w14:textFill>
            <w14:solidFill>
              <w14:schemeClr w14:val="tx1"/>
            </w14:solidFill>
          </w14:textFill>
        </w:rPr>
      </w:pPr>
      <w:bookmarkStart w:id="33" w:name="_Toc213606106"/>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1</w:t>
      </w:r>
      <w:r>
        <w:rPr>
          <w:rStyle w:val="31"/>
          <w:rFonts w:hint="eastAsia" w:ascii="黑体" w:hAnsi="黑体" w:eastAsia="黑体"/>
          <w:color w:val="000000" w:themeColor="text1"/>
          <w:sz w:val="32"/>
          <w:szCs w:val="32"/>
          <w14:textFill>
            <w14:solidFill>
              <w14:schemeClr w14:val="tx1"/>
            </w14:solidFill>
          </w14:textFill>
        </w:rPr>
        <w:t>.5</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hint="eastAsia" w:ascii="黑体" w:hAnsi="黑体" w:eastAsia="黑体"/>
          <w:color w:val="000000" w:themeColor="text1"/>
          <w:sz w:val="32"/>
          <w:szCs w:val="32"/>
          <w14:textFill>
            <w14:solidFill>
              <w14:schemeClr w14:val="tx1"/>
            </w14:solidFill>
          </w14:textFill>
        </w:rPr>
        <w:t>预算收入综合查询系统应用程序</w:t>
      </w:r>
      <w:bookmarkEnd w:id="33"/>
    </w:p>
    <w:p>
      <w:pPr>
        <w:ind w:firstLine="607" w:firstLineChars="253"/>
        <w:rPr>
          <w:rFonts w:hint="eastAsia" w:ascii="仿宋" w:hAnsi="仿宋" w:eastAsia="仿宋"/>
          <w:sz w:val="24"/>
        </w:rPr>
      </w:pPr>
      <w:r>
        <w:rPr>
          <w:rFonts w:hint="eastAsia" w:ascii="仿宋" w:hAnsi="仿宋" w:eastAsia="仿宋"/>
          <w:sz w:val="24"/>
        </w:rPr>
        <w:t>预算收入综合查询系统应用程序主要功能（一级功能）如下；</w:t>
      </w:r>
    </w:p>
    <w:p>
      <w:pPr>
        <w:pStyle w:val="43"/>
        <w:numPr>
          <w:ilvl w:val="0"/>
          <w:numId w:val="3"/>
        </w:numPr>
        <w:rPr>
          <w:rFonts w:hint="eastAsia" w:ascii="仿宋" w:hAnsi="仿宋" w:eastAsia="仿宋"/>
          <w:sz w:val="24"/>
        </w:rPr>
      </w:pPr>
      <w:r>
        <w:rPr>
          <w:rFonts w:hint="eastAsia" w:ascii="仿宋" w:hAnsi="仿宋" w:eastAsia="仿宋"/>
          <w:sz w:val="24"/>
        </w:rPr>
        <w:t>收入报表</w:t>
      </w:r>
    </w:p>
    <w:p>
      <w:pPr>
        <w:pStyle w:val="43"/>
        <w:numPr>
          <w:ilvl w:val="0"/>
          <w:numId w:val="3"/>
        </w:numPr>
        <w:rPr>
          <w:rFonts w:hint="eastAsia" w:ascii="仿宋" w:hAnsi="仿宋" w:eastAsia="仿宋"/>
          <w:sz w:val="24"/>
        </w:rPr>
      </w:pPr>
      <w:r>
        <w:rPr>
          <w:rFonts w:hint="eastAsia" w:ascii="仿宋" w:hAnsi="仿宋" w:eastAsia="仿宋"/>
          <w:sz w:val="24"/>
        </w:rPr>
        <w:t>收入报表明细</w:t>
      </w:r>
    </w:p>
    <w:p>
      <w:pPr>
        <w:pStyle w:val="43"/>
        <w:numPr>
          <w:ilvl w:val="0"/>
          <w:numId w:val="3"/>
        </w:numPr>
        <w:rPr>
          <w:rFonts w:hint="eastAsia" w:ascii="仿宋" w:hAnsi="仿宋" w:eastAsia="仿宋"/>
          <w:sz w:val="24"/>
        </w:rPr>
      </w:pPr>
      <w:r>
        <w:rPr>
          <w:rFonts w:hint="eastAsia" w:ascii="仿宋" w:hAnsi="仿宋" w:eastAsia="仿宋"/>
          <w:sz w:val="24"/>
        </w:rPr>
        <w:t>收入报表汇总</w:t>
      </w:r>
    </w:p>
    <w:p>
      <w:pPr>
        <w:pStyle w:val="43"/>
        <w:numPr>
          <w:ilvl w:val="0"/>
          <w:numId w:val="3"/>
        </w:numPr>
        <w:rPr>
          <w:rFonts w:hint="eastAsia" w:ascii="仿宋" w:hAnsi="仿宋" w:eastAsia="仿宋"/>
          <w:sz w:val="24"/>
        </w:rPr>
      </w:pPr>
      <w:r>
        <w:rPr>
          <w:rFonts w:hint="eastAsia" w:ascii="仿宋" w:hAnsi="仿宋" w:eastAsia="仿宋"/>
          <w:sz w:val="24"/>
        </w:rPr>
        <w:t>收入报表预测</w:t>
      </w:r>
    </w:p>
    <w:p>
      <w:pPr>
        <w:pStyle w:val="43"/>
        <w:numPr>
          <w:ilvl w:val="0"/>
          <w:numId w:val="3"/>
        </w:numPr>
        <w:rPr>
          <w:rFonts w:hint="eastAsia" w:ascii="仿宋" w:hAnsi="仿宋" w:eastAsia="仿宋"/>
          <w:sz w:val="24"/>
        </w:rPr>
      </w:pPr>
      <w:r>
        <w:rPr>
          <w:rFonts w:hint="eastAsia" w:ascii="仿宋" w:hAnsi="仿宋" w:eastAsia="仿宋"/>
          <w:sz w:val="24"/>
        </w:rPr>
        <w:t>T+0报表</w:t>
      </w:r>
    </w:p>
    <w:p>
      <w:pPr>
        <w:pStyle w:val="43"/>
        <w:numPr>
          <w:ilvl w:val="0"/>
          <w:numId w:val="3"/>
        </w:numPr>
        <w:rPr>
          <w:rFonts w:hint="eastAsia" w:ascii="仿宋" w:hAnsi="仿宋" w:eastAsia="仿宋"/>
          <w:sz w:val="24"/>
        </w:rPr>
      </w:pPr>
      <w:r>
        <w:rPr>
          <w:rFonts w:hint="eastAsia" w:ascii="仿宋" w:hAnsi="仿宋" w:eastAsia="仿宋"/>
          <w:sz w:val="24"/>
        </w:rPr>
        <w:t>库存日报</w:t>
      </w:r>
    </w:p>
    <w:p>
      <w:pPr>
        <w:pStyle w:val="43"/>
        <w:numPr>
          <w:ilvl w:val="0"/>
          <w:numId w:val="3"/>
        </w:numPr>
        <w:rPr>
          <w:rFonts w:hint="eastAsia" w:ascii="仿宋" w:hAnsi="仿宋" w:eastAsia="仿宋"/>
          <w:sz w:val="24"/>
        </w:rPr>
      </w:pPr>
      <w:r>
        <w:rPr>
          <w:rFonts w:hint="eastAsia" w:ascii="仿宋" w:hAnsi="仿宋" w:eastAsia="仿宋"/>
          <w:sz w:val="24"/>
        </w:rPr>
        <w:t>实时账户余额</w:t>
      </w:r>
    </w:p>
    <w:p>
      <w:pPr>
        <w:pStyle w:val="43"/>
        <w:numPr>
          <w:ilvl w:val="0"/>
          <w:numId w:val="3"/>
        </w:numPr>
        <w:rPr>
          <w:rFonts w:hint="eastAsia" w:ascii="仿宋" w:hAnsi="仿宋" w:eastAsia="仿宋"/>
          <w:sz w:val="24"/>
        </w:rPr>
      </w:pPr>
      <w:r>
        <w:rPr>
          <w:rFonts w:hint="eastAsia" w:ascii="仿宋" w:hAnsi="仿宋" w:eastAsia="仿宋"/>
          <w:sz w:val="24"/>
        </w:rPr>
        <w:t>重点税源监控</w:t>
      </w:r>
    </w:p>
    <w:p>
      <w:pPr>
        <w:pStyle w:val="43"/>
        <w:numPr>
          <w:ilvl w:val="0"/>
          <w:numId w:val="3"/>
        </w:numPr>
        <w:rPr>
          <w:rFonts w:hint="eastAsia" w:ascii="仿宋" w:hAnsi="仿宋" w:eastAsia="仿宋"/>
          <w:sz w:val="24"/>
        </w:rPr>
      </w:pPr>
      <w:r>
        <w:rPr>
          <w:rFonts w:hint="eastAsia" w:ascii="仿宋" w:hAnsi="仿宋" w:eastAsia="仿宋"/>
          <w:sz w:val="24"/>
        </w:rPr>
        <w:t>纳税税种统计</w:t>
      </w:r>
    </w:p>
    <w:p>
      <w:pPr>
        <w:pStyle w:val="43"/>
        <w:numPr>
          <w:ilvl w:val="0"/>
          <w:numId w:val="3"/>
        </w:numPr>
        <w:rPr>
          <w:rFonts w:hint="eastAsia" w:ascii="仿宋" w:hAnsi="仿宋" w:eastAsia="仿宋"/>
          <w:sz w:val="24"/>
        </w:rPr>
      </w:pPr>
      <w:r>
        <w:rPr>
          <w:rFonts w:hint="eastAsia" w:ascii="仿宋" w:hAnsi="仿宋" w:eastAsia="仿宋"/>
          <w:sz w:val="24"/>
        </w:rPr>
        <w:t>纳税级次统计</w:t>
      </w:r>
    </w:p>
    <w:p>
      <w:pPr>
        <w:pStyle w:val="43"/>
        <w:numPr>
          <w:ilvl w:val="0"/>
          <w:numId w:val="3"/>
        </w:numPr>
        <w:rPr>
          <w:rFonts w:hint="eastAsia" w:ascii="仿宋" w:hAnsi="仿宋" w:eastAsia="仿宋"/>
          <w:sz w:val="24"/>
        </w:rPr>
      </w:pPr>
      <w:r>
        <w:rPr>
          <w:rFonts w:hint="eastAsia" w:ascii="仿宋" w:hAnsi="仿宋" w:eastAsia="仿宋"/>
          <w:sz w:val="24"/>
        </w:rPr>
        <w:t>行业统计报表</w:t>
      </w:r>
    </w:p>
    <w:p>
      <w:pPr>
        <w:ind w:firstLine="607" w:firstLineChars="253"/>
        <w:rPr>
          <w:rFonts w:hint="eastAsia" w:ascii="仿宋" w:hAnsi="仿宋" w:eastAsia="仿宋"/>
          <w:sz w:val="24"/>
        </w:rPr>
      </w:pPr>
    </w:p>
    <w:p>
      <w:pPr>
        <w:pStyle w:val="4"/>
        <w:rPr>
          <w:rFonts w:hint="eastAsia"/>
        </w:rPr>
      </w:pPr>
      <w:bookmarkStart w:id="34" w:name="_Toc213606110"/>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 xml:space="preserve"> 应用支撑平台</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ascii="黑体" w:hAnsi="黑体" w:eastAsia="黑体"/>
          <w:color w:val="000000" w:themeColor="text1"/>
          <w:sz w:val="32"/>
          <w:szCs w:val="32"/>
          <w14:textFill>
            <w14:solidFill>
              <w14:schemeClr w14:val="tx1"/>
            </w14:solidFill>
          </w14:textFill>
        </w:rPr>
        <w:t>方案</w:t>
      </w:r>
      <w:bookmarkEnd w:id="34"/>
      <w:r>
        <w:t xml:space="preserve"> </w:t>
      </w:r>
    </w:p>
    <w:p>
      <w:pPr>
        <w:ind w:firstLine="607" w:firstLineChars="253"/>
        <w:rPr>
          <w:rFonts w:hint="eastAsia" w:ascii="仿宋" w:hAnsi="仿宋" w:eastAsia="仿宋"/>
          <w:sz w:val="24"/>
        </w:rPr>
      </w:pPr>
      <w:r>
        <w:rPr>
          <w:rFonts w:hint="eastAsia" w:ascii="仿宋" w:hAnsi="仿宋" w:eastAsia="仿宋"/>
          <w:sz w:val="24"/>
        </w:rPr>
        <w:t>根据国产硬件、软件技术现状选择技术成熟、市场认可、性价比适中的硬件、软件产品。</w:t>
      </w:r>
    </w:p>
    <w:p>
      <w:pPr>
        <w:ind w:firstLine="607" w:firstLineChars="253"/>
        <w:rPr>
          <w:rFonts w:hint="eastAsia" w:ascii="仿宋" w:hAnsi="仿宋" w:eastAsia="仿宋"/>
          <w:sz w:val="24"/>
        </w:rPr>
      </w:pPr>
      <w:r>
        <w:rPr>
          <w:rFonts w:hint="eastAsia" w:ascii="仿宋" w:hAnsi="仿宋" w:eastAsia="仿宋"/>
          <w:sz w:val="24"/>
        </w:rPr>
        <w:t>数据库服务器选择以海光74系列CPU为基础的硬件平台，128G内存、6块SSD1.8T企业级固态硬盘、RAID5阵列。</w:t>
      </w:r>
    </w:p>
    <w:p>
      <w:pPr>
        <w:ind w:firstLine="607" w:firstLineChars="253"/>
        <w:rPr>
          <w:rFonts w:hint="eastAsia" w:ascii="仿宋" w:hAnsi="仿宋" w:eastAsia="仿宋"/>
          <w:sz w:val="24"/>
        </w:rPr>
      </w:pPr>
      <w:r>
        <w:rPr>
          <w:rFonts w:hint="eastAsia" w:ascii="仿宋" w:hAnsi="仿宋" w:eastAsia="仿宋"/>
          <w:sz w:val="24"/>
        </w:rPr>
        <w:t>应用服务器选择以海光54系列CPU为基础的硬件平台，32G内存、3块960G(15000rpm)机械硬盘、RAID5阵列。</w:t>
      </w:r>
    </w:p>
    <w:p>
      <w:pPr>
        <w:ind w:firstLine="607" w:firstLineChars="253"/>
        <w:rPr>
          <w:rFonts w:hint="eastAsia" w:ascii="仿宋" w:hAnsi="仿宋" w:eastAsia="仿宋"/>
          <w:sz w:val="24"/>
        </w:rPr>
      </w:pPr>
      <w:r>
        <w:rPr>
          <w:rFonts w:hint="eastAsia" w:ascii="仿宋" w:hAnsi="仿宋" w:eastAsia="仿宋"/>
          <w:sz w:val="24"/>
        </w:rPr>
        <w:t>银河麒麟服务器操作系统、达梦数据库、东方通应用中间件。</w:t>
      </w:r>
      <w:r>
        <w:t xml:space="preserve"> </w:t>
      </w:r>
    </w:p>
    <w:p>
      <w:pPr>
        <w:pStyle w:val="4"/>
        <w:rPr>
          <w:rStyle w:val="31"/>
          <w:rFonts w:hint="eastAsia" w:ascii="黑体" w:hAnsi="黑体" w:eastAsia="黑体"/>
          <w:color w:val="000000" w:themeColor="text1"/>
          <w:sz w:val="32"/>
          <w:szCs w:val="32"/>
          <w14:textFill>
            <w14:solidFill>
              <w14:schemeClr w14:val="tx1"/>
            </w14:solidFill>
          </w14:textFill>
        </w:rPr>
      </w:pPr>
      <w:bookmarkStart w:id="35" w:name="_Toc213606124"/>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hint="eastAsia" w:ascii="黑体" w:hAnsi="黑体" w:eastAsia="黑体"/>
          <w:color w:val="000000" w:themeColor="text1"/>
          <w:sz w:val="32"/>
          <w:szCs w:val="32"/>
          <w14:textFill>
            <w14:solidFill>
              <w14:schemeClr w14:val="tx1"/>
            </w14:solidFill>
          </w14:textFill>
        </w:rPr>
        <w:t>.1服务端自主可控情况</w:t>
      </w:r>
      <w:bookmarkEnd w:id="35"/>
    </w:p>
    <w:p>
      <w:pPr>
        <w:ind w:firstLine="607" w:firstLineChars="253"/>
        <w:rPr>
          <w:rFonts w:hint="eastAsia" w:ascii="仿宋" w:hAnsi="仿宋" w:eastAsia="仿宋"/>
          <w:sz w:val="24"/>
        </w:rPr>
      </w:pPr>
      <w:r>
        <w:rPr>
          <w:rFonts w:ascii="仿宋" w:hAnsi="仿宋" w:eastAsia="仿宋"/>
          <w:sz w:val="24"/>
        </w:rPr>
        <w:t>本项目</w:t>
      </w:r>
      <w:r>
        <w:rPr>
          <w:rFonts w:hint="eastAsia" w:ascii="仿宋" w:hAnsi="仿宋" w:eastAsia="仿宋"/>
          <w:sz w:val="24"/>
        </w:rPr>
        <w:t>系统所使用的资源情况如下表：</w:t>
      </w:r>
    </w:p>
    <w:p>
      <w:pPr>
        <w:ind w:firstLine="607" w:firstLineChars="253"/>
        <w:rPr>
          <w:rFonts w:hint="eastAsia" w:ascii="仿宋" w:hAnsi="仿宋" w:eastAsia="仿宋"/>
          <w:sz w:val="24"/>
        </w:rPr>
      </w:pPr>
      <w:r>
        <w:rPr>
          <w:rFonts w:hint="eastAsia" w:ascii="仿宋" w:hAnsi="仿宋" w:eastAsia="仿宋"/>
          <w:sz w:val="24"/>
        </w:rPr>
        <w:t>根据项目需求，需要采购自主可控的国产化数据库及操作系统，并选用国产化服务器硬件。为更好地适配预算收入综合查询系统的特性，建议数据库采用达梦数据库，操作系统银河麒麟服务器操作系统，中间件采用东方通，经测评，此组合搭配与预算收入综合查询系统的兼容性可达最优。如下表：</w:t>
      </w:r>
    </w:p>
    <w:tbl>
      <w:tblPr>
        <w:tblStyle w:val="26"/>
        <w:tblW w:w="49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5"/>
        <w:gridCol w:w="1842"/>
        <w:gridCol w:w="2875"/>
        <w:gridCol w:w="2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 w:type="pct"/>
            <w:shd w:val="clear" w:color="auto" w:fill="D8D8D8" w:themeFill="background1" w:themeFillShade="D9"/>
          </w:tcPr>
          <w:p>
            <w:pPr>
              <w:spacing w:after="160" w:line="278" w:lineRule="auto"/>
              <w:ind w:firstLine="312" w:firstLineChars="130"/>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序号</w:t>
            </w:r>
          </w:p>
        </w:tc>
        <w:tc>
          <w:tcPr>
            <w:tcW w:w="1091" w:type="pct"/>
            <w:shd w:val="clear" w:color="auto" w:fill="D8D8D8" w:themeFill="background1" w:themeFillShade="D9"/>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类型</w:t>
            </w:r>
          </w:p>
        </w:tc>
        <w:tc>
          <w:tcPr>
            <w:tcW w:w="1703" w:type="pct"/>
            <w:shd w:val="clear" w:color="auto" w:fill="D8D8D8" w:themeFill="background1" w:themeFillShade="D9"/>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品牌型号</w:t>
            </w:r>
          </w:p>
        </w:tc>
        <w:tc>
          <w:tcPr>
            <w:tcW w:w="1552" w:type="pct"/>
            <w:shd w:val="clear" w:color="auto" w:fill="D8D8D8" w:themeFill="background1" w:themeFillShade="D9"/>
          </w:tcPr>
          <w:p>
            <w:pPr>
              <w:spacing w:after="160" w:line="278" w:lineRule="auto"/>
              <w:ind w:firstLine="163" w:firstLineChars="68"/>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 w:type="pct"/>
            <w:vAlign w:val="center"/>
          </w:tcPr>
          <w:p>
            <w:pPr>
              <w:spacing w:after="160" w:line="278" w:lineRule="auto"/>
              <w:ind w:firstLine="312" w:firstLineChars="130"/>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1</w:t>
            </w:r>
          </w:p>
        </w:tc>
        <w:tc>
          <w:tcPr>
            <w:tcW w:w="1091" w:type="pct"/>
            <w:vAlign w:val="center"/>
          </w:tcPr>
          <w:p>
            <w:pPr>
              <w:spacing w:after="160" w:line="278" w:lineRule="auto"/>
              <w:ind w:firstLine="240" w:firstLineChars="100"/>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操作系统</w:t>
            </w:r>
          </w:p>
        </w:tc>
        <w:tc>
          <w:tcPr>
            <w:tcW w:w="1703" w:type="pct"/>
            <w:vAlign w:val="center"/>
          </w:tcPr>
          <w:p>
            <w:pPr>
              <w:spacing w:after="160" w:line="278" w:lineRule="auto"/>
              <w:ind w:firstLine="196" w:firstLineChars="82"/>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银河麒麟服务器操作系统</w:t>
            </w:r>
          </w:p>
        </w:tc>
        <w:tc>
          <w:tcPr>
            <w:tcW w:w="1552" w:type="pct"/>
            <w:vAlign w:val="center"/>
          </w:tcPr>
          <w:p>
            <w:pPr>
              <w:spacing w:after="160" w:line="278" w:lineRule="auto"/>
              <w:ind w:firstLine="163" w:firstLineChars="68"/>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5" w:type="pct"/>
            <w:vAlign w:val="center"/>
          </w:tcPr>
          <w:p>
            <w:pPr>
              <w:spacing w:after="160" w:line="278" w:lineRule="auto"/>
              <w:ind w:firstLine="312" w:firstLineChars="130"/>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2</w:t>
            </w:r>
          </w:p>
        </w:tc>
        <w:tc>
          <w:tcPr>
            <w:tcW w:w="1091" w:type="pct"/>
            <w:vAlign w:val="center"/>
          </w:tcPr>
          <w:p>
            <w:pPr>
              <w:spacing w:after="160" w:line="278" w:lineRule="auto"/>
              <w:ind w:firstLine="240" w:firstLineChars="100"/>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数据库</w:t>
            </w:r>
          </w:p>
        </w:tc>
        <w:tc>
          <w:tcPr>
            <w:tcW w:w="1703" w:type="pct"/>
            <w:vAlign w:val="center"/>
          </w:tcPr>
          <w:p>
            <w:pPr>
              <w:spacing w:after="160" w:line="278" w:lineRule="auto"/>
              <w:ind w:firstLine="196" w:firstLineChars="82"/>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达梦数据库</w:t>
            </w:r>
          </w:p>
        </w:tc>
        <w:tc>
          <w:tcPr>
            <w:tcW w:w="1552" w:type="pct"/>
            <w:vAlign w:val="center"/>
          </w:tcPr>
          <w:p>
            <w:pPr>
              <w:spacing w:after="160" w:line="278" w:lineRule="auto"/>
              <w:ind w:firstLine="163" w:firstLineChars="68"/>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55" w:type="pct"/>
            <w:vAlign w:val="center"/>
          </w:tcPr>
          <w:p>
            <w:pPr>
              <w:spacing w:after="0" w:line="240" w:lineRule="auto"/>
              <w:ind w:firstLine="312" w:firstLineChars="130"/>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3</w:t>
            </w:r>
          </w:p>
        </w:tc>
        <w:tc>
          <w:tcPr>
            <w:tcW w:w="1091" w:type="pct"/>
            <w:vAlign w:val="center"/>
          </w:tcPr>
          <w:p>
            <w:pPr>
              <w:spacing w:after="0" w:line="240" w:lineRule="auto"/>
              <w:ind w:firstLine="240" w:firstLineChars="100"/>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应用中间件</w:t>
            </w:r>
          </w:p>
        </w:tc>
        <w:tc>
          <w:tcPr>
            <w:tcW w:w="1703" w:type="pct"/>
            <w:vAlign w:val="center"/>
          </w:tcPr>
          <w:p>
            <w:pPr>
              <w:spacing w:after="0" w:line="240" w:lineRule="auto"/>
              <w:ind w:firstLine="196" w:firstLineChars="82"/>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东方通TongWeb</w:t>
            </w:r>
          </w:p>
        </w:tc>
        <w:tc>
          <w:tcPr>
            <w:tcW w:w="1552" w:type="pct"/>
            <w:vAlign w:val="center"/>
          </w:tcPr>
          <w:p>
            <w:pPr>
              <w:spacing w:after="0" w:line="240" w:lineRule="auto"/>
              <w:ind w:firstLine="163" w:firstLineChars="68"/>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1</w:t>
            </w:r>
          </w:p>
        </w:tc>
      </w:tr>
    </w:tbl>
    <w:p>
      <w:pPr>
        <w:pStyle w:val="4"/>
        <w:rPr>
          <w:rStyle w:val="31"/>
          <w:rFonts w:hint="eastAsia" w:ascii="黑体" w:hAnsi="黑体" w:eastAsia="黑体"/>
          <w:color w:val="000000" w:themeColor="text1"/>
          <w:sz w:val="32"/>
          <w:szCs w:val="32"/>
          <w14:textFill>
            <w14:solidFill>
              <w14:schemeClr w14:val="tx1"/>
            </w14:solidFill>
          </w14:textFill>
        </w:rPr>
      </w:pPr>
      <w:bookmarkStart w:id="36" w:name="_Toc213606125"/>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hint="eastAsia" w:ascii="黑体" w:hAnsi="黑体" w:eastAsia="黑体"/>
          <w:color w:val="000000" w:themeColor="text1"/>
          <w:sz w:val="32"/>
          <w:szCs w:val="32"/>
          <w14:textFill>
            <w14:solidFill>
              <w14:schemeClr w14:val="tx1"/>
            </w14:solidFill>
          </w14:textFill>
        </w:rPr>
        <w:t>.2系统软硬件清单</w:t>
      </w:r>
      <w:bookmarkEnd w:id="36"/>
    </w:p>
    <w:p>
      <w:pPr>
        <w:ind w:firstLine="607" w:firstLineChars="253"/>
        <w:rPr>
          <w:rFonts w:hint="eastAsia" w:ascii="仿宋" w:hAnsi="仿宋" w:eastAsia="仿宋"/>
          <w:sz w:val="24"/>
        </w:rPr>
      </w:pPr>
      <w:r>
        <w:rPr>
          <w:rFonts w:hint="eastAsia" w:ascii="仿宋" w:hAnsi="仿宋" w:eastAsia="仿宋"/>
          <w:sz w:val="24"/>
        </w:rPr>
        <w:t>本项目所涉及成品软硬件配置情况如下表：</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1841"/>
        <w:gridCol w:w="2127"/>
        <w:gridCol w:w="2408"/>
        <w:gridCol w:w="1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shd w:val="clear" w:color="auto" w:fill="D8D8D8" w:themeFill="background1" w:themeFillShade="D9"/>
          </w:tcPr>
          <w:p>
            <w:pPr>
              <w:spacing w:after="160" w:line="278" w:lineRule="auto"/>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序号</w:t>
            </w:r>
          </w:p>
        </w:tc>
        <w:tc>
          <w:tcPr>
            <w:tcW w:w="1080" w:type="pct"/>
            <w:shd w:val="clear" w:color="auto" w:fill="D8D8D8" w:themeFill="background1" w:themeFillShade="D9"/>
          </w:tcPr>
          <w:p>
            <w:pPr>
              <w:spacing w:after="160" w:line="278" w:lineRule="auto"/>
              <w:ind w:firstLine="381" w:firstLineChars="159"/>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类型</w:t>
            </w:r>
          </w:p>
        </w:tc>
        <w:tc>
          <w:tcPr>
            <w:tcW w:w="1248" w:type="pct"/>
            <w:shd w:val="clear" w:color="auto" w:fill="D8D8D8" w:themeFill="background1" w:themeFillShade="D9"/>
          </w:tcPr>
          <w:p>
            <w:pPr>
              <w:spacing w:after="160" w:line="278" w:lineRule="auto"/>
              <w:ind w:firstLine="448" w:firstLineChars="187"/>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现有</w:t>
            </w:r>
          </w:p>
        </w:tc>
        <w:tc>
          <w:tcPr>
            <w:tcW w:w="1413" w:type="pct"/>
            <w:shd w:val="clear" w:color="auto" w:fill="D8D8D8" w:themeFill="background1" w:themeFillShade="D9"/>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改造后</w:t>
            </w:r>
          </w:p>
        </w:tc>
        <w:tc>
          <w:tcPr>
            <w:tcW w:w="612" w:type="pct"/>
            <w:shd w:val="clear" w:color="auto" w:fill="D8D8D8" w:themeFill="background1" w:themeFillShade="D9"/>
          </w:tcPr>
          <w:p>
            <w:pPr>
              <w:spacing w:after="160" w:line="278" w:lineRule="auto"/>
              <w:ind w:firstLine="163" w:firstLineChars="68"/>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1</w:t>
            </w:r>
          </w:p>
        </w:tc>
        <w:tc>
          <w:tcPr>
            <w:tcW w:w="1080" w:type="pct"/>
            <w:vAlign w:val="center"/>
          </w:tcPr>
          <w:p>
            <w:pPr>
              <w:spacing w:after="160" w:line="278" w:lineRule="auto"/>
              <w:ind w:firstLine="381" w:firstLineChars="159"/>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操作系统</w:t>
            </w:r>
          </w:p>
        </w:tc>
        <w:tc>
          <w:tcPr>
            <w:tcW w:w="1248" w:type="pct"/>
            <w:vAlign w:val="center"/>
          </w:tcPr>
          <w:p>
            <w:pPr>
              <w:spacing w:after="160" w:line="278" w:lineRule="auto"/>
              <w:ind w:firstLine="448" w:firstLineChars="187"/>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Linux</w:t>
            </w:r>
          </w:p>
        </w:tc>
        <w:tc>
          <w:tcPr>
            <w:tcW w:w="1413" w:type="pct"/>
            <w:vAlign w:val="center"/>
          </w:tcPr>
          <w:p>
            <w:pPr>
              <w:spacing w:after="160" w:line="278" w:lineRule="auto"/>
              <w:ind w:firstLine="232" w:firstLineChars="97"/>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银河麒麟服务器操作系统</w:t>
            </w:r>
          </w:p>
        </w:tc>
        <w:tc>
          <w:tcPr>
            <w:tcW w:w="612" w:type="pct"/>
            <w:vAlign w:val="center"/>
          </w:tcPr>
          <w:p>
            <w:pPr>
              <w:spacing w:after="160" w:line="278" w:lineRule="auto"/>
              <w:ind w:firstLine="163" w:firstLineChars="68"/>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pct"/>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2</w:t>
            </w:r>
          </w:p>
        </w:tc>
        <w:tc>
          <w:tcPr>
            <w:tcW w:w="1080" w:type="pct"/>
            <w:vAlign w:val="center"/>
          </w:tcPr>
          <w:p>
            <w:pPr>
              <w:spacing w:after="160" w:line="278" w:lineRule="auto"/>
              <w:ind w:firstLine="381" w:firstLineChars="159"/>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数据库</w:t>
            </w:r>
          </w:p>
        </w:tc>
        <w:tc>
          <w:tcPr>
            <w:tcW w:w="1248" w:type="pct"/>
            <w:vAlign w:val="center"/>
          </w:tcPr>
          <w:p>
            <w:pPr>
              <w:spacing w:after="160" w:line="278" w:lineRule="auto"/>
              <w:ind w:firstLine="448" w:firstLineChars="187"/>
              <w:rPr>
                <w:rFonts w:hint="eastAsia" w:ascii="仿宋" w:hAnsi="仿宋" w:eastAsia="仿宋" w:cstheme="minorBidi"/>
                <w:kern w:val="0"/>
                <w:sz w:val="24"/>
                <w:szCs w:val="24"/>
                <w14:ligatures w14:val="none"/>
              </w:rPr>
            </w:pPr>
            <w:r>
              <w:rPr>
                <w:rFonts w:ascii="仿宋" w:hAnsi="仿宋" w:eastAsia="仿宋" w:cstheme="minorBidi"/>
                <w:kern w:val="0"/>
                <w:sz w:val="24"/>
                <w:szCs w:val="24"/>
                <w14:ligatures w14:val="none"/>
              </w:rPr>
              <w:t>Oracle</w:t>
            </w:r>
          </w:p>
        </w:tc>
        <w:tc>
          <w:tcPr>
            <w:tcW w:w="1413" w:type="pct"/>
            <w:vAlign w:val="center"/>
          </w:tcPr>
          <w:p>
            <w:pPr>
              <w:spacing w:after="160" w:line="278" w:lineRule="auto"/>
              <w:ind w:firstLine="232" w:firstLineChars="97"/>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达梦</w:t>
            </w:r>
          </w:p>
        </w:tc>
        <w:tc>
          <w:tcPr>
            <w:tcW w:w="612" w:type="pct"/>
            <w:vAlign w:val="center"/>
          </w:tcPr>
          <w:p>
            <w:pPr>
              <w:spacing w:after="160" w:line="278" w:lineRule="auto"/>
              <w:ind w:firstLine="163" w:firstLineChars="68"/>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47" w:type="pct"/>
            <w:vAlign w:val="center"/>
          </w:tcPr>
          <w:p>
            <w:pPr>
              <w:spacing w:after="0" w:line="240" w:lineRule="auto"/>
              <w:ind w:firstLine="607" w:firstLineChars="253"/>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3</w:t>
            </w:r>
          </w:p>
        </w:tc>
        <w:tc>
          <w:tcPr>
            <w:tcW w:w="1080" w:type="pct"/>
            <w:vAlign w:val="center"/>
          </w:tcPr>
          <w:p>
            <w:pPr>
              <w:spacing w:after="0" w:line="240" w:lineRule="auto"/>
              <w:ind w:firstLine="381" w:firstLineChars="159"/>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中间件</w:t>
            </w:r>
          </w:p>
        </w:tc>
        <w:tc>
          <w:tcPr>
            <w:tcW w:w="1248" w:type="pct"/>
            <w:vAlign w:val="center"/>
          </w:tcPr>
          <w:p>
            <w:pPr>
              <w:spacing w:after="0" w:line="240" w:lineRule="auto"/>
              <w:ind w:firstLine="448" w:firstLineChars="187"/>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Weblogic</w:t>
            </w:r>
          </w:p>
        </w:tc>
        <w:tc>
          <w:tcPr>
            <w:tcW w:w="1413" w:type="pct"/>
            <w:vAlign w:val="center"/>
          </w:tcPr>
          <w:p>
            <w:pPr>
              <w:spacing w:after="0" w:line="240" w:lineRule="auto"/>
              <w:ind w:firstLine="232" w:firstLineChars="97"/>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东方通TongWeb</w:t>
            </w:r>
          </w:p>
        </w:tc>
        <w:tc>
          <w:tcPr>
            <w:tcW w:w="612" w:type="pct"/>
            <w:vAlign w:val="center"/>
          </w:tcPr>
          <w:p>
            <w:pPr>
              <w:spacing w:after="0" w:line="240" w:lineRule="auto"/>
              <w:ind w:firstLine="163" w:firstLineChars="68"/>
              <w:rPr>
                <w:rFonts w:hint="eastAsia" w:ascii="仿宋" w:hAnsi="仿宋" w:eastAsia="仿宋" w:cs="Times New Roman"/>
                <w:kern w:val="0"/>
                <w:sz w:val="24"/>
                <w:szCs w:val="20"/>
                <w14:ligatures w14:val="none"/>
              </w:rPr>
            </w:pPr>
            <w:r>
              <w:rPr>
                <w:rFonts w:hint="eastAsia" w:ascii="仿宋" w:hAnsi="仿宋" w:eastAsia="仿宋" w:cs="Times New Roman"/>
                <w:kern w:val="0"/>
                <w:sz w:val="24"/>
                <w:szCs w:val="20"/>
                <w14:ligatures w14:val="none"/>
              </w:rPr>
              <w:t>1</w:t>
            </w:r>
          </w:p>
        </w:tc>
      </w:tr>
    </w:tbl>
    <w:p>
      <w:pPr>
        <w:pStyle w:val="4"/>
        <w:rPr>
          <w:rStyle w:val="31"/>
          <w:rFonts w:hint="eastAsia" w:ascii="黑体" w:hAnsi="黑体" w:eastAsia="黑体"/>
          <w:color w:val="000000" w:themeColor="text1"/>
          <w:sz w:val="32"/>
          <w:szCs w:val="32"/>
          <w14:textFill>
            <w14:solidFill>
              <w14:schemeClr w14:val="tx1"/>
            </w14:solidFill>
          </w14:textFill>
        </w:rPr>
      </w:pPr>
      <w:bookmarkStart w:id="37" w:name="_Toc213606126"/>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2</w:t>
      </w:r>
      <w:r>
        <w:rPr>
          <w:rStyle w:val="31"/>
          <w:rFonts w:hint="eastAsia" w:ascii="黑体" w:hAnsi="黑体" w:eastAsia="黑体"/>
          <w:color w:val="000000" w:themeColor="text1"/>
          <w:sz w:val="32"/>
          <w:szCs w:val="32"/>
          <w14:textFill>
            <w14:solidFill>
              <w14:schemeClr w14:val="tx1"/>
            </w14:solidFill>
          </w14:textFill>
        </w:rPr>
        <w:t>.3信创技术路线</w:t>
      </w:r>
      <w:bookmarkEnd w:id="37"/>
    </w:p>
    <w:p>
      <w:pPr>
        <w:ind w:firstLine="607" w:firstLineChars="253"/>
        <w:rPr>
          <w:rFonts w:hint="eastAsia" w:ascii="仿宋" w:hAnsi="仿宋" w:eastAsia="仿宋"/>
          <w:sz w:val="24"/>
        </w:rPr>
      </w:pPr>
      <w:r>
        <w:rPr>
          <w:rFonts w:hint="eastAsia" w:ascii="仿宋" w:hAnsi="仿宋" w:eastAsia="仿宋"/>
          <w:sz w:val="24"/>
        </w:rPr>
        <w:t>本系统经国产化适配改造后，国产化兼容情况如下：</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6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项目名称</w:t>
            </w:r>
          </w:p>
        </w:tc>
        <w:tc>
          <w:tcPr>
            <w:tcW w:w="6854" w:type="dxa"/>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武汉市财政预算收入综合查询系统国产化改造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本系统兼容的通过国家安全可靠测评的</w:t>
            </w:r>
            <w:r>
              <w:rPr>
                <w:rFonts w:ascii="仿宋" w:hAnsi="仿宋" w:eastAsia="仿宋" w:cstheme="minorBidi"/>
                <w:kern w:val="0"/>
                <w:sz w:val="24"/>
                <w:szCs w:val="24"/>
                <w14:ligatures w14:val="none"/>
              </w:rPr>
              <w:t>CPU</w:t>
            </w:r>
            <w:r>
              <w:rPr>
                <w:rFonts w:hint="eastAsia" w:ascii="仿宋" w:hAnsi="仿宋" w:eastAsia="仿宋" w:cstheme="minorBidi"/>
                <w:kern w:val="0"/>
                <w:sz w:val="24"/>
                <w:szCs w:val="24"/>
                <w14:ligatures w14:val="none"/>
              </w:rPr>
              <w:t>（据实勾选）：</w:t>
            </w:r>
          </w:p>
          <w:p>
            <w:pPr>
              <w:spacing w:after="0" w:line="360" w:lineRule="auto"/>
              <w:ind w:firstLine="560"/>
              <w:rPr>
                <w:rFonts w:hint="eastAsia" w:ascii="仿宋" w:hAnsi="仿宋" w:eastAsia="仿宋" w:cs="Times New Roman"/>
                <w:kern w:val="0"/>
                <w:sz w:val="28"/>
                <w:szCs w:val="28"/>
                <w14:ligatures w14:val="none"/>
              </w:rPr>
            </w:pPr>
            <w:r>
              <w:rPr>
                <w:rFonts w:hint="eastAsia" w:ascii="仿宋" w:hAnsi="仿宋" w:eastAsia="仿宋" w:cs="Times New Roman"/>
                <w:kern w:val="0"/>
                <w:sz w:val="24"/>
                <w:szCs w:val="24"/>
                <w14:ligatures w14:val="none"/>
              </w:rPr>
              <w:t>海光</w:t>
            </w:r>
            <w:r>
              <w:rPr>
                <w:rFonts w:ascii="Segoe UI Symbol" w:hAnsi="Segoe UI Symbol" w:eastAsia="仿宋" w:cs="Segoe UI Symbol"/>
                <w:kern w:val="0"/>
                <w:sz w:val="28"/>
                <w:szCs w:val="28"/>
                <w14:ligatures w14:val="none"/>
              </w:rPr>
              <w:t>☑</w:t>
            </w:r>
            <w:r>
              <w:rPr>
                <w:rFonts w:hint="eastAsia" w:ascii="Segoe UI Symbol" w:hAnsi="Segoe UI Symbol" w:eastAsia="仿宋" w:cs="Times New Roman"/>
                <w:kern w:val="0"/>
                <w:sz w:val="28"/>
                <w:szCs w:val="28"/>
                <w14:ligatures w14:val="none"/>
              </w:rPr>
              <w:t xml:space="preserve"> </w:t>
            </w:r>
            <w:r>
              <w:rPr>
                <w:rFonts w:hint="eastAsia" w:ascii="仿宋" w:hAnsi="仿宋" w:eastAsia="仿宋" w:cs="Times New Roman"/>
                <w:kern w:val="0"/>
                <w:sz w:val="24"/>
                <w:szCs w:val="24"/>
                <w14:ligatures w14:val="none"/>
              </w:rPr>
              <w:t>麒麟</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鲲鹏</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龙芯</w:t>
            </w:r>
            <w:r>
              <w:rPr>
                <w:rFonts w:hint="eastAsia" w:ascii="仿宋" w:hAnsi="仿宋" w:eastAsia="仿宋" w:cs="Times New Roman"/>
                <w:kern w:val="0"/>
                <w:sz w:val="24"/>
                <w:szCs w:val="24"/>
                <w14:ligatures w14:val="none"/>
              </w:rPr>
              <w:sym w:font="Wingdings" w:char="00A8"/>
            </w:r>
          </w:p>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imes New Roman"/>
                <w:kern w:val="0"/>
                <w:sz w:val="24"/>
                <w:szCs w:val="24"/>
                <w14:ligatures w14:val="none"/>
              </w:rPr>
              <w:t>兆芯</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飞腾</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申威</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盘古</w:t>
            </w:r>
            <w:r>
              <w:rPr>
                <w:rFonts w:hint="eastAsia" w:ascii="仿宋" w:hAnsi="仿宋" w:eastAsia="仿宋" w:cs="Times New Roman"/>
                <w:kern w:val="0"/>
                <w:sz w:val="24"/>
                <w:szCs w:val="24"/>
                <w14:ligatures w14:val="none"/>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本系统兼容的通过国家安全可靠测评的操作系统（据实勾选）：</w:t>
            </w:r>
          </w:p>
          <w:p>
            <w:pPr>
              <w:spacing w:after="160" w:line="278" w:lineRule="auto"/>
              <w:ind w:firstLine="607" w:firstLineChars="253"/>
              <w:rPr>
                <w:rFonts w:hint="eastAsia" w:ascii="仿宋" w:hAnsi="仿宋" w:eastAsia="仿宋" w:cs="Times New Roman"/>
                <w:kern w:val="0"/>
                <w:sz w:val="24"/>
                <w:szCs w:val="24"/>
                <w14:ligatures w14:val="none"/>
              </w:rPr>
            </w:pPr>
            <w:r>
              <w:rPr>
                <w:rFonts w:hint="eastAsia" w:ascii="仿宋" w:hAnsi="仿宋" w:eastAsia="仿宋" w:cs="Times New Roman"/>
                <w:kern w:val="0"/>
                <w:sz w:val="24"/>
                <w:szCs w:val="24"/>
                <w14:ligatures w14:val="none"/>
              </w:rPr>
              <w:t>麒麟</w:t>
            </w:r>
            <w:r>
              <w:rPr>
                <w:rFonts w:ascii="Segoe UI Symbol" w:hAnsi="Segoe UI Symbol" w:eastAsia="仿宋" w:cs="Segoe UI Symbol"/>
                <w:kern w:val="0"/>
                <w:sz w:val="28"/>
                <w:szCs w:val="28"/>
                <w14:ligatures w14:val="none"/>
              </w:rPr>
              <w:t>☑</w:t>
            </w:r>
            <w:r>
              <w:rPr>
                <w:rFonts w:hint="eastAsia" w:ascii="仿宋" w:hAnsi="仿宋" w:eastAsia="仿宋" w:cs="Times New Roman"/>
                <w:kern w:val="0"/>
                <w:sz w:val="24"/>
                <w:szCs w:val="24"/>
                <w14:ligatures w14:val="none"/>
              </w:rPr>
              <w:t xml:space="preserve"> 统信</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中科方德</w:t>
            </w:r>
            <w:r>
              <w:rPr>
                <w:rFonts w:hint="eastAsia" w:ascii="仿宋" w:hAnsi="仿宋" w:eastAsia="仿宋" w:cs="Times New Roman"/>
                <w:kern w:val="0"/>
                <w:sz w:val="24"/>
                <w:szCs w:val="24"/>
                <w14:ligatures w14:val="none"/>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本系统兼容的通过国家安全可靠测评的数据库（据实勾选）：</w:t>
            </w:r>
          </w:p>
          <w:p>
            <w:pPr>
              <w:spacing w:after="160" w:line="278" w:lineRule="auto"/>
              <w:ind w:firstLine="607" w:firstLineChars="253"/>
              <w:rPr>
                <w:rFonts w:hint="eastAsia" w:ascii="仿宋" w:hAnsi="仿宋" w:eastAsia="仿宋" w:cs="Times New Roman"/>
                <w:kern w:val="0"/>
                <w:sz w:val="24"/>
                <w:szCs w:val="24"/>
                <w14:ligatures w14:val="none"/>
              </w:rPr>
            </w:pPr>
            <w:r>
              <w:rPr>
                <w:rFonts w:hint="eastAsia" w:ascii="仿宋" w:hAnsi="仿宋" w:eastAsia="仿宋" w:cs="Times New Roman"/>
                <w:kern w:val="0"/>
                <w:sz w:val="24"/>
                <w:szCs w:val="24"/>
                <w14:ligatures w14:val="none"/>
              </w:rPr>
              <w:t>达梦</w:t>
            </w:r>
            <w:r>
              <w:rPr>
                <w:rFonts w:ascii="Segoe UI Symbol" w:hAnsi="Segoe UI Symbol" w:eastAsia="仿宋" w:cs="Segoe UI Symbol"/>
                <w:kern w:val="0"/>
                <w:sz w:val="28"/>
                <w:szCs w:val="28"/>
                <w14:ligatures w14:val="none"/>
              </w:rPr>
              <w:t>☑</w:t>
            </w:r>
            <w:r>
              <w:rPr>
                <w:rFonts w:hint="eastAsia" w:ascii="仿宋" w:hAnsi="仿宋" w:eastAsia="仿宋" w:cs="Times New Roman"/>
                <w:kern w:val="0"/>
                <w:sz w:val="24"/>
                <w:szCs w:val="24"/>
                <w14:ligatures w14:val="none"/>
              </w:rPr>
              <w:t xml:space="preserve">  TDSQL</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PolarDB</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瀚高</w:t>
            </w:r>
            <w:r>
              <w:rPr>
                <w:rFonts w:hint="eastAsia" w:ascii="仿宋" w:hAnsi="仿宋" w:eastAsia="仿宋" w:cs="Times New Roman"/>
                <w:kern w:val="0"/>
                <w:sz w:val="24"/>
                <w:szCs w:val="24"/>
                <w14:ligatures w14:val="none"/>
              </w:rPr>
              <w:sym w:font="Wingdings" w:char="00A8"/>
            </w:r>
          </w:p>
          <w:p>
            <w:pPr>
              <w:spacing w:after="160" w:line="278" w:lineRule="auto"/>
              <w:ind w:firstLine="607" w:firstLineChars="253"/>
              <w:rPr>
                <w:rFonts w:hint="eastAsia" w:ascii="仿宋" w:hAnsi="仿宋" w:eastAsia="仿宋" w:cs="Times New Roman"/>
                <w:kern w:val="0"/>
                <w:sz w:val="24"/>
                <w:szCs w:val="24"/>
                <w14:ligatures w14:val="none"/>
              </w:rPr>
            </w:pPr>
            <w:r>
              <w:rPr>
                <w:rFonts w:hint="eastAsia" w:ascii="仿宋" w:hAnsi="仿宋" w:eastAsia="仿宋" w:cs="Times New Roman"/>
                <w:kern w:val="0"/>
                <w:sz w:val="24"/>
                <w:szCs w:val="24"/>
                <w14:ligatures w14:val="none"/>
              </w:rPr>
              <w:t>虚谷</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南大通用</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海盒通用</w:t>
            </w:r>
            <w:r>
              <w:rPr>
                <w:rFonts w:hint="eastAsia" w:ascii="仿宋" w:hAnsi="仿宋" w:eastAsia="仿宋" w:cs="Times New Roman"/>
                <w:kern w:val="0"/>
                <w:sz w:val="24"/>
                <w:szCs w:val="24"/>
                <w14:ligatures w14:val="none"/>
              </w:rPr>
              <w:sym w:font="Wingdings" w:char="00A8"/>
            </w:r>
          </w:p>
          <w:p>
            <w:pPr>
              <w:spacing w:after="160" w:line="278" w:lineRule="auto"/>
              <w:ind w:firstLine="607" w:firstLineChars="253"/>
              <w:rPr>
                <w:rFonts w:hint="eastAsia" w:ascii="仿宋" w:hAnsi="仿宋" w:eastAsia="仿宋" w:cs="Times New Roman"/>
                <w:kern w:val="0"/>
                <w:sz w:val="24"/>
                <w:szCs w:val="24"/>
                <w14:ligatures w14:val="none"/>
              </w:rPr>
            </w:pPr>
            <w:r>
              <w:rPr>
                <w:rFonts w:hint="eastAsia" w:ascii="仿宋" w:hAnsi="仿宋" w:eastAsia="仿宋" w:cs="Times New Roman"/>
                <w:kern w:val="0"/>
                <w:sz w:val="24"/>
                <w:szCs w:val="24"/>
                <w14:ligatures w14:val="none"/>
              </w:rPr>
              <w:t>海量</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万里</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优炫</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金仓</w:t>
            </w:r>
            <w:r>
              <w:rPr>
                <w:rFonts w:hint="eastAsia" w:ascii="仿宋" w:hAnsi="仿宋" w:eastAsia="仿宋" w:cs="Times New Roman"/>
                <w:kern w:val="0"/>
                <w:sz w:val="24"/>
                <w:szCs w:val="24"/>
                <w14:ligatures w14:val="none"/>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本系统兼容的通过国家安全可靠测评的中间件（据实勾选）：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522" w:type="dxa"/>
            <w:gridSpan w:val="2"/>
            <w:vAlign w:val="center"/>
          </w:tcPr>
          <w:p>
            <w:pPr>
              <w:spacing w:after="160" w:line="278" w:lineRule="auto"/>
              <w:ind w:firstLine="607" w:firstLineChars="253"/>
              <w:rPr>
                <w:rFonts w:hint="eastAsia" w:ascii="仿宋" w:hAnsi="仿宋" w:eastAsia="仿宋" w:cstheme="minorBidi"/>
                <w:kern w:val="0"/>
                <w:sz w:val="24"/>
                <w:szCs w:val="24"/>
                <w14:ligatures w14:val="none"/>
              </w:rPr>
            </w:pPr>
            <w:r>
              <w:rPr>
                <w:rFonts w:hint="eastAsia" w:ascii="仿宋" w:hAnsi="仿宋" w:eastAsia="仿宋" w:cstheme="minorBidi"/>
                <w:kern w:val="0"/>
                <w:sz w:val="24"/>
                <w:szCs w:val="24"/>
                <w14:ligatures w14:val="none"/>
              </w:rPr>
              <w:t>东方通</w:t>
            </w:r>
            <w:r>
              <w:rPr>
                <w:rFonts w:ascii="Segoe UI Symbol" w:hAnsi="Segoe UI Symbol" w:eastAsia="仿宋" w:cs="Segoe UI Symbol"/>
                <w:kern w:val="0"/>
                <w:sz w:val="28"/>
                <w:szCs w:val="28"/>
                <w14:ligatures w14:val="none"/>
              </w:rPr>
              <w:t>☑</w:t>
            </w:r>
            <w:r>
              <w:rPr>
                <w:rFonts w:hint="eastAsia" w:ascii="仿宋" w:hAnsi="仿宋" w:eastAsia="仿宋" w:cs="Times New Roman"/>
                <w:kern w:val="0"/>
                <w:sz w:val="24"/>
                <w:szCs w:val="24"/>
                <w14:ligatures w14:val="none"/>
              </w:rPr>
              <w:t xml:space="preserve">  宝兰德</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中创</w:t>
            </w:r>
            <w:r>
              <w:rPr>
                <w:rFonts w:hint="eastAsia" w:ascii="仿宋" w:hAnsi="仿宋" w:eastAsia="仿宋" w:cs="Times New Roman"/>
                <w:kern w:val="0"/>
                <w:sz w:val="24"/>
                <w:szCs w:val="24"/>
                <w14:ligatures w14:val="none"/>
              </w:rPr>
              <w:sym w:font="Wingdings" w:char="00A8"/>
            </w:r>
            <w:r>
              <w:rPr>
                <w:rFonts w:hint="eastAsia" w:ascii="仿宋" w:hAnsi="仿宋" w:eastAsia="仿宋" w:cs="Times New Roman"/>
                <w:kern w:val="0"/>
                <w:sz w:val="24"/>
                <w:szCs w:val="24"/>
                <w14:ligatures w14:val="none"/>
              </w:rPr>
              <w:t xml:space="preserve">  金蝶飞燕</w:t>
            </w:r>
            <w:r>
              <w:rPr>
                <w:rFonts w:hint="eastAsia" w:ascii="仿宋" w:hAnsi="仿宋" w:eastAsia="仿宋" w:cs="Times New Roman"/>
                <w:kern w:val="0"/>
                <w:sz w:val="24"/>
                <w:szCs w:val="24"/>
                <w14:ligatures w14:val="none"/>
              </w:rPr>
              <w:sym w:font="Wingdings" w:char="00A8"/>
            </w:r>
          </w:p>
        </w:tc>
      </w:tr>
    </w:tbl>
    <w:p>
      <w:pPr>
        <w:pStyle w:val="4"/>
        <w:rPr>
          <w:rStyle w:val="31"/>
          <w:rFonts w:hint="eastAsia" w:ascii="黑体" w:hAnsi="黑体" w:eastAsia="黑体"/>
          <w:color w:val="000000" w:themeColor="text1"/>
          <w:sz w:val="32"/>
          <w:szCs w:val="32"/>
          <w14:textFill>
            <w14:solidFill>
              <w14:schemeClr w14:val="tx1"/>
            </w14:solidFill>
          </w14:textFill>
        </w:rPr>
      </w:pPr>
      <w:bookmarkStart w:id="38" w:name="_Toc213606127"/>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ascii="黑体" w:hAnsi="黑体" w:eastAsia="黑体"/>
          <w:color w:val="000000" w:themeColor="text1"/>
          <w:sz w:val="32"/>
          <w:szCs w:val="32"/>
          <w14:textFill>
            <w14:solidFill>
              <w14:schemeClr w14:val="tx1"/>
            </w14:solidFill>
          </w14:textFill>
        </w:rPr>
        <w:t>备份系统</w:t>
      </w:r>
      <w:r>
        <w:rPr>
          <w:rStyle w:val="31"/>
          <w:rFonts w:hint="eastAsia" w:ascii="黑体" w:hAnsi="黑体" w:eastAsia="黑体"/>
          <w:color w:val="000000" w:themeColor="text1"/>
          <w:sz w:val="32"/>
          <w:szCs w:val="32"/>
          <w:lang w:eastAsia="zh-CN"/>
          <w14:textFill>
            <w14:solidFill>
              <w14:schemeClr w14:val="tx1"/>
            </w14:solidFill>
          </w14:textFill>
        </w:rPr>
        <w:t>运维升级</w:t>
      </w:r>
      <w:r>
        <w:rPr>
          <w:rStyle w:val="31"/>
          <w:rFonts w:ascii="黑体" w:hAnsi="黑体" w:eastAsia="黑体"/>
          <w:color w:val="000000" w:themeColor="text1"/>
          <w:sz w:val="32"/>
          <w:szCs w:val="32"/>
          <w14:textFill>
            <w14:solidFill>
              <w14:schemeClr w14:val="tx1"/>
            </w14:solidFill>
          </w14:textFill>
        </w:rPr>
        <w:t>方案</w:t>
      </w:r>
      <w:bookmarkEnd w:id="38"/>
      <w:r>
        <w:rPr>
          <w:rStyle w:val="31"/>
          <w:rFonts w:ascii="黑体" w:hAnsi="黑体" w:eastAsia="黑体"/>
          <w:color w:val="000000" w:themeColor="text1"/>
          <w:sz w:val="32"/>
          <w:szCs w:val="32"/>
          <w14:textFill>
            <w14:solidFill>
              <w14:schemeClr w14:val="tx1"/>
            </w14:solidFill>
          </w14:textFill>
        </w:rPr>
        <w:t xml:space="preserve"> </w:t>
      </w:r>
    </w:p>
    <w:p>
      <w:pPr>
        <w:ind w:firstLine="607" w:firstLineChars="253"/>
        <w:rPr>
          <w:rFonts w:hint="eastAsia" w:ascii="仿宋" w:hAnsi="仿宋" w:eastAsia="仿宋"/>
          <w:sz w:val="24"/>
        </w:rPr>
      </w:pPr>
      <w:r>
        <w:rPr>
          <w:rFonts w:hint="eastAsia" w:ascii="仿宋" w:hAnsi="仿宋" w:eastAsia="仿宋"/>
          <w:sz w:val="24"/>
        </w:rPr>
        <w:t>冷备方案。生产系统每日夜间完成数据库全量备份，发送到应用服务器的备份空间。</w:t>
      </w:r>
    </w:p>
    <w:p>
      <w:pPr>
        <w:pStyle w:val="4"/>
        <w:rPr>
          <w:rStyle w:val="31"/>
          <w:rFonts w:hint="eastAsia" w:ascii="黑体" w:hAnsi="黑体" w:eastAsia="黑体"/>
          <w:color w:val="000000" w:themeColor="text1"/>
          <w:sz w:val="32"/>
          <w:szCs w:val="32"/>
          <w14:textFill>
            <w14:solidFill>
              <w14:schemeClr w14:val="tx1"/>
            </w14:solidFill>
          </w14:textFill>
        </w:rPr>
      </w:pPr>
      <w:bookmarkStart w:id="39" w:name="_Toc213606128"/>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4</w:t>
      </w:r>
      <w:r>
        <w:rPr>
          <w:rStyle w:val="31"/>
          <w:rFonts w:ascii="黑体" w:hAnsi="黑体" w:eastAsia="黑体"/>
          <w:color w:val="000000" w:themeColor="text1"/>
          <w:sz w:val="32"/>
          <w:szCs w:val="32"/>
          <w14:textFill>
            <w14:solidFill>
              <w14:schemeClr w14:val="tx1"/>
            </w14:solidFill>
          </w14:textFill>
        </w:rPr>
        <w:t xml:space="preserve"> 运行维护方案</w:t>
      </w:r>
      <w:bookmarkEnd w:id="39"/>
    </w:p>
    <w:p>
      <w:pPr>
        <w:pStyle w:val="4"/>
        <w:rPr>
          <w:rStyle w:val="31"/>
          <w:rFonts w:hint="eastAsia" w:ascii="黑体" w:hAnsi="黑体" w:eastAsia="黑体"/>
          <w:color w:val="000000" w:themeColor="text1"/>
          <w:sz w:val="32"/>
          <w:szCs w:val="32"/>
          <w14:textFill>
            <w14:solidFill>
              <w14:schemeClr w14:val="tx1"/>
            </w14:solidFill>
          </w14:textFill>
        </w:rPr>
      </w:pPr>
      <w:bookmarkStart w:id="40" w:name="_Toc213606129"/>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4</w:t>
      </w:r>
      <w:r>
        <w:rPr>
          <w:rStyle w:val="31"/>
          <w:rFonts w:hint="eastAsia" w:ascii="黑体" w:hAnsi="黑体" w:eastAsia="黑体"/>
          <w:color w:val="000000" w:themeColor="text1"/>
          <w:sz w:val="32"/>
          <w:szCs w:val="32"/>
          <w14:textFill>
            <w14:solidFill>
              <w14:schemeClr w14:val="tx1"/>
            </w14:solidFill>
          </w14:textFill>
        </w:rPr>
        <w:t>.1</w:t>
      </w:r>
      <w:r>
        <w:rPr>
          <w:rStyle w:val="31"/>
          <w:rFonts w:ascii="黑体" w:hAnsi="黑体" w:eastAsia="黑体"/>
          <w:color w:val="000000" w:themeColor="text1"/>
          <w:sz w:val="32"/>
          <w:szCs w:val="32"/>
          <w14:textFill>
            <w14:solidFill>
              <w14:schemeClr w14:val="tx1"/>
            </w14:solidFill>
          </w14:textFill>
        </w:rPr>
        <w:t>基础运维目标</w:t>
      </w:r>
      <w:bookmarkEnd w:id="40"/>
    </w:p>
    <w:p>
      <w:pPr>
        <w:tabs>
          <w:tab w:val="left" w:pos="720"/>
        </w:tabs>
        <w:ind w:firstLine="607" w:firstLineChars="253"/>
        <w:rPr>
          <w:rFonts w:hint="eastAsia" w:ascii="仿宋" w:hAnsi="仿宋" w:eastAsia="仿宋"/>
          <w:sz w:val="24"/>
        </w:rPr>
      </w:pPr>
      <w:r>
        <w:rPr>
          <w:rFonts w:ascii="仿宋" w:hAnsi="仿宋" w:eastAsia="仿宋"/>
          <w:sz w:val="24"/>
        </w:rPr>
        <w:t>可用性：核心系统全年可用率≥99%</w:t>
      </w:r>
    </w:p>
    <w:p>
      <w:pPr>
        <w:tabs>
          <w:tab w:val="left" w:pos="720"/>
        </w:tabs>
        <w:ind w:firstLine="607" w:firstLineChars="253"/>
        <w:rPr>
          <w:rFonts w:hint="eastAsia" w:ascii="仿宋" w:hAnsi="仿宋" w:eastAsia="仿宋"/>
          <w:sz w:val="24"/>
        </w:rPr>
      </w:pPr>
      <w:r>
        <w:rPr>
          <w:rFonts w:ascii="仿宋" w:hAnsi="仿宋" w:eastAsia="仿宋"/>
          <w:sz w:val="24"/>
        </w:rPr>
        <w:t>响应时效：普通故障4小时内解决</w:t>
      </w:r>
    </w:p>
    <w:p>
      <w:pPr>
        <w:tabs>
          <w:tab w:val="left" w:pos="720"/>
        </w:tabs>
        <w:ind w:firstLine="607" w:firstLineChars="253"/>
        <w:rPr>
          <w:rFonts w:hint="eastAsia" w:ascii="仿宋" w:hAnsi="仿宋" w:eastAsia="仿宋"/>
          <w:sz w:val="24"/>
        </w:rPr>
      </w:pPr>
      <w:r>
        <w:rPr>
          <w:rFonts w:ascii="仿宋" w:hAnsi="仿宋" w:eastAsia="仿宋"/>
          <w:sz w:val="24"/>
        </w:rPr>
        <w:t>安全合规：每</w:t>
      </w:r>
      <w:r>
        <w:rPr>
          <w:rFonts w:hint="eastAsia" w:ascii="仿宋" w:hAnsi="仿宋" w:eastAsia="仿宋"/>
          <w:sz w:val="24"/>
        </w:rPr>
        <w:t>季度检查</w:t>
      </w:r>
      <w:r>
        <w:rPr>
          <w:rFonts w:ascii="仿宋" w:hAnsi="仿宋" w:eastAsia="仿宋"/>
          <w:sz w:val="24"/>
        </w:rPr>
        <w:t>1次</w:t>
      </w:r>
      <w:r>
        <w:rPr>
          <w:rFonts w:hint="eastAsia" w:ascii="仿宋" w:hAnsi="仿宋" w:eastAsia="仿宋"/>
          <w:sz w:val="24"/>
        </w:rPr>
        <w:t>主要组件版本和更新。</w:t>
      </w:r>
    </w:p>
    <w:p>
      <w:pPr>
        <w:pStyle w:val="4"/>
        <w:rPr>
          <w:rStyle w:val="31"/>
          <w:rFonts w:hint="eastAsia" w:ascii="黑体" w:hAnsi="黑体" w:eastAsia="黑体"/>
          <w:color w:val="000000" w:themeColor="text1"/>
          <w:sz w:val="32"/>
          <w:szCs w:val="32"/>
          <w14:textFill>
            <w14:solidFill>
              <w14:schemeClr w14:val="tx1"/>
            </w14:solidFill>
          </w14:textFill>
        </w:rPr>
      </w:pPr>
      <w:bookmarkStart w:id="41" w:name="_Toc213606130"/>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4</w:t>
      </w:r>
      <w:r>
        <w:rPr>
          <w:rStyle w:val="31"/>
          <w:rFonts w:hint="eastAsia" w:ascii="黑体" w:hAnsi="黑体" w:eastAsia="黑体"/>
          <w:color w:val="000000" w:themeColor="text1"/>
          <w:sz w:val="32"/>
          <w:szCs w:val="32"/>
          <w14:textFill>
            <w14:solidFill>
              <w14:schemeClr w14:val="tx1"/>
            </w14:solidFill>
          </w14:textFill>
        </w:rPr>
        <w:t>.2</w:t>
      </w:r>
      <w:r>
        <w:rPr>
          <w:rStyle w:val="31"/>
          <w:rFonts w:ascii="黑体" w:hAnsi="黑体" w:eastAsia="黑体"/>
          <w:color w:val="000000" w:themeColor="text1"/>
          <w:sz w:val="32"/>
          <w:szCs w:val="32"/>
          <w14:textFill>
            <w14:solidFill>
              <w14:schemeClr w14:val="tx1"/>
            </w14:solidFill>
          </w14:textFill>
        </w:rPr>
        <w:t>核心运维内容</w:t>
      </w:r>
      <w:bookmarkEnd w:id="41"/>
    </w:p>
    <w:p>
      <w:pPr>
        <w:tabs>
          <w:tab w:val="left" w:pos="720"/>
        </w:tabs>
        <w:ind w:firstLine="607" w:firstLineChars="253"/>
        <w:rPr>
          <w:rFonts w:hint="eastAsia" w:ascii="仿宋" w:hAnsi="仿宋" w:eastAsia="仿宋"/>
          <w:sz w:val="24"/>
        </w:rPr>
      </w:pPr>
      <w:r>
        <w:rPr>
          <w:rFonts w:ascii="仿宋" w:hAnsi="仿宋" w:eastAsia="仿宋"/>
          <w:sz w:val="24"/>
        </w:rPr>
        <w:t>日常监控</w:t>
      </w:r>
    </w:p>
    <w:p>
      <w:pPr>
        <w:tabs>
          <w:tab w:val="left" w:pos="720"/>
          <w:tab w:val="left" w:pos="1440"/>
        </w:tabs>
        <w:ind w:firstLine="607" w:firstLineChars="253"/>
        <w:rPr>
          <w:rFonts w:hint="eastAsia" w:ascii="仿宋" w:hAnsi="仿宋" w:eastAsia="仿宋"/>
          <w:sz w:val="24"/>
        </w:rPr>
      </w:pPr>
      <w:r>
        <w:rPr>
          <w:rFonts w:ascii="仿宋" w:hAnsi="仿宋" w:eastAsia="仿宋"/>
          <w:sz w:val="24"/>
        </w:rPr>
        <w:t>服务器CPU/内存阈值告警（超过80%自动触发）</w:t>
      </w:r>
    </w:p>
    <w:p>
      <w:pPr>
        <w:tabs>
          <w:tab w:val="left" w:pos="720"/>
          <w:tab w:val="left" w:pos="1440"/>
        </w:tabs>
        <w:ind w:firstLine="607" w:firstLineChars="253"/>
        <w:rPr>
          <w:rFonts w:hint="eastAsia" w:ascii="仿宋" w:hAnsi="仿宋" w:eastAsia="仿宋"/>
          <w:sz w:val="24"/>
        </w:rPr>
      </w:pPr>
      <w:r>
        <w:rPr>
          <w:rFonts w:ascii="仿宋" w:hAnsi="仿宋" w:eastAsia="仿宋"/>
          <w:sz w:val="24"/>
        </w:rPr>
        <w:t>关键业务流程健康检查</w:t>
      </w:r>
    </w:p>
    <w:p>
      <w:pPr>
        <w:tabs>
          <w:tab w:val="left" w:pos="720"/>
        </w:tabs>
        <w:ind w:firstLine="607" w:firstLineChars="253"/>
        <w:rPr>
          <w:rFonts w:hint="eastAsia" w:ascii="仿宋" w:hAnsi="仿宋" w:eastAsia="仿宋"/>
          <w:sz w:val="24"/>
        </w:rPr>
      </w:pPr>
      <w:r>
        <w:rPr>
          <w:rFonts w:ascii="仿宋" w:hAnsi="仿宋" w:eastAsia="仿宋"/>
          <w:sz w:val="24"/>
        </w:rPr>
        <w:t>基础维护</w:t>
      </w:r>
    </w:p>
    <w:p>
      <w:pPr>
        <w:tabs>
          <w:tab w:val="left" w:pos="720"/>
          <w:tab w:val="left" w:pos="1440"/>
        </w:tabs>
        <w:ind w:firstLine="607" w:firstLineChars="253"/>
        <w:rPr>
          <w:rFonts w:hint="eastAsia" w:ascii="仿宋" w:hAnsi="仿宋" w:eastAsia="仿宋"/>
          <w:sz w:val="24"/>
        </w:rPr>
      </w:pPr>
      <w:r>
        <w:rPr>
          <w:rFonts w:ascii="仿宋" w:hAnsi="仿宋" w:eastAsia="仿宋"/>
          <w:sz w:val="24"/>
        </w:rPr>
        <w:t>每周备份验证（保留最近3个版本）</w:t>
      </w:r>
    </w:p>
    <w:p>
      <w:pPr>
        <w:tabs>
          <w:tab w:val="left" w:pos="720"/>
          <w:tab w:val="left" w:pos="1440"/>
        </w:tabs>
        <w:ind w:firstLine="607" w:firstLineChars="253"/>
        <w:rPr>
          <w:rFonts w:hint="eastAsia" w:ascii="仿宋" w:hAnsi="仿宋" w:eastAsia="仿宋"/>
          <w:sz w:val="24"/>
        </w:rPr>
      </w:pPr>
      <w:r>
        <w:rPr>
          <w:rFonts w:ascii="仿宋" w:hAnsi="仿宋" w:eastAsia="仿宋"/>
          <w:sz w:val="24"/>
        </w:rPr>
        <w:t>季度硬件除尘保养</w:t>
      </w:r>
    </w:p>
    <w:p>
      <w:pPr>
        <w:tabs>
          <w:tab w:val="left" w:pos="720"/>
        </w:tabs>
        <w:ind w:firstLine="607" w:firstLineChars="253"/>
        <w:rPr>
          <w:rFonts w:hint="eastAsia" w:ascii="仿宋" w:hAnsi="仿宋" w:eastAsia="仿宋"/>
          <w:sz w:val="24"/>
        </w:rPr>
      </w:pPr>
      <w:r>
        <w:rPr>
          <w:rFonts w:ascii="仿宋" w:hAnsi="仿宋" w:eastAsia="仿宋"/>
          <w:sz w:val="24"/>
        </w:rPr>
        <w:t>应急响应</w:t>
      </w:r>
    </w:p>
    <w:p>
      <w:pPr>
        <w:tabs>
          <w:tab w:val="left" w:pos="720"/>
          <w:tab w:val="left" w:pos="1440"/>
        </w:tabs>
        <w:ind w:firstLine="607" w:firstLineChars="253"/>
        <w:rPr>
          <w:rFonts w:hint="eastAsia" w:ascii="仿宋" w:hAnsi="仿宋" w:eastAsia="仿宋"/>
          <w:sz w:val="24"/>
        </w:rPr>
      </w:pPr>
      <w:r>
        <w:rPr>
          <w:rFonts w:ascii="仿宋" w:hAnsi="仿宋" w:eastAsia="仿宋"/>
          <w:sz w:val="24"/>
        </w:rPr>
        <w:t>建立P1-P3三级事件分类</w:t>
      </w:r>
    </w:p>
    <w:p>
      <w:pPr>
        <w:tabs>
          <w:tab w:val="left" w:pos="720"/>
          <w:tab w:val="left" w:pos="1440"/>
        </w:tabs>
        <w:ind w:firstLine="607" w:firstLineChars="253"/>
        <w:rPr>
          <w:rFonts w:hint="eastAsia" w:ascii="仿宋" w:hAnsi="仿宋" w:eastAsia="仿宋"/>
          <w:sz w:val="24"/>
        </w:rPr>
      </w:pPr>
      <w:r>
        <w:rPr>
          <w:rFonts w:ascii="仿宋" w:hAnsi="仿宋" w:eastAsia="仿宋"/>
          <w:sz w:val="24"/>
        </w:rPr>
        <w:t>核心业务中断需30分钟内响应</w:t>
      </w:r>
    </w:p>
    <w:p>
      <w:pPr>
        <w:pStyle w:val="4"/>
        <w:rPr>
          <w:rStyle w:val="31"/>
          <w:rFonts w:hint="eastAsia" w:ascii="黑体" w:hAnsi="黑体" w:eastAsia="黑体"/>
          <w:color w:val="000000" w:themeColor="text1"/>
          <w:sz w:val="32"/>
          <w:szCs w:val="32"/>
          <w14:textFill>
            <w14:solidFill>
              <w14:schemeClr w14:val="tx1"/>
            </w14:solidFill>
          </w14:textFill>
        </w:rPr>
      </w:pPr>
      <w:bookmarkStart w:id="42" w:name="_Toc213606131"/>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4</w:t>
      </w:r>
      <w:r>
        <w:rPr>
          <w:rStyle w:val="31"/>
          <w:rFonts w:hint="eastAsia" w:ascii="黑体" w:hAnsi="黑体" w:eastAsia="黑体"/>
          <w:color w:val="000000" w:themeColor="text1"/>
          <w:sz w:val="32"/>
          <w:szCs w:val="32"/>
          <w14:textFill>
            <w14:solidFill>
              <w14:schemeClr w14:val="tx1"/>
            </w14:solidFill>
          </w14:textFill>
        </w:rPr>
        <w:t>.3</w:t>
      </w:r>
      <w:r>
        <w:rPr>
          <w:rStyle w:val="31"/>
          <w:rFonts w:ascii="黑体" w:hAnsi="黑体" w:eastAsia="黑体"/>
          <w:color w:val="000000" w:themeColor="text1"/>
          <w:sz w:val="32"/>
          <w:szCs w:val="32"/>
          <w14:textFill>
            <w14:solidFill>
              <w14:schemeClr w14:val="tx1"/>
            </w14:solidFill>
          </w14:textFill>
        </w:rPr>
        <w:t>资源配置标准</w:t>
      </w:r>
      <w:bookmarkEnd w:id="42"/>
    </w:p>
    <w:p>
      <w:pPr>
        <w:tabs>
          <w:tab w:val="left" w:pos="720"/>
          <w:tab w:val="left" w:pos="1440"/>
        </w:tabs>
        <w:ind w:firstLine="607" w:firstLineChars="253"/>
        <w:rPr>
          <w:rFonts w:hint="eastAsia" w:ascii="仿宋" w:hAnsi="仿宋" w:eastAsia="仿宋"/>
          <w:sz w:val="24"/>
        </w:rPr>
      </w:pPr>
      <w:r>
        <w:rPr>
          <w:rFonts w:ascii="仿宋" w:hAnsi="仿宋" w:eastAsia="仿宋"/>
          <w:sz w:val="24"/>
        </w:rPr>
        <w:t>资源类型最低配置要求人力投入每20台设备配1人监控工具文档管理共享云文档每周更新</w:t>
      </w:r>
      <w:r>
        <w:rPr>
          <w:rFonts w:hint="eastAsia" w:ascii="仿宋" w:hAnsi="仿宋" w:eastAsia="仿宋"/>
          <w:sz w:val="24"/>
        </w:rPr>
        <w:t>.</w:t>
      </w:r>
    </w:p>
    <w:p>
      <w:pPr>
        <w:pStyle w:val="4"/>
        <w:rPr>
          <w:rStyle w:val="31"/>
          <w:rFonts w:hint="eastAsia" w:ascii="黑体" w:hAnsi="黑体" w:eastAsia="黑体"/>
          <w:color w:val="000000" w:themeColor="text1"/>
          <w:sz w:val="32"/>
          <w:szCs w:val="32"/>
          <w14:textFill>
            <w14:solidFill>
              <w14:schemeClr w14:val="tx1"/>
            </w14:solidFill>
          </w14:textFill>
        </w:rPr>
      </w:pPr>
      <w:bookmarkStart w:id="43" w:name="_Toc213606132"/>
      <w:r>
        <w:rPr>
          <w:rStyle w:val="31"/>
          <w:rFonts w:hint="eastAsia" w:ascii="黑体" w:hAnsi="黑体" w:eastAsia="黑体"/>
          <w:color w:val="000000" w:themeColor="text1"/>
          <w:sz w:val="32"/>
          <w:szCs w:val="32"/>
          <w:lang w:val="en-US" w:eastAsia="zh-CN"/>
          <w14:textFill>
            <w14:solidFill>
              <w14:schemeClr w14:val="tx1"/>
            </w14:solidFill>
          </w14:textFill>
        </w:rPr>
        <w:t>3</w:t>
      </w:r>
      <w:r>
        <w:rPr>
          <w:rStyle w:val="31"/>
          <w:rFonts w:hint="eastAsia"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4</w:t>
      </w:r>
      <w:r>
        <w:rPr>
          <w:rStyle w:val="31"/>
          <w:rFonts w:hint="eastAsia" w:ascii="黑体" w:hAnsi="黑体" w:eastAsia="黑体"/>
          <w:color w:val="000000" w:themeColor="text1"/>
          <w:sz w:val="32"/>
          <w:szCs w:val="32"/>
          <w14:textFill>
            <w14:solidFill>
              <w14:schemeClr w14:val="tx1"/>
            </w14:solidFill>
          </w14:textFill>
        </w:rPr>
        <w:t>.4</w:t>
      </w:r>
      <w:r>
        <w:rPr>
          <w:rStyle w:val="31"/>
          <w:rFonts w:ascii="黑体" w:hAnsi="黑体" w:eastAsia="黑体"/>
          <w:color w:val="000000" w:themeColor="text1"/>
          <w:sz w:val="32"/>
          <w:szCs w:val="32"/>
          <w14:textFill>
            <w14:solidFill>
              <w14:schemeClr w14:val="tx1"/>
            </w14:solidFill>
          </w14:textFill>
        </w:rPr>
        <w:t>执行流程</w:t>
      </w:r>
      <w:bookmarkEnd w:id="43"/>
    </w:p>
    <w:p>
      <w:pPr>
        <w:tabs>
          <w:tab w:val="left" w:pos="720"/>
          <w:tab w:val="left" w:pos="1440"/>
        </w:tabs>
        <w:ind w:firstLine="607" w:firstLineChars="253"/>
        <w:rPr>
          <w:rFonts w:hint="eastAsia" w:ascii="仿宋" w:hAnsi="仿宋" w:eastAsia="仿宋"/>
          <w:sz w:val="24"/>
        </w:rPr>
      </w:pPr>
      <w:r>
        <w:rPr>
          <w:rFonts w:ascii="仿宋" w:hAnsi="仿宋" w:eastAsia="仿宋"/>
          <w:sz w:val="24"/>
        </w:rPr>
        <w:t>晨会交接运维日志（15分钟）</w:t>
      </w:r>
    </w:p>
    <w:p>
      <w:pPr>
        <w:tabs>
          <w:tab w:val="left" w:pos="720"/>
          <w:tab w:val="left" w:pos="1440"/>
        </w:tabs>
        <w:ind w:firstLine="607" w:firstLineChars="253"/>
        <w:rPr>
          <w:rFonts w:hint="eastAsia" w:ascii="仿宋" w:hAnsi="仿宋" w:eastAsia="仿宋"/>
          <w:sz w:val="24"/>
        </w:rPr>
      </w:pPr>
      <w:r>
        <w:rPr>
          <w:rFonts w:ascii="仿宋" w:hAnsi="仿宋" w:eastAsia="仿宋"/>
          <w:sz w:val="24"/>
        </w:rPr>
        <w:t>周报汇总系统健康度</w:t>
      </w:r>
    </w:p>
    <w:p>
      <w:pPr>
        <w:tabs>
          <w:tab w:val="left" w:pos="720"/>
          <w:tab w:val="left" w:pos="1440"/>
        </w:tabs>
        <w:ind w:firstLine="607" w:firstLineChars="253"/>
        <w:rPr>
          <w:rFonts w:hint="eastAsia" w:ascii="仿宋" w:hAnsi="仿宋" w:eastAsia="仿宋"/>
          <w:sz w:val="24"/>
        </w:rPr>
      </w:pPr>
      <w:r>
        <w:rPr>
          <w:rFonts w:ascii="仿宋" w:hAnsi="仿宋" w:eastAsia="仿宋"/>
          <w:sz w:val="24"/>
        </w:rPr>
        <w:t>月度运维复盘会议</w:t>
      </w:r>
    </w:p>
    <w:p>
      <w:pPr>
        <w:pStyle w:val="2"/>
        <w:pageBreakBefore/>
        <w:jc w:val="center"/>
        <w:rPr>
          <w:rFonts w:hint="eastAsia" w:ascii="黑体" w:hAnsi="黑体" w:eastAsia="黑体"/>
          <w:color w:val="000000" w:themeColor="text1"/>
          <w:sz w:val="44"/>
          <w:szCs w:val="44"/>
          <w14:textFill>
            <w14:solidFill>
              <w14:schemeClr w14:val="tx1"/>
            </w14:solidFill>
          </w14:textFill>
        </w:rPr>
      </w:pPr>
      <w:bookmarkStart w:id="44" w:name="_Toc213606183"/>
      <w:r>
        <w:rPr>
          <w:rFonts w:ascii="黑体" w:hAnsi="黑体" w:eastAsia="黑体"/>
          <w:color w:val="000000" w:themeColor="text1"/>
          <w:sz w:val="44"/>
          <w:szCs w:val="44"/>
          <w14:textFill>
            <w14:solidFill>
              <w14:schemeClr w14:val="tx1"/>
            </w14:solidFill>
          </w14:textFill>
        </w:rPr>
        <w:t>第</w:t>
      </w:r>
      <w:r>
        <w:rPr>
          <w:rFonts w:hint="eastAsia" w:ascii="黑体" w:hAnsi="黑体" w:eastAsia="黑体"/>
          <w:color w:val="000000" w:themeColor="text1"/>
          <w:sz w:val="44"/>
          <w:szCs w:val="44"/>
          <w:lang w:eastAsia="zh-CN"/>
          <w14:textFill>
            <w14:solidFill>
              <w14:schemeClr w14:val="tx1"/>
            </w14:solidFill>
          </w14:textFill>
        </w:rPr>
        <w:t>四</w:t>
      </w:r>
      <w:r>
        <w:rPr>
          <w:rFonts w:ascii="黑体" w:hAnsi="黑体" w:eastAsia="黑体"/>
          <w:color w:val="000000" w:themeColor="text1"/>
          <w:sz w:val="44"/>
          <w:szCs w:val="44"/>
          <w14:textFill>
            <w14:solidFill>
              <w14:schemeClr w14:val="tx1"/>
            </w14:solidFill>
          </w14:textFill>
        </w:rPr>
        <w:t xml:space="preserve">章 </w:t>
      </w:r>
      <w:r>
        <w:rPr>
          <w:rFonts w:hint="eastAsia" w:ascii="黑体" w:hAnsi="黑体" w:eastAsia="黑体"/>
          <w:color w:val="000000" w:themeColor="text1"/>
          <w:sz w:val="44"/>
          <w:szCs w:val="44"/>
          <w:lang w:eastAsia="zh-CN"/>
          <w14:textFill>
            <w14:solidFill>
              <w14:schemeClr w14:val="tx1"/>
            </w14:solidFill>
          </w14:textFill>
        </w:rPr>
        <w:t>项目</w:t>
      </w:r>
      <w:r>
        <w:rPr>
          <w:rFonts w:ascii="黑体" w:hAnsi="黑体" w:eastAsia="黑体"/>
          <w:color w:val="000000" w:themeColor="text1"/>
          <w:sz w:val="44"/>
          <w:szCs w:val="44"/>
          <w14:textFill>
            <w14:solidFill>
              <w14:schemeClr w14:val="tx1"/>
            </w14:solidFill>
          </w14:textFill>
        </w:rPr>
        <w:t>概算和</w:t>
      </w:r>
      <w:bookmarkEnd w:id="44"/>
      <w:r>
        <w:rPr>
          <w:rFonts w:hint="eastAsia" w:ascii="黑体" w:hAnsi="黑体" w:eastAsia="黑体"/>
          <w:color w:val="000000" w:themeColor="text1"/>
          <w:sz w:val="44"/>
          <w:szCs w:val="44"/>
          <w:lang w:eastAsia="zh-CN"/>
          <w14:textFill>
            <w14:solidFill>
              <w14:schemeClr w14:val="tx1"/>
            </w14:solidFill>
          </w14:textFill>
        </w:rPr>
        <w:t>明细</w:t>
      </w:r>
      <w:r>
        <w:rPr>
          <w:rFonts w:ascii="黑体" w:hAnsi="黑体" w:eastAsia="黑体"/>
          <w:color w:val="000000" w:themeColor="text1"/>
          <w:sz w:val="44"/>
          <w:szCs w:val="44"/>
          <w14:textFill>
            <w14:solidFill>
              <w14:schemeClr w14:val="tx1"/>
            </w14:solidFill>
          </w14:textFill>
        </w:rPr>
        <w:t xml:space="preserve"> </w:t>
      </w:r>
    </w:p>
    <w:p>
      <w:pPr>
        <w:rPr>
          <w:rFonts w:hint="eastAsia"/>
        </w:rPr>
      </w:pPr>
    </w:p>
    <w:p>
      <w:pPr>
        <w:pStyle w:val="4"/>
        <w:rPr>
          <w:rFonts w:hint="eastAsia"/>
        </w:rPr>
      </w:pPr>
      <w:bookmarkStart w:id="45" w:name="_Toc213606188"/>
      <w:r>
        <w:rPr>
          <w:rStyle w:val="31"/>
          <w:rFonts w:hint="eastAsia" w:ascii="黑体" w:hAnsi="黑体" w:eastAsia="黑体"/>
          <w:color w:val="000000" w:themeColor="text1"/>
          <w:sz w:val="32"/>
          <w:szCs w:val="32"/>
          <w:lang w:val="en-US" w:eastAsia="zh-CN"/>
          <w14:textFill>
            <w14:solidFill>
              <w14:schemeClr w14:val="tx1"/>
            </w14:solidFill>
          </w14:textFill>
        </w:rPr>
        <w:t>4</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1</w:t>
      </w:r>
      <w:r>
        <w:rPr>
          <w:rStyle w:val="31"/>
          <w:rFonts w:ascii="黑体" w:hAnsi="黑体" w:eastAsia="黑体"/>
          <w:color w:val="000000" w:themeColor="text1"/>
          <w:sz w:val="32"/>
          <w:szCs w:val="32"/>
          <w14:textFill>
            <w14:solidFill>
              <w14:schemeClr w14:val="tx1"/>
            </w14:solidFill>
          </w14:textFill>
        </w:rPr>
        <w:t xml:space="preserve"> 项目总投资概算</w:t>
      </w:r>
      <w:bookmarkEnd w:id="45"/>
      <w:r>
        <w:t xml:space="preserve"> </w:t>
      </w:r>
    </w:p>
    <w:tbl>
      <w:tblPr>
        <w:tblStyle w:val="25"/>
        <w:tblW w:w="8222" w:type="dxa"/>
        <w:tblInd w:w="0" w:type="dxa"/>
        <w:tblLayout w:type="autofit"/>
        <w:tblCellMar>
          <w:top w:w="0" w:type="dxa"/>
          <w:left w:w="108" w:type="dxa"/>
          <w:bottom w:w="0" w:type="dxa"/>
          <w:right w:w="108" w:type="dxa"/>
        </w:tblCellMar>
      </w:tblPr>
      <w:tblGrid>
        <w:gridCol w:w="1152"/>
        <w:gridCol w:w="2676"/>
        <w:gridCol w:w="1701"/>
        <w:gridCol w:w="2693"/>
      </w:tblGrid>
      <w:tr>
        <w:tblPrEx>
          <w:tblCellMar>
            <w:top w:w="0" w:type="dxa"/>
            <w:left w:w="108" w:type="dxa"/>
            <w:bottom w:w="0" w:type="dxa"/>
            <w:right w:w="108" w:type="dxa"/>
          </w:tblCellMar>
        </w:tblPrEx>
        <w:trPr>
          <w:trHeight w:val="405" w:hRule="atLeast"/>
        </w:trPr>
        <w:tc>
          <w:tcPr>
            <w:tcW w:w="8222" w:type="dxa"/>
            <w:gridSpan w:val="4"/>
            <w:tcBorders>
              <w:top w:val="nil"/>
              <w:left w:val="nil"/>
              <w:right w:val="nil"/>
            </w:tcBorders>
            <w:shd w:val="clear" w:color="auto" w:fill="auto"/>
            <w:noWrap/>
            <w:vAlign w:val="center"/>
          </w:tcPr>
          <w:p>
            <w:pPr>
              <w:widowControl/>
              <w:spacing w:after="0" w:line="240" w:lineRule="auto"/>
              <w:jc w:val="center"/>
              <w:rPr>
                <w:rFonts w:hint="eastAsia" w:ascii="宋体" w:hAnsi="宋体" w:eastAsia="宋体" w:cs="宋体"/>
                <w:b/>
                <w:bCs/>
                <w:color w:val="000000"/>
                <w:kern w:val="0"/>
                <w:sz w:val="32"/>
                <w:szCs w:val="32"/>
                <w14:ligatures w14:val="none"/>
              </w:rPr>
            </w:pPr>
            <w:r>
              <w:rPr>
                <w:rFonts w:hint="eastAsia" w:ascii="宋体" w:hAnsi="宋体" w:eastAsia="宋体" w:cs="宋体"/>
                <w:b/>
                <w:bCs/>
                <w:color w:val="000000"/>
                <w:kern w:val="0"/>
                <w:sz w:val="32"/>
                <w:szCs w:val="32"/>
                <w14:ligatures w14:val="none"/>
              </w:rPr>
              <w:t>项目总投资概算总表</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序号</w:t>
            </w:r>
          </w:p>
        </w:tc>
        <w:tc>
          <w:tcPr>
            <w:tcW w:w="2676" w:type="dxa"/>
            <w:tcBorders>
              <w:top w:val="nil"/>
              <w:left w:val="nil"/>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费用名称</w:t>
            </w:r>
          </w:p>
        </w:tc>
        <w:tc>
          <w:tcPr>
            <w:tcW w:w="1701" w:type="dxa"/>
            <w:tcBorders>
              <w:top w:val="nil"/>
              <w:left w:val="nil"/>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投资概算（万元）</w:t>
            </w:r>
          </w:p>
        </w:tc>
        <w:tc>
          <w:tcPr>
            <w:tcW w:w="2693" w:type="dxa"/>
            <w:tcBorders>
              <w:top w:val="nil"/>
              <w:left w:val="nil"/>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备注</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一</w:t>
            </w:r>
          </w:p>
        </w:tc>
        <w:tc>
          <w:tcPr>
            <w:tcW w:w="2676"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工程费</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b/>
                <w:bCs/>
                <w:color w:val="000000"/>
                <w:kern w:val="0"/>
                <w:szCs w:val="22"/>
                <w14:ligatures w14:val="none"/>
              </w:rPr>
            </w:pPr>
          </w:p>
        </w:tc>
        <w:tc>
          <w:tcPr>
            <w:tcW w:w="2693"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405" w:hRule="atLeast"/>
        </w:trPr>
        <w:tc>
          <w:tcPr>
            <w:tcW w:w="1152" w:type="dxa"/>
            <w:tcBorders>
              <w:top w:val="nil"/>
              <w:left w:val="single" w:color="auto" w:sz="4" w:space="0"/>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（一）</w:t>
            </w:r>
          </w:p>
        </w:tc>
        <w:tc>
          <w:tcPr>
            <w:tcW w:w="2676" w:type="dxa"/>
            <w:tcBorders>
              <w:top w:val="nil"/>
              <w:left w:val="nil"/>
              <w:bottom w:val="single" w:color="auto" w:sz="4" w:space="0"/>
              <w:right w:val="single" w:color="auto" w:sz="4" w:space="0"/>
            </w:tcBorders>
            <w:shd w:val="clear" w:color="auto" w:fill="auto"/>
            <w:vAlign w:val="center"/>
          </w:tcPr>
          <w:p>
            <w:pPr>
              <w:widowControl/>
              <w:spacing w:after="0" w:line="240" w:lineRule="auto"/>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应用系统</w:t>
            </w:r>
            <w:r>
              <w:rPr>
                <w:rFonts w:hint="eastAsia" w:ascii="宋体" w:hAnsi="宋体" w:eastAsia="宋体" w:cs="宋体"/>
                <w:color w:val="000000"/>
                <w:kern w:val="0"/>
                <w:szCs w:val="22"/>
                <w:lang w:eastAsia="zh-CN"/>
                <w14:ligatures w14:val="none"/>
              </w:rPr>
              <w:t>运维升级</w:t>
            </w:r>
            <w:r>
              <w:rPr>
                <w:rFonts w:hint="eastAsia" w:ascii="宋体" w:hAnsi="宋体" w:eastAsia="宋体" w:cs="宋体"/>
                <w:color w:val="000000"/>
                <w:kern w:val="0"/>
                <w:szCs w:val="22"/>
                <w14:ligatures w14:val="none"/>
              </w:rPr>
              <w:t>费用</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28</w:t>
            </w:r>
          </w:p>
        </w:tc>
        <w:tc>
          <w:tcPr>
            <w:tcW w:w="2693"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（二）</w:t>
            </w:r>
          </w:p>
        </w:tc>
        <w:tc>
          <w:tcPr>
            <w:tcW w:w="2676" w:type="dxa"/>
            <w:tcBorders>
              <w:top w:val="nil"/>
              <w:left w:val="nil"/>
              <w:bottom w:val="single" w:color="auto" w:sz="4" w:space="0"/>
              <w:right w:val="single" w:color="auto" w:sz="4" w:space="0"/>
            </w:tcBorders>
            <w:shd w:val="clear" w:color="auto" w:fill="auto"/>
            <w:vAlign w:val="center"/>
          </w:tcPr>
          <w:p>
            <w:pPr>
              <w:widowControl/>
              <w:spacing w:after="0" w:line="240" w:lineRule="auto"/>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应用软件（成品）</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p>
        </w:tc>
        <w:tc>
          <w:tcPr>
            <w:tcW w:w="2693"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（三）</w:t>
            </w:r>
          </w:p>
        </w:tc>
        <w:tc>
          <w:tcPr>
            <w:tcW w:w="2676" w:type="dxa"/>
            <w:tcBorders>
              <w:top w:val="nil"/>
              <w:left w:val="nil"/>
              <w:bottom w:val="single" w:color="auto" w:sz="4" w:space="0"/>
              <w:right w:val="single" w:color="auto" w:sz="4" w:space="0"/>
            </w:tcBorders>
            <w:shd w:val="clear" w:color="auto" w:fill="auto"/>
            <w:vAlign w:val="center"/>
          </w:tcPr>
          <w:p>
            <w:pPr>
              <w:widowControl/>
              <w:spacing w:after="0" w:line="240" w:lineRule="auto"/>
              <w:jc w:val="both"/>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硬件设备</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p>
        </w:tc>
        <w:tc>
          <w:tcPr>
            <w:tcW w:w="2693"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（四）</w:t>
            </w:r>
          </w:p>
        </w:tc>
        <w:tc>
          <w:tcPr>
            <w:tcW w:w="2676" w:type="dxa"/>
            <w:tcBorders>
              <w:top w:val="nil"/>
              <w:left w:val="nil"/>
              <w:bottom w:val="single" w:color="auto" w:sz="4" w:space="0"/>
              <w:right w:val="single" w:color="auto" w:sz="4" w:space="0"/>
            </w:tcBorders>
            <w:shd w:val="clear" w:color="auto" w:fill="auto"/>
            <w:vAlign w:val="center"/>
          </w:tcPr>
          <w:p>
            <w:pPr>
              <w:widowControl/>
              <w:spacing w:after="0" w:line="240" w:lineRule="auto"/>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信创产品</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p>
        </w:tc>
        <w:tc>
          <w:tcPr>
            <w:tcW w:w="2693"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二</w:t>
            </w:r>
          </w:p>
        </w:tc>
        <w:tc>
          <w:tcPr>
            <w:tcW w:w="2676" w:type="dxa"/>
            <w:tcBorders>
              <w:top w:val="nil"/>
              <w:left w:val="nil"/>
              <w:bottom w:val="single" w:color="auto" w:sz="4" w:space="0"/>
              <w:right w:val="single" w:color="auto" w:sz="4" w:space="0"/>
            </w:tcBorders>
            <w:shd w:val="clear" w:color="auto" w:fill="auto"/>
            <w:vAlign w:val="center"/>
          </w:tcPr>
          <w:p>
            <w:pPr>
              <w:widowControl/>
              <w:spacing w:after="0" w:line="240" w:lineRule="auto"/>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其他费用</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b/>
                <w:bCs/>
                <w:color w:val="000000"/>
                <w:kern w:val="0"/>
                <w:szCs w:val="22"/>
                <w14:ligatures w14:val="none"/>
              </w:rPr>
            </w:pPr>
          </w:p>
        </w:tc>
        <w:tc>
          <w:tcPr>
            <w:tcW w:w="2693"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c>
          <w:tcPr>
            <w:tcW w:w="2676" w:type="dxa"/>
            <w:tcBorders>
              <w:top w:val="nil"/>
              <w:left w:val="nil"/>
              <w:bottom w:val="single" w:color="auto" w:sz="4" w:space="0"/>
              <w:right w:val="single" w:color="auto" w:sz="4" w:space="0"/>
            </w:tcBorders>
            <w:shd w:val="clear" w:color="auto" w:fill="auto"/>
            <w:vAlign w:val="center"/>
          </w:tcPr>
          <w:p>
            <w:pPr>
              <w:widowControl/>
              <w:spacing w:after="0" w:line="240" w:lineRule="auto"/>
              <w:rPr>
                <w:rFonts w:hint="eastAsia" w:ascii="宋体" w:hAnsi="宋体" w:eastAsia="宋体" w:cs="宋体"/>
                <w:color w:val="000000"/>
                <w:kern w:val="0"/>
                <w:szCs w:val="22"/>
                <w14:ligatures w14:val="none"/>
              </w:rPr>
            </w:pP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p>
        </w:tc>
        <w:tc>
          <w:tcPr>
            <w:tcW w:w="2693"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285" w:hRule="atLeast"/>
        </w:trPr>
        <w:tc>
          <w:tcPr>
            <w:tcW w:w="1152" w:type="dxa"/>
            <w:tcBorders>
              <w:top w:val="nil"/>
              <w:left w:val="single" w:color="auto" w:sz="4" w:space="0"/>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三</w:t>
            </w:r>
          </w:p>
        </w:tc>
        <w:tc>
          <w:tcPr>
            <w:tcW w:w="2676" w:type="dxa"/>
            <w:tcBorders>
              <w:top w:val="nil"/>
              <w:left w:val="nil"/>
              <w:bottom w:val="single" w:color="auto" w:sz="4" w:space="0"/>
              <w:right w:val="single" w:color="auto" w:sz="4" w:space="0"/>
            </w:tcBorders>
            <w:shd w:val="clear" w:color="auto" w:fill="auto"/>
            <w:vAlign w:val="center"/>
          </w:tcPr>
          <w:p>
            <w:pPr>
              <w:widowControl/>
              <w:spacing w:after="0" w:line="240" w:lineRule="auto"/>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预备费</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b/>
                <w:bCs/>
                <w:color w:val="000000"/>
                <w:kern w:val="0"/>
                <w:szCs w:val="22"/>
                <w14:ligatures w14:val="none"/>
              </w:rPr>
            </w:pPr>
          </w:p>
        </w:tc>
        <w:tc>
          <w:tcPr>
            <w:tcW w:w="2693"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　</w:t>
            </w:r>
          </w:p>
        </w:tc>
      </w:tr>
      <w:tr>
        <w:tblPrEx>
          <w:tblCellMar>
            <w:top w:w="0" w:type="dxa"/>
            <w:left w:w="108" w:type="dxa"/>
            <w:bottom w:w="0" w:type="dxa"/>
            <w:right w:w="108" w:type="dxa"/>
          </w:tblCellMar>
        </w:tblPrEx>
        <w:trPr>
          <w:trHeight w:val="285" w:hRule="atLeast"/>
        </w:trPr>
        <w:tc>
          <w:tcPr>
            <w:tcW w:w="3828"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总投资</w:t>
            </w:r>
          </w:p>
        </w:tc>
        <w:tc>
          <w:tcPr>
            <w:tcW w:w="1701"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b/>
                <w:bCs/>
                <w:color w:val="000000"/>
                <w:kern w:val="0"/>
                <w:szCs w:val="22"/>
                <w14:ligatures w14:val="none"/>
              </w:rPr>
            </w:pPr>
            <w:r>
              <w:rPr>
                <w:rFonts w:hint="eastAsia" w:ascii="宋体" w:hAnsi="宋体" w:eastAsia="宋体" w:cs="宋体"/>
                <w:b/>
                <w:bCs/>
                <w:color w:val="000000"/>
                <w:kern w:val="0"/>
                <w:szCs w:val="22"/>
                <w14:ligatures w14:val="none"/>
              </w:rPr>
              <w:t>28</w:t>
            </w:r>
          </w:p>
        </w:tc>
        <w:tc>
          <w:tcPr>
            <w:tcW w:w="2693"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一+二+三</w:t>
            </w:r>
          </w:p>
        </w:tc>
      </w:tr>
      <w:tr>
        <w:tblPrEx>
          <w:tblCellMar>
            <w:top w:w="0" w:type="dxa"/>
            <w:left w:w="108" w:type="dxa"/>
            <w:bottom w:w="0" w:type="dxa"/>
            <w:right w:w="108" w:type="dxa"/>
          </w:tblCellMar>
        </w:tblPrEx>
        <w:trPr>
          <w:trHeight w:val="870" w:hRule="atLeast"/>
        </w:trPr>
        <w:tc>
          <w:tcPr>
            <w:tcW w:w="8222" w:type="dxa"/>
            <w:gridSpan w:val="4"/>
            <w:tcBorders>
              <w:top w:val="single" w:color="auto" w:sz="4" w:space="0"/>
              <w:left w:val="nil"/>
              <w:bottom w:val="nil"/>
              <w:right w:val="nil"/>
            </w:tcBorders>
            <w:shd w:val="clear" w:color="auto" w:fill="auto"/>
            <w:vAlign w:val="center"/>
          </w:tcPr>
          <w:p>
            <w:pPr>
              <w:tabs>
                <w:tab w:val="left" w:pos="720"/>
                <w:tab w:val="left" w:pos="1440"/>
              </w:tabs>
              <w:ind w:firstLine="607" w:firstLineChars="253"/>
              <w:rPr>
                <w:rFonts w:hint="eastAsia" w:ascii="宋体" w:hAnsi="宋体" w:eastAsia="宋体" w:cs="宋体"/>
                <w:color w:val="000000"/>
                <w:kern w:val="0"/>
                <w:szCs w:val="22"/>
                <w14:ligatures w14:val="none"/>
              </w:rPr>
            </w:pPr>
            <w:r>
              <w:rPr>
                <w:rFonts w:hint="eastAsia" w:ascii="仿宋" w:hAnsi="仿宋" w:eastAsia="仿宋"/>
                <w:sz w:val="24"/>
              </w:rPr>
              <w:t>说明：投资金额需四舍五入，保留小数点后两位，确保显示数字之和与总投资一致。</w:t>
            </w:r>
          </w:p>
        </w:tc>
      </w:tr>
    </w:tbl>
    <w:p>
      <w:pPr>
        <w:rPr>
          <w:rFonts w:hint="eastAsia"/>
        </w:rPr>
      </w:pPr>
    </w:p>
    <w:p>
      <w:pPr>
        <w:rPr>
          <w:rFonts w:hint="eastAsia"/>
        </w:rPr>
      </w:pPr>
    </w:p>
    <w:p>
      <w:pPr>
        <w:pStyle w:val="4"/>
        <w:rPr>
          <w:rStyle w:val="31"/>
          <w:rFonts w:hint="eastAsia" w:ascii="黑体" w:hAnsi="黑体" w:eastAsia="黑体"/>
          <w:color w:val="000000" w:themeColor="text1"/>
          <w:sz w:val="32"/>
          <w:szCs w:val="32"/>
          <w14:textFill>
            <w14:solidFill>
              <w14:schemeClr w14:val="tx1"/>
            </w14:solidFill>
          </w14:textFill>
        </w:rPr>
      </w:pPr>
      <w:bookmarkStart w:id="46" w:name="_Toc213606204"/>
      <w:bookmarkStart w:id="47" w:name="_Hlk200028905"/>
      <w:r>
        <w:rPr>
          <w:rStyle w:val="31"/>
          <w:rFonts w:hint="eastAsia" w:ascii="黑体" w:hAnsi="黑体" w:eastAsia="黑体"/>
          <w:color w:val="000000" w:themeColor="text1"/>
          <w:sz w:val="32"/>
          <w:szCs w:val="32"/>
          <w:lang w:val="en-US" w:eastAsia="zh-CN"/>
          <w14:textFill>
            <w14:solidFill>
              <w14:schemeClr w14:val="tx1"/>
            </w14:solidFill>
          </w14:textFill>
        </w:rPr>
        <w:t>4</w:t>
      </w:r>
      <w:r>
        <w:rPr>
          <w:rStyle w:val="31"/>
          <w:rFonts w:ascii="黑体" w:hAnsi="黑体" w:eastAsia="黑体"/>
          <w:color w:val="000000" w:themeColor="text1"/>
          <w:sz w:val="32"/>
          <w:szCs w:val="32"/>
          <w14:textFill>
            <w14:solidFill>
              <w14:schemeClr w14:val="tx1"/>
            </w14:solidFill>
          </w14:textFill>
        </w:rPr>
        <w:t>.</w:t>
      </w:r>
      <w:r>
        <w:rPr>
          <w:rStyle w:val="31"/>
          <w:rFonts w:hint="eastAsia" w:ascii="黑体" w:hAnsi="黑体" w:eastAsia="黑体"/>
          <w:color w:val="000000" w:themeColor="text1"/>
          <w:sz w:val="32"/>
          <w:szCs w:val="32"/>
          <w:lang w:val="en-US" w:eastAsia="zh-CN"/>
          <w14:textFill>
            <w14:solidFill>
              <w14:schemeClr w14:val="tx1"/>
            </w14:solidFill>
          </w14:textFill>
        </w:rPr>
        <w:t xml:space="preserve">2 </w:t>
      </w:r>
      <w:r>
        <w:rPr>
          <w:rStyle w:val="31"/>
          <w:rFonts w:ascii="黑体" w:hAnsi="黑体" w:eastAsia="黑体"/>
          <w:color w:val="000000" w:themeColor="text1"/>
          <w:sz w:val="32"/>
          <w:szCs w:val="32"/>
          <w14:textFill>
            <w14:solidFill>
              <w14:schemeClr w14:val="tx1"/>
            </w14:solidFill>
          </w14:textFill>
        </w:rPr>
        <w:t>应用系统定制开发工作量核算表</w:t>
      </w:r>
      <w:bookmarkEnd w:id="46"/>
    </w:p>
    <w:tbl>
      <w:tblPr>
        <w:tblStyle w:val="25"/>
        <w:tblW w:w="8306" w:type="dxa"/>
        <w:jc w:val="center"/>
        <w:tblLayout w:type="autofit"/>
        <w:tblCellMar>
          <w:top w:w="0" w:type="dxa"/>
          <w:left w:w="108" w:type="dxa"/>
          <w:bottom w:w="0" w:type="dxa"/>
          <w:right w:w="108" w:type="dxa"/>
        </w:tblCellMar>
      </w:tblPr>
      <w:tblGrid>
        <w:gridCol w:w="655"/>
        <w:gridCol w:w="1465"/>
        <w:gridCol w:w="1040"/>
        <w:gridCol w:w="2270"/>
        <w:gridCol w:w="1739"/>
        <w:gridCol w:w="1137"/>
      </w:tblGrid>
      <w:tr>
        <w:tblPrEx>
          <w:tblCellMar>
            <w:top w:w="0" w:type="dxa"/>
            <w:left w:w="108" w:type="dxa"/>
            <w:bottom w:w="0" w:type="dxa"/>
            <w:right w:w="108" w:type="dxa"/>
          </w:tblCellMar>
        </w:tblPrEx>
        <w:trPr>
          <w:trHeight w:val="405" w:hRule="atLeast"/>
          <w:jc w:val="center"/>
        </w:trPr>
        <w:tc>
          <w:tcPr>
            <w:tcW w:w="8306" w:type="dxa"/>
            <w:gridSpan w:val="6"/>
            <w:tcBorders>
              <w:top w:val="nil"/>
              <w:left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应用系统</w:t>
            </w:r>
            <w:r>
              <w:rPr>
                <w:rFonts w:hint="eastAsia" w:ascii="宋体" w:hAnsi="宋体" w:eastAsia="宋体" w:cs="宋体"/>
                <w:color w:val="000000"/>
                <w:kern w:val="0"/>
                <w:sz w:val="20"/>
                <w:szCs w:val="20"/>
                <w:lang w:eastAsia="zh-CN"/>
                <w14:ligatures w14:val="none"/>
              </w:rPr>
              <w:t>运维升级</w:t>
            </w:r>
            <w:r>
              <w:rPr>
                <w:rFonts w:hint="eastAsia" w:ascii="宋体" w:hAnsi="宋体" w:eastAsia="宋体" w:cs="宋体"/>
                <w:color w:val="000000"/>
                <w:kern w:val="0"/>
                <w:sz w:val="20"/>
                <w:szCs w:val="20"/>
                <w14:ligatures w14:val="none"/>
              </w:rPr>
              <w:t>工作量核算表</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序号</w:t>
            </w:r>
          </w:p>
        </w:tc>
        <w:tc>
          <w:tcPr>
            <w:tcW w:w="1465" w:type="dxa"/>
            <w:tcBorders>
              <w:top w:val="nil"/>
              <w:left w:val="nil"/>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一级功能</w:t>
            </w:r>
          </w:p>
        </w:tc>
        <w:tc>
          <w:tcPr>
            <w:tcW w:w="1040" w:type="dxa"/>
            <w:tcBorders>
              <w:top w:val="nil"/>
              <w:left w:val="nil"/>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二级功能</w:t>
            </w:r>
          </w:p>
        </w:tc>
        <w:tc>
          <w:tcPr>
            <w:tcW w:w="2270" w:type="dxa"/>
            <w:tcBorders>
              <w:top w:val="nil"/>
              <w:left w:val="nil"/>
              <w:bottom w:val="single" w:color="auto" w:sz="4" w:space="0"/>
              <w:right w:val="single" w:color="auto" w:sz="4" w:space="0"/>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三级功能</w:t>
            </w:r>
          </w:p>
        </w:tc>
        <w:tc>
          <w:tcPr>
            <w:tcW w:w="1739" w:type="dxa"/>
            <w:tcBorders>
              <w:top w:val="nil"/>
              <w:left w:val="nil"/>
              <w:bottom w:val="single" w:color="auto" w:sz="4" w:space="0"/>
              <w:right w:val="nil"/>
            </w:tcBorders>
            <w:shd w:val="clear" w:color="auto" w:fill="D8D8D8" w:themeFill="background1" w:themeFillShade="D9"/>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工作量（人月）</w:t>
            </w:r>
          </w:p>
        </w:tc>
        <w:tc>
          <w:tcPr>
            <w:tcW w:w="1137" w:type="dxa"/>
            <w:tcBorders>
              <w:top w:val="nil"/>
              <w:left w:val="single" w:color="auto" w:sz="4" w:space="0"/>
              <w:bottom w:val="nil"/>
              <w:right w:val="single" w:color="auto" w:sz="4" w:space="0"/>
            </w:tcBorders>
            <w:shd w:val="clear" w:color="auto" w:fill="D8D8D8" w:themeFill="background1" w:themeFillShade="D9"/>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小计（万元）</w:t>
            </w:r>
          </w:p>
        </w:tc>
      </w:tr>
      <w:tr>
        <w:tblPrEx>
          <w:tblCellMar>
            <w:top w:w="0" w:type="dxa"/>
            <w:left w:w="108" w:type="dxa"/>
            <w:bottom w:w="0" w:type="dxa"/>
            <w:right w:w="108" w:type="dxa"/>
          </w:tblCellMar>
        </w:tblPrEx>
        <w:trPr>
          <w:trHeight w:val="442"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一</w:t>
            </w:r>
          </w:p>
        </w:tc>
        <w:tc>
          <w:tcPr>
            <w:tcW w:w="4775" w:type="dxa"/>
            <w:gridSpan w:val="3"/>
            <w:tcBorders>
              <w:top w:val="single" w:color="auto" w:sz="4" w:space="0"/>
              <w:left w:val="nil"/>
              <w:bottom w:val="single" w:color="auto" w:sz="4" w:space="0"/>
              <w:right w:val="single" w:color="000000"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数据资源中心</w:t>
            </w:r>
          </w:p>
        </w:tc>
        <w:tc>
          <w:tcPr>
            <w:tcW w:w="1739"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w:t>
            </w:r>
          </w:p>
        </w:tc>
        <w:tc>
          <w:tcPr>
            <w:tcW w:w="1137"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w:t>
            </w:r>
          </w:p>
        </w:tc>
      </w:tr>
      <w:tr>
        <w:tblPrEx>
          <w:tblCellMar>
            <w:top w:w="0" w:type="dxa"/>
            <w:left w:w="108" w:type="dxa"/>
            <w:bottom w:w="0" w:type="dxa"/>
            <w:right w:w="108" w:type="dxa"/>
          </w:tblCellMar>
        </w:tblPrEx>
        <w:trPr>
          <w:trHeight w:val="42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restart"/>
            <w:tcBorders>
              <w:top w:val="nil"/>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TIPS数据交换程序</w:t>
            </w:r>
          </w:p>
        </w:tc>
        <w:tc>
          <w:tcPr>
            <w:tcW w:w="104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队列监控</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370"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通道监控</w:t>
            </w: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430"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事务管理</w:t>
            </w: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43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上行直通</w:t>
            </w: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43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下行分发</w:t>
            </w: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下行匹配</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下行广播</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配置管理</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bottom w:val="single" w:color="auto" w:sz="4" w:space="0"/>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日志管理</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94"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restart"/>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TIPS核心通讯程序</w:t>
            </w:r>
          </w:p>
        </w:tc>
        <w:tc>
          <w:tcPr>
            <w:tcW w:w="1040" w:type="dxa"/>
            <w:vMerge w:val="restart"/>
            <w:tcBorders>
              <w:top w:val="nil"/>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接收</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3128报文解析、插库</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3129报文解析、插库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3139报文解析、插库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3140报文解析、插库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3141报文解析、插库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3142报文解析、插库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3178报文解析、插库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9100报文解析、插库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3128报文解析、插库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3128报文解析、插库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320" w:hRule="atLeast"/>
          <w:jc w:val="center"/>
        </w:trPr>
        <w:tc>
          <w:tcPr>
            <w:tcW w:w="655" w:type="dxa"/>
            <w:tcBorders>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2001报文解析、插库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9101报文解析、插库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9113报文解析、插库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9114报文解析、插库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9120报文解析、插库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9121报文解析、插库</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restart"/>
            <w:tcBorders>
              <w:top w:val="single" w:color="auto" w:sz="4" w:space="0"/>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发送</w:t>
            </w: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1001报文组装、发送</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1021报文组装、发送</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5001报文组装、发送</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5002报文组装、发送</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5003报文组装、发送</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9001报文组装、发送</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9113报文组装、发送</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restart"/>
            <w:tcBorders>
              <w:top w:val="single" w:color="auto" w:sz="4" w:space="0"/>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公用</w:t>
            </w: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事务管理</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交易管理</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日志管理</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连接池管理</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回放工具</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签名</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验签</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加密</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解密</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bottom w:val="single" w:color="auto" w:sz="4" w:space="0"/>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配置管理</w:t>
            </w:r>
          </w:p>
        </w:tc>
        <w:tc>
          <w:tcPr>
            <w:tcW w:w="1739"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single" w:color="auto" w:sz="4" w:space="0"/>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543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小计</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二</w:t>
            </w:r>
          </w:p>
        </w:tc>
        <w:tc>
          <w:tcPr>
            <w:tcW w:w="4775" w:type="dxa"/>
            <w:gridSpan w:val="3"/>
            <w:tcBorders>
              <w:top w:val="single" w:color="auto" w:sz="4" w:space="0"/>
              <w:left w:val="nil"/>
              <w:bottom w:val="single" w:color="auto" w:sz="4" w:space="0"/>
              <w:right w:val="single" w:color="000000"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基础平台</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137"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restart"/>
            <w:tcBorders>
              <w:top w:val="nil"/>
              <w:left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基础数据处理</w:t>
            </w:r>
          </w:p>
        </w:tc>
        <w:tc>
          <w:tcPr>
            <w:tcW w:w="1040" w:type="dxa"/>
            <w:vMerge w:val="restart"/>
            <w:tcBorders>
              <w:top w:val="nil"/>
              <w:left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业务逻辑处理</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3128业务逻辑处理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3129业务逻辑处理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3126业务逻辑处理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3139业务逻辑处理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3140业务逻辑处理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3141业务逻辑处理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3142业务逻辑处理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3143业务逻辑处理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3178业务逻辑处理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1001业务逻辑处理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1021业务逻辑处理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2001业务逻辑处理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9120业务逻辑处理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9121业务逻辑处理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9113业务逻辑处理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9114业务逻辑处理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9100业务逻辑处理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0.36</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restart"/>
            <w:tcBorders>
              <w:top w:val="single" w:color="auto" w:sz="4" w:space="0"/>
              <w:left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报表查询</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收入报表明细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收入预测报表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收入报表汇总</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T+0报表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收入报表合并</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收入报表比对</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库存报表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实时账户余额</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重点税源税种统计</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重点税源级次统计</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重点税源行业统计</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定时批量事务处理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数据自动备份</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用户登录管理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single" w:color="auto"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vMerge w:val="continue"/>
            <w:tcBorders>
              <w:left w:val="single" w:color="auto" w:sz="4" w:space="0"/>
              <w:bottom w:val="single" w:color="000000" w:sz="4" w:space="0"/>
              <w:right w:val="single" w:color="auto" w:sz="4" w:space="0"/>
            </w:tcBorders>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数据导出excel文件</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0.15</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0.27</w:t>
            </w:r>
          </w:p>
        </w:tc>
      </w:tr>
      <w:tr>
        <w:tblPrEx>
          <w:tblCellMar>
            <w:top w:w="0" w:type="dxa"/>
            <w:left w:w="108" w:type="dxa"/>
            <w:bottom w:w="0" w:type="dxa"/>
            <w:right w:w="108" w:type="dxa"/>
          </w:tblCellMar>
        </w:tblPrEx>
        <w:trPr>
          <w:trHeight w:val="285" w:hRule="atLeast"/>
          <w:jc w:val="center"/>
        </w:trPr>
        <w:tc>
          <w:tcPr>
            <w:tcW w:w="543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小计</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三</w:t>
            </w:r>
          </w:p>
        </w:tc>
        <w:tc>
          <w:tcPr>
            <w:tcW w:w="1465" w:type="dxa"/>
            <w:tcBorders>
              <w:top w:val="nil"/>
              <w:left w:val="nil"/>
              <w:bottom w:val="single" w:color="auto" w:sz="4" w:space="0"/>
              <w:right w:val="single" w:color="auto" w:sz="4" w:space="0"/>
            </w:tcBorders>
            <w:shd w:val="clear" w:color="auto" w:fill="auto"/>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应用软件</w:t>
            </w:r>
          </w:p>
        </w:tc>
        <w:tc>
          <w:tcPr>
            <w:tcW w:w="104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restart"/>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预算收入综合查询系统</w:t>
            </w:r>
          </w:p>
        </w:tc>
        <w:tc>
          <w:tcPr>
            <w:tcW w:w="1040" w:type="dxa"/>
            <w:tcBorders>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产生48种报表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0.54</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收入报表明细</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产生48种报表明细</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0.54</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收入报表汇总</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产生48种汇总报表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0.54</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收入报表预测</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产生48种预测报表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0.54</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T+0报表</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产生48种T+0报表</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w:t>
            </w:r>
          </w:p>
        </w:tc>
        <w:tc>
          <w:tcPr>
            <w:tcW w:w="1137" w:type="dxa"/>
            <w:tcBorders>
              <w:top w:val="nil"/>
              <w:left w:val="nil"/>
              <w:bottom w:val="single" w:color="auto" w:sz="4" w:space="0"/>
              <w:right w:val="single" w:color="auto" w:sz="4" w:space="0"/>
            </w:tcBorders>
            <w:shd w:val="clear" w:color="auto" w:fill="auto"/>
            <w:noWrap/>
            <w:vAlign w:val="top"/>
          </w:tcPr>
          <w:p>
            <w:pPr>
              <w:widowControl/>
              <w:spacing w:after="0" w:line="240" w:lineRule="auto"/>
              <w:jc w:val="center"/>
              <w:rPr>
                <w:rFonts w:hint="eastAsia"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0.54</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库存日报</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w:t>
            </w: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0.18</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实时账户余额</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w:t>
            </w: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0.18</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重点税源监控</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w:t>
            </w: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0.18</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纳税税种统计</w:t>
            </w:r>
          </w:p>
        </w:tc>
        <w:tc>
          <w:tcPr>
            <w:tcW w:w="227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0.1</w:t>
            </w: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0.18</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纳税级次统计</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w:t>
            </w: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lang w:val="en-US" w:eastAsia="zh-CN"/>
                <w14:ligatures w14:val="none"/>
              </w:rPr>
              <w:t>0.18</w:t>
            </w:r>
          </w:p>
        </w:tc>
      </w:tr>
      <w:tr>
        <w:tblPrEx>
          <w:tblCellMar>
            <w:top w:w="0" w:type="dxa"/>
            <w:left w:w="108" w:type="dxa"/>
            <w:bottom w:w="0" w:type="dxa"/>
            <w:right w:w="108" w:type="dxa"/>
          </w:tblCellMar>
        </w:tblPrEx>
        <w:trPr>
          <w:trHeight w:val="285" w:hRule="atLeast"/>
          <w:jc w:val="center"/>
        </w:trPr>
        <w:tc>
          <w:tcPr>
            <w:tcW w:w="655" w:type="dxa"/>
            <w:tcBorders>
              <w:top w:val="nil"/>
              <w:left w:val="single" w:color="auto" w:sz="4" w:space="0"/>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vMerge w:val="continue"/>
            <w:tcBorders>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single" w:color="auto" w:sz="4" w:space="0"/>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行业统计报表</w:t>
            </w:r>
          </w:p>
        </w:tc>
        <w:tc>
          <w:tcPr>
            <w:tcW w:w="2270"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0.31</w:t>
            </w: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default" w:ascii="宋体" w:hAnsi="宋体" w:eastAsia="宋体" w:cs="宋体"/>
                <w:color w:val="000000"/>
                <w:kern w:val="0"/>
                <w:sz w:val="20"/>
                <w:szCs w:val="20"/>
                <w:lang w:val="en-US" w:eastAsia="zh-CN"/>
                <w14:ligatures w14:val="none"/>
              </w:rPr>
            </w:pPr>
            <w:r>
              <w:rPr>
                <w:rFonts w:hint="eastAsia" w:ascii="宋体" w:hAnsi="宋体" w:eastAsia="宋体" w:cs="宋体"/>
                <w:color w:val="000000"/>
                <w:kern w:val="0"/>
                <w:sz w:val="20"/>
                <w:szCs w:val="20"/>
                <w:lang w:val="en-US" w:eastAsia="zh-CN"/>
                <w14:ligatures w14:val="none"/>
              </w:rPr>
              <w:t>0.55</w:t>
            </w:r>
          </w:p>
        </w:tc>
      </w:tr>
      <w:tr>
        <w:tblPrEx>
          <w:tblCellMar>
            <w:top w:w="0" w:type="dxa"/>
            <w:left w:w="108" w:type="dxa"/>
            <w:bottom w:w="0" w:type="dxa"/>
            <w:right w:w="108" w:type="dxa"/>
          </w:tblCellMar>
        </w:tblPrEx>
        <w:trPr>
          <w:trHeight w:val="285" w:hRule="atLeast"/>
          <w:jc w:val="center"/>
        </w:trPr>
        <w:tc>
          <w:tcPr>
            <w:tcW w:w="543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小计</w:t>
            </w:r>
          </w:p>
        </w:tc>
        <w:tc>
          <w:tcPr>
            <w:tcW w:w="1739" w:type="dxa"/>
            <w:tcBorders>
              <w:top w:val="nil"/>
              <w:left w:val="nil"/>
              <w:bottom w:val="single" w:color="auto" w:sz="4" w:space="0"/>
              <w:right w:val="single" w:color="auto" w:sz="4" w:space="0"/>
            </w:tcBorders>
            <w:shd w:val="clear" w:color="auto" w:fill="auto"/>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r>
      <w:tr>
        <w:tblPrEx>
          <w:tblCellMar>
            <w:top w:w="0" w:type="dxa"/>
            <w:left w:w="108" w:type="dxa"/>
            <w:bottom w:w="0" w:type="dxa"/>
            <w:right w:w="108" w:type="dxa"/>
          </w:tblCellMar>
        </w:tblPrEx>
        <w:trPr>
          <w:trHeight w:val="285" w:hRule="atLeast"/>
          <w:jc w:val="center"/>
        </w:trPr>
        <w:tc>
          <w:tcPr>
            <w:tcW w:w="2120"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合计</w:t>
            </w:r>
          </w:p>
        </w:tc>
        <w:tc>
          <w:tcPr>
            <w:tcW w:w="1040"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w:t>
            </w:r>
          </w:p>
        </w:tc>
        <w:tc>
          <w:tcPr>
            <w:tcW w:w="2270"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w:t>
            </w:r>
          </w:p>
        </w:tc>
        <w:tc>
          <w:tcPr>
            <w:tcW w:w="1739"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137" w:type="dxa"/>
            <w:tcBorders>
              <w:top w:val="nil"/>
              <w:left w:val="nil"/>
              <w:bottom w:val="single" w:color="auto" w:sz="4" w:space="0"/>
              <w:right w:val="single" w:color="auto" w:sz="4" w:space="0"/>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r>
      <w:tr>
        <w:tblPrEx>
          <w:tblCellMar>
            <w:top w:w="0" w:type="dxa"/>
            <w:left w:w="108" w:type="dxa"/>
            <w:bottom w:w="0" w:type="dxa"/>
            <w:right w:w="108" w:type="dxa"/>
          </w:tblCellMar>
        </w:tblPrEx>
        <w:trPr>
          <w:trHeight w:val="285" w:hRule="atLeast"/>
          <w:jc w:val="center"/>
        </w:trPr>
        <w:tc>
          <w:tcPr>
            <w:tcW w:w="655" w:type="dxa"/>
            <w:tcBorders>
              <w:top w:val="nil"/>
              <w:left w:val="nil"/>
              <w:bottom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465" w:type="dxa"/>
            <w:tcBorders>
              <w:top w:val="nil"/>
              <w:left w:val="nil"/>
              <w:bottom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040" w:type="dxa"/>
            <w:tcBorders>
              <w:top w:val="nil"/>
              <w:left w:val="nil"/>
              <w:bottom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2270" w:type="dxa"/>
            <w:tcBorders>
              <w:top w:val="nil"/>
              <w:left w:val="nil"/>
              <w:bottom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739" w:type="dxa"/>
            <w:tcBorders>
              <w:top w:val="nil"/>
              <w:left w:val="nil"/>
              <w:bottom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c>
          <w:tcPr>
            <w:tcW w:w="1137" w:type="dxa"/>
            <w:tcBorders>
              <w:top w:val="nil"/>
              <w:left w:val="nil"/>
              <w:bottom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p>
        </w:tc>
      </w:tr>
      <w:tr>
        <w:tblPrEx>
          <w:tblCellMar>
            <w:top w:w="0" w:type="dxa"/>
            <w:left w:w="108" w:type="dxa"/>
            <w:bottom w:w="0" w:type="dxa"/>
            <w:right w:w="108" w:type="dxa"/>
          </w:tblCellMar>
        </w:tblPrEx>
        <w:trPr>
          <w:trHeight w:val="285" w:hRule="atLeast"/>
          <w:jc w:val="center"/>
        </w:trPr>
        <w:tc>
          <w:tcPr>
            <w:tcW w:w="8306" w:type="dxa"/>
            <w:gridSpan w:val="6"/>
            <w:tcBorders>
              <w:top w:val="nil"/>
              <w:left w:val="nil"/>
              <w:bottom w:val="nil"/>
              <w:right w:val="nil"/>
            </w:tcBorders>
            <w:shd w:val="clear" w:color="auto" w:fill="auto"/>
            <w:noWrap/>
            <w:vAlign w:val="center"/>
          </w:tcPr>
          <w:p>
            <w:pPr>
              <w:widowControl/>
              <w:spacing w:after="0" w:line="240" w:lineRule="auto"/>
              <w:jc w:val="center"/>
              <w:rPr>
                <w:rFonts w:hint="eastAsia" w:ascii="宋体" w:hAnsi="宋体" w:eastAsia="宋体" w:cs="宋体"/>
                <w:color w:val="000000"/>
                <w:kern w:val="0"/>
                <w:sz w:val="20"/>
                <w:szCs w:val="20"/>
                <w14:ligatures w14:val="none"/>
              </w:rPr>
            </w:pPr>
            <w:r>
              <w:rPr>
                <w:rFonts w:hint="eastAsia" w:ascii="宋体" w:hAnsi="宋体" w:eastAsia="宋体" w:cs="宋体"/>
                <w:color w:val="000000"/>
                <w:kern w:val="0"/>
                <w:sz w:val="20"/>
                <w:szCs w:val="20"/>
                <w14:ligatures w14:val="none"/>
              </w:rPr>
              <w:t xml:space="preserve">备注：人工综合单价为： </w:t>
            </w:r>
            <w:r>
              <w:rPr>
                <w:rFonts w:hint="eastAsia" w:ascii="宋体" w:hAnsi="宋体" w:eastAsia="宋体" w:cs="宋体"/>
                <w:color w:val="000000"/>
                <w:kern w:val="0"/>
                <w:sz w:val="20"/>
                <w:szCs w:val="20"/>
                <w:lang w:val="en-US" w:eastAsia="zh-CN"/>
                <w14:ligatures w14:val="none"/>
              </w:rPr>
              <w:t>1.8</w:t>
            </w:r>
            <w:r>
              <w:rPr>
                <w:rFonts w:hint="eastAsia" w:ascii="宋体" w:hAnsi="宋体" w:eastAsia="宋体" w:cs="宋体"/>
                <w:color w:val="000000"/>
                <w:kern w:val="0"/>
                <w:sz w:val="20"/>
                <w:szCs w:val="20"/>
                <w14:ligatures w14:val="none"/>
              </w:rPr>
              <w:t>万元/人月</w:t>
            </w:r>
          </w:p>
        </w:tc>
      </w:tr>
      <w:bookmarkEnd w:id="47"/>
    </w:tbl>
    <w:p>
      <w:pPr>
        <w:pStyle w:val="43"/>
        <w:ind w:left="0" w:firstLine="566" w:firstLineChars="236"/>
        <w:rPr>
          <w:rFonts w:hint="eastAsia" w:ascii="仿宋" w:hAnsi="仿宋" w:eastAsia="仿宋"/>
          <w:sz w:val="24"/>
        </w:rPr>
      </w:pPr>
      <w:bookmarkStart w:id="48" w:name="_GoBack"/>
      <w:bookmarkEnd w:id="48"/>
    </w:p>
    <w:sectPr>
      <w:headerReference r:id="rId3" w:type="default"/>
      <w:footerReference r:id="rId4"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Web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MS Gothic">
    <w:panose1 w:val="020B0609070205080204"/>
    <w:charset w:val="80"/>
    <w:family w:val="moder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font>
  <w:font w:name="Webdings">
    <w:panose1 w:val="05030102010509060703"/>
    <w:charset w:val="00"/>
    <w:family w:val="auto"/>
    <w:pitch w:val="default"/>
    <w:sig w:usb0="00000000" w:usb1="00000000" w:usb2="00000000" w:usb3="00000000" w:csb0="8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5302243"/>
      <w:docPartObj>
        <w:docPartGallery w:val="autotext"/>
      </w:docPartObj>
    </w:sdtPr>
    <w:sdtContent>
      <w:sdt>
        <w:sdtPr>
          <w:id w:val="1728636285"/>
          <w:docPartObj>
            <w:docPartGallery w:val="autotext"/>
          </w:docPartObj>
        </w:sdtPr>
        <w:sdtContent>
          <w:p>
            <w:pPr>
              <w:pStyle w:val="1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pPr>
      <w:pStyle w:val="15"/>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rPr>
        <w:rFonts w:hint="eastAsia"/>
      </w:rPr>
    </w:pPr>
    <w:r>
      <w:rPr>
        <w:rFonts w:hint="eastAsia"/>
      </w:rPr>
      <w:t>武汉市财政局预算收入综合查询系统</w:t>
    </w:r>
    <w:r>
      <w:rPr>
        <w:rFonts w:hint="eastAsia"/>
        <w:lang w:eastAsia="zh-CN"/>
      </w:rPr>
      <w:t>运维升级</w:t>
    </w:r>
    <w:r>
      <w:rPr>
        <w:rFonts w:hint="eastAsia"/>
      </w:rPr>
      <w:t>方案及概算</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54437"/>
    <w:multiLevelType w:val="multilevel"/>
    <w:tmpl w:val="10F54437"/>
    <w:lvl w:ilvl="0" w:tentative="0">
      <w:start w:val="1"/>
      <w:numFmt w:val="bullet"/>
      <w:lvlText w:val=""/>
      <w:lvlJc w:val="left"/>
      <w:pPr>
        <w:ind w:left="1050" w:hanging="440"/>
      </w:pPr>
      <w:rPr>
        <w:rFonts w:hint="default" w:ascii="Wingdings" w:hAnsi="Wingdings"/>
      </w:rPr>
    </w:lvl>
    <w:lvl w:ilvl="1" w:tentative="0">
      <w:start w:val="1"/>
      <w:numFmt w:val="bullet"/>
      <w:lvlText w:val=""/>
      <w:lvlJc w:val="left"/>
      <w:pPr>
        <w:ind w:left="1490" w:hanging="440"/>
      </w:pPr>
      <w:rPr>
        <w:rFonts w:hint="default" w:ascii="Wingdings" w:hAnsi="Wingdings"/>
      </w:rPr>
    </w:lvl>
    <w:lvl w:ilvl="2" w:tentative="0">
      <w:start w:val="1"/>
      <w:numFmt w:val="bullet"/>
      <w:lvlText w:val=""/>
      <w:lvlJc w:val="left"/>
      <w:pPr>
        <w:ind w:left="1930" w:hanging="440"/>
      </w:pPr>
      <w:rPr>
        <w:rFonts w:hint="default" w:ascii="Wingdings" w:hAnsi="Wingdings"/>
      </w:rPr>
    </w:lvl>
    <w:lvl w:ilvl="3" w:tentative="0">
      <w:start w:val="1"/>
      <w:numFmt w:val="bullet"/>
      <w:lvlText w:val=""/>
      <w:lvlJc w:val="left"/>
      <w:pPr>
        <w:ind w:left="2370" w:hanging="440"/>
      </w:pPr>
      <w:rPr>
        <w:rFonts w:hint="default" w:ascii="Wingdings" w:hAnsi="Wingdings"/>
      </w:rPr>
    </w:lvl>
    <w:lvl w:ilvl="4" w:tentative="0">
      <w:start w:val="1"/>
      <w:numFmt w:val="bullet"/>
      <w:lvlText w:val=""/>
      <w:lvlJc w:val="left"/>
      <w:pPr>
        <w:ind w:left="2810" w:hanging="440"/>
      </w:pPr>
      <w:rPr>
        <w:rFonts w:hint="default" w:ascii="Wingdings" w:hAnsi="Wingdings"/>
      </w:rPr>
    </w:lvl>
    <w:lvl w:ilvl="5" w:tentative="0">
      <w:start w:val="1"/>
      <w:numFmt w:val="bullet"/>
      <w:lvlText w:val=""/>
      <w:lvlJc w:val="left"/>
      <w:pPr>
        <w:ind w:left="3250" w:hanging="440"/>
      </w:pPr>
      <w:rPr>
        <w:rFonts w:hint="default" w:ascii="Wingdings" w:hAnsi="Wingdings"/>
      </w:rPr>
    </w:lvl>
    <w:lvl w:ilvl="6" w:tentative="0">
      <w:start w:val="1"/>
      <w:numFmt w:val="bullet"/>
      <w:lvlText w:val=""/>
      <w:lvlJc w:val="left"/>
      <w:pPr>
        <w:ind w:left="3690" w:hanging="440"/>
      </w:pPr>
      <w:rPr>
        <w:rFonts w:hint="default" w:ascii="Wingdings" w:hAnsi="Wingdings"/>
      </w:rPr>
    </w:lvl>
    <w:lvl w:ilvl="7" w:tentative="0">
      <w:start w:val="1"/>
      <w:numFmt w:val="bullet"/>
      <w:lvlText w:val=""/>
      <w:lvlJc w:val="left"/>
      <w:pPr>
        <w:ind w:left="4130" w:hanging="440"/>
      </w:pPr>
      <w:rPr>
        <w:rFonts w:hint="default" w:ascii="Wingdings" w:hAnsi="Wingdings"/>
      </w:rPr>
    </w:lvl>
    <w:lvl w:ilvl="8" w:tentative="0">
      <w:start w:val="1"/>
      <w:numFmt w:val="bullet"/>
      <w:lvlText w:val=""/>
      <w:lvlJc w:val="left"/>
      <w:pPr>
        <w:ind w:left="4570" w:hanging="440"/>
      </w:pPr>
      <w:rPr>
        <w:rFonts w:hint="default" w:ascii="Wingdings" w:hAnsi="Wingdings"/>
      </w:rPr>
    </w:lvl>
  </w:abstractNum>
  <w:abstractNum w:abstractNumId="1">
    <w:nsid w:val="337005A8"/>
    <w:multiLevelType w:val="multilevel"/>
    <w:tmpl w:val="337005A8"/>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67480105"/>
    <w:multiLevelType w:val="multilevel"/>
    <w:tmpl w:val="67480105"/>
    <w:lvl w:ilvl="0" w:tentative="0">
      <w:start w:val="1"/>
      <w:numFmt w:val="bullet"/>
      <w:lvlText w:val=""/>
      <w:lvlJc w:val="left"/>
      <w:pPr>
        <w:ind w:left="1047" w:hanging="440"/>
      </w:pPr>
      <w:rPr>
        <w:rFonts w:hint="default" w:ascii="Wingdings" w:hAnsi="Wingdings"/>
      </w:rPr>
    </w:lvl>
    <w:lvl w:ilvl="1" w:tentative="0">
      <w:start w:val="1"/>
      <w:numFmt w:val="bullet"/>
      <w:lvlText w:val=""/>
      <w:lvlJc w:val="left"/>
      <w:pPr>
        <w:ind w:left="1487" w:hanging="440"/>
      </w:pPr>
      <w:rPr>
        <w:rFonts w:hint="default" w:ascii="Wingdings" w:hAnsi="Wingdings"/>
      </w:rPr>
    </w:lvl>
    <w:lvl w:ilvl="2" w:tentative="0">
      <w:start w:val="1"/>
      <w:numFmt w:val="bullet"/>
      <w:lvlText w:val=""/>
      <w:lvlJc w:val="left"/>
      <w:pPr>
        <w:ind w:left="1927" w:hanging="440"/>
      </w:pPr>
      <w:rPr>
        <w:rFonts w:hint="default" w:ascii="Wingdings" w:hAnsi="Wingdings"/>
      </w:rPr>
    </w:lvl>
    <w:lvl w:ilvl="3" w:tentative="0">
      <w:start w:val="1"/>
      <w:numFmt w:val="bullet"/>
      <w:lvlText w:val=""/>
      <w:lvlJc w:val="left"/>
      <w:pPr>
        <w:ind w:left="2367" w:hanging="440"/>
      </w:pPr>
      <w:rPr>
        <w:rFonts w:hint="default" w:ascii="Wingdings" w:hAnsi="Wingdings"/>
      </w:rPr>
    </w:lvl>
    <w:lvl w:ilvl="4" w:tentative="0">
      <w:start w:val="1"/>
      <w:numFmt w:val="bullet"/>
      <w:lvlText w:val=""/>
      <w:lvlJc w:val="left"/>
      <w:pPr>
        <w:ind w:left="2807" w:hanging="440"/>
      </w:pPr>
      <w:rPr>
        <w:rFonts w:hint="default" w:ascii="Wingdings" w:hAnsi="Wingdings"/>
      </w:rPr>
    </w:lvl>
    <w:lvl w:ilvl="5" w:tentative="0">
      <w:start w:val="1"/>
      <w:numFmt w:val="bullet"/>
      <w:lvlText w:val=""/>
      <w:lvlJc w:val="left"/>
      <w:pPr>
        <w:ind w:left="3247" w:hanging="440"/>
      </w:pPr>
      <w:rPr>
        <w:rFonts w:hint="default" w:ascii="Wingdings" w:hAnsi="Wingdings"/>
      </w:rPr>
    </w:lvl>
    <w:lvl w:ilvl="6" w:tentative="0">
      <w:start w:val="1"/>
      <w:numFmt w:val="bullet"/>
      <w:lvlText w:val=""/>
      <w:lvlJc w:val="left"/>
      <w:pPr>
        <w:ind w:left="3687" w:hanging="440"/>
      </w:pPr>
      <w:rPr>
        <w:rFonts w:hint="default" w:ascii="Wingdings" w:hAnsi="Wingdings"/>
      </w:rPr>
    </w:lvl>
    <w:lvl w:ilvl="7" w:tentative="0">
      <w:start w:val="1"/>
      <w:numFmt w:val="bullet"/>
      <w:lvlText w:val=""/>
      <w:lvlJc w:val="left"/>
      <w:pPr>
        <w:ind w:left="4127" w:hanging="440"/>
      </w:pPr>
      <w:rPr>
        <w:rFonts w:hint="default" w:ascii="Wingdings" w:hAnsi="Wingdings"/>
      </w:rPr>
    </w:lvl>
    <w:lvl w:ilvl="8" w:tentative="0">
      <w:start w:val="1"/>
      <w:numFmt w:val="bullet"/>
      <w:lvlText w:val=""/>
      <w:lvlJc w:val="left"/>
      <w:pPr>
        <w:ind w:left="4567" w:hanging="44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D56"/>
    <w:rsid w:val="00015E8F"/>
    <w:rsid w:val="00017D1A"/>
    <w:rsid w:val="00024E6F"/>
    <w:rsid w:val="00031251"/>
    <w:rsid w:val="00031D89"/>
    <w:rsid w:val="00040D6D"/>
    <w:rsid w:val="00061EDA"/>
    <w:rsid w:val="00076C80"/>
    <w:rsid w:val="000830E1"/>
    <w:rsid w:val="00091BF6"/>
    <w:rsid w:val="000959DC"/>
    <w:rsid w:val="000A46E2"/>
    <w:rsid w:val="000A74F7"/>
    <w:rsid w:val="000B43CB"/>
    <w:rsid w:val="000D176C"/>
    <w:rsid w:val="000D3FB5"/>
    <w:rsid w:val="00114156"/>
    <w:rsid w:val="00116C48"/>
    <w:rsid w:val="00117BD2"/>
    <w:rsid w:val="00130339"/>
    <w:rsid w:val="00137D80"/>
    <w:rsid w:val="001470DB"/>
    <w:rsid w:val="00152024"/>
    <w:rsid w:val="00152A05"/>
    <w:rsid w:val="001536B0"/>
    <w:rsid w:val="00156B1D"/>
    <w:rsid w:val="00173EF5"/>
    <w:rsid w:val="00177D03"/>
    <w:rsid w:val="001840C3"/>
    <w:rsid w:val="001931E9"/>
    <w:rsid w:val="001A0FA0"/>
    <w:rsid w:val="001A2B3F"/>
    <w:rsid w:val="001C2F99"/>
    <w:rsid w:val="001C3E74"/>
    <w:rsid w:val="001D142A"/>
    <w:rsid w:val="001E0A66"/>
    <w:rsid w:val="001E2CBC"/>
    <w:rsid w:val="001E558F"/>
    <w:rsid w:val="001F475E"/>
    <w:rsid w:val="0022034B"/>
    <w:rsid w:val="002244A2"/>
    <w:rsid w:val="002404FB"/>
    <w:rsid w:val="002421DC"/>
    <w:rsid w:val="002609C7"/>
    <w:rsid w:val="00263024"/>
    <w:rsid w:val="002A7A04"/>
    <w:rsid w:val="002B1939"/>
    <w:rsid w:val="002C39F2"/>
    <w:rsid w:val="002C6E7F"/>
    <w:rsid w:val="002D358A"/>
    <w:rsid w:val="0030017F"/>
    <w:rsid w:val="00307E62"/>
    <w:rsid w:val="00314D70"/>
    <w:rsid w:val="00321211"/>
    <w:rsid w:val="00322614"/>
    <w:rsid w:val="00332BE2"/>
    <w:rsid w:val="00345788"/>
    <w:rsid w:val="00382C6A"/>
    <w:rsid w:val="00395297"/>
    <w:rsid w:val="003A5558"/>
    <w:rsid w:val="003A5686"/>
    <w:rsid w:val="003B41FD"/>
    <w:rsid w:val="003C57F9"/>
    <w:rsid w:val="003D1A28"/>
    <w:rsid w:val="003E4709"/>
    <w:rsid w:val="003E5B89"/>
    <w:rsid w:val="003F2F85"/>
    <w:rsid w:val="004150CC"/>
    <w:rsid w:val="004202BB"/>
    <w:rsid w:val="00425D59"/>
    <w:rsid w:val="00430443"/>
    <w:rsid w:val="00437C8E"/>
    <w:rsid w:val="00447D3E"/>
    <w:rsid w:val="004574D3"/>
    <w:rsid w:val="00464471"/>
    <w:rsid w:val="00475C44"/>
    <w:rsid w:val="00477866"/>
    <w:rsid w:val="00490DAE"/>
    <w:rsid w:val="004A0918"/>
    <w:rsid w:val="004A7CB9"/>
    <w:rsid w:val="004B256F"/>
    <w:rsid w:val="004B610B"/>
    <w:rsid w:val="004C3BDC"/>
    <w:rsid w:val="004D3280"/>
    <w:rsid w:val="004E2EE9"/>
    <w:rsid w:val="004E6B56"/>
    <w:rsid w:val="004F0E5D"/>
    <w:rsid w:val="00514A72"/>
    <w:rsid w:val="005173C7"/>
    <w:rsid w:val="00543D3A"/>
    <w:rsid w:val="005478E0"/>
    <w:rsid w:val="0055245E"/>
    <w:rsid w:val="0055338D"/>
    <w:rsid w:val="00572E83"/>
    <w:rsid w:val="0058198B"/>
    <w:rsid w:val="00581ADC"/>
    <w:rsid w:val="00583B15"/>
    <w:rsid w:val="005918D2"/>
    <w:rsid w:val="00592DB7"/>
    <w:rsid w:val="005A26F2"/>
    <w:rsid w:val="005A3C2B"/>
    <w:rsid w:val="005A5DC7"/>
    <w:rsid w:val="005B3ED9"/>
    <w:rsid w:val="005C7FA5"/>
    <w:rsid w:val="005D2C92"/>
    <w:rsid w:val="005D3ED6"/>
    <w:rsid w:val="005E1150"/>
    <w:rsid w:val="005E732D"/>
    <w:rsid w:val="005F31FE"/>
    <w:rsid w:val="00603816"/>
    <w:rsid w:val="00631E5A"/>
    <w:rsid w:val="006360C2"/>
    <w:rsid w:val="006444A4"/>
    <w:rsid w:val="00646401"/>
    <w:rsid w:val="006475E7"/>
    <w:rsid w:val="00663FB7"/>
    <w:rsid w:val="006733B5"/>
    <w:rsid w:val="00675294"/>
    <w:rsid w:val="0067788C"/>
    <w:rsid w:val="00697D07"/>
    <w:rsid w:val="00697F8B"/>
    <w:rsid w:val="006B3FC9"/>
    <w:rsid w:val="006B3FFA"/>
    <w:rsid w:val="006C0E81"/>
    <w:rsid w:val="006C1999"/>
    <w:rsid w:val="006C4B16"/>
    <w:rsid w:val="006D2471"/>
    <w:rsid w:val="006D578E"/>
    <w:rsid w:val="006D648E"/>
    <w:rsid w:val="006D7C2A"/>
    <w:rsid w:val="006E4A55"/>
    <w:rsid w:val="006F029B"/>
    <w:rsid w:val="006F791E"/>
    <w:rsid w:val="006F7EA6"/>
    <w:rsid w:val="007107A0"/>
    <w:rsid w:val="00726F6B"/>
    <w:rsid w:val="00727CC6"/>
    <w:rsid w:val="00735249"/>
    <w:rsid w:val="007409E9"/>
    <w:rsid w:val="0074710A"/>
    <w:rsid w:val="00752D56"/>
    <w:rsid w:val="00754C3F"/>
    <w:rsid w:val="00757342"/>
    <w:rsid w:val="007627BF"/>
    <w:rsid w:val="00764ACD"/>
    <w:rsid w:val="00782D26"/>
    <w:rsid w:val="00785DD3"/>
    <w:rsid w:val="00791122"/>
    <w:rsid w:val="00794087"/>
    <w:rsid w:val="007B5178"/>
    <w:rsid w:val="007B5304"/>
    <w:rsid w:val="007D3B2D"/>
    <w:rsid w:val="007D5F91"/>
    <w:rsid w:val="007E183F"/>
    <w:rsid w:val="007E276D"/>
    <w:rsid w:val="007E616F"/>
    <w:rsid w:val="00820A05"/>
    <w:rsid w:val="008467F7"/>
    <w:rsid w:val="00850C2E"/>
    <w:rsid w:val="00872B2F"/>
    <w:rsid w:val="00880DBC"/>
    <w:rsid w:val="00893BC9"/>
    <w:rsid w:val="008E0F72"/>
    <w:rsid w:val="008E4903"/>
    <w:rsid w:val="008E7EC8"/>
    <w:rsid w:val="008F090C"/>
    <w:rsid w:val="008F6B54"/>
    <w:rsid w:val="008F6BEF"/>
    <w:rsid w:val="00907047"/>
    <w:rsid w:val="0092351B"/>
    <w:rsid w:val="00925944"/>
    <w:rsid w:val="00927926"/>
    <w:rsid w:val="00931411"/>
    <w:rsid w:val="00934935"/>
    <w:rsid w:val="00943992"/>
    <w:rsid w:val="00950670"/>
    <w:rsid w:val="0095149D"/>
    <w:rsid w:val="00961BAC"/>
    <w:rsid w:val="0098249E"/>
    <w:rsid w:val="00991B22"/>
    <w:rsid w:val="009A0284"/>
    <w:rsid w:val="009A48F7"/>
    <w:rsid w:val="009B2533"/>
    <w:rsid w:val="009B2A40"/>
    <w:rsid w:val="009C1AA7"/>
    <w:rsid w:val="009C670C"/>
    <w:rsid w:val="009E165B"/>
    <w:rsid w:val="009F1721"/>
    <w:rsid w:val="009F3B33"/>
    <w:rsid w:val="00A03C46"/>
    <w:rsid w:val="00A26C46"/>
    <w:rsid w:val="00A52F89"/>
    <w:rsid w:val="00A55E61"/>
    <w:rsid w:val="00A622CF"/>
    <w:rsid w:val="00A76561"/>
    <w:rsid w:val="00A77672"/>
    <w:rsid w:val="00A82D1F"/>
    <w:rsid w:val="00A8505D"/>
    <w:rsid w:val="00A903C5"/>
    <w:rsid w:val="00A950FA"/>
    <w:rsid w:val="00A95CD6"/>
    <w:rsid w:val="00AA0A78"/>
    <w:rsid w:val="00AA68A8"/>
    <w:rsid w:val="00AA6D5A"/>
    <w:rsid w:val="00AA7ECD"/>
    <w:rsid w:val="00AB4ECB"/>
    <w:rsid w:val="00AC296E"/>
    <w:rsid w:val="00AC726E"/>
    <w:rsid w:val="00AE44E6"/>
    <w:rsid w:val="00AE69D0"/>
    <w:rsid w:val="00B00F79"/>
    <w:rsid w:val="00B01E98"/>
    <w:rsid w:val="00B212E3"/>
    <w:rsid w:val="00B35CF2"/>
    <w:rsid w:val="00B52043"/>
    <w:rsid w:val="00B53C2A"/>
    <w:rsid w:val="00B63926"/>
    <w:rsid w:val="00B750F7"/>
    <w:rsid w:val="00B854AD"/>
    <w:rsid w:val="00B92135"/>
    <w:rsid w:val="00BA1443"/>
    <w:rsid w:val="00BB2490"/>
    <w:rsid w:val="00BC2B78"/>
    <w:rsid w:val="00BC332E"/>
    <w:rsid w:val="00BC75DF"/>
    <w:rsid w:val="00BF13A6"/>
    <w:rsid w:val="00BF1456"/>
    <w:rsid w:val="00C4322C"/>
    <w:rsid w:val="00C712A9"/>
    <w:rsid w:val="00C81B01"/>
    <w:rsid w:val="00C904D7"/>
    <w:rsid w:val="00C91E8B"/>
    <w:rsid w:val="00C94AEB"/>
    <w:rsid w:val="00C955BA"/>
    <w:rsid w:val="00CA4D95"/>
    <w:rsid w:val="00CB49CE"/>
    <w:rsid w:val="00CC19EF"/>
    <w:rsid w:val="00CC2E58"/>
    <w:rsid w:val="00CD5C5B"/>
    <w:rsid w:val="00CD6435"/>
    <w:rsid w:val="00CD6F8D"/>
    <w:rsid w:val="00CE4D52"/>
    <w:rsid w:val="00CF0185"/>
    <w:rsid w:val="00CF6EEC"/>
    <w:rsid w:val="00D01AE2"/>
    <w:rsid w:val="00D038E3"/>
    <w:rsid w:val="00D078B7"/>
    <w:rsid w:val="00D07F4F"/>
    <w:rsid w:val="00D15948"/>
    <w:rsid w:val="00D3050D"/>
    <w:rsid w:val="00D31CFB"/>
    <w:rsid w:val="00D34C2D"/>
    <w:rsid w:val="00D50C90"/>
    <w:rsid w:val="00D52A8E"/>
    <w:rsid w:val="00D53F4C"/>
    <w:rsid w:val="00D57FA7"/>
    <w:rsid w:val="00D61093"/>
    <w:rsid w:val="00D6347B"/>
    <w:rsid w:val="00D81CBC"/>
    <w:rsid w:val="00D8652F"/>
    <w:rsid w:val="00D87B36"/>
    <w:rsid w:val="00D91BCA"/>
    <w:rsid w:val="00D96D8C"/>
    <w:rsid w:val="00DA29A8"/>
    <w:rsid w:val="00DB2F00"/>
    <w:rsid w:val="00DB3EFF"/>
    <w:rsid w:val="00DB6929"/>
    <w:rsid w:val="00DC2563"/>
    <w:rsid w:val="00DC2C50"/>
    <w:rsid w:val="00E0362A"/>
    <w:rsid w:val="00E03F82"/>
    <w:rsid w:val="00E1048F"/>
    <w:rsid w:val="00E2633A"/>
    <w:rsid w:val="00E36F73"/>
    <w:rsid w:val="00E45550"/>
    <w:rsid w:val="00E62B8D"/>
    <w:rsid w:val="00E6425B"/>
    <w:rsid w:val="00E6721F"/>
    <w:rsid w:val="00E907D8"/>
    <w:rsid w:val="00EA11C2"/>
    <w:rsid w:val="00EB0C73"/>
    <w:rsid w:val="00EB2FB0"/>
    <w:rsid w:val="00EB3285"/>
    <w:rsid w:val="00EB7B85"/>
    <w:rsid w:val="00ED1ED0"/>
    <w:rsid w:val="00EE451B"/>
    <w:rsid w:val="00EE6658"/>
    <w:rsid w:val="00EF3457"/>
    <w:rsid w:val="00F0216C"/>
    <w:rsid w:val="00F10D2D"/>
    <w:rsid w:val="00F311BD"/>
    <w:rsid w:val="00F313BB"/>
    <w:rsid w:val="00F34DF0"/>
    <w:rsid w:val="00F55E0B"/>
    <w:rsid w:val="00F57781"/>
    <w:rsid w:val="00F603F0"/>
    <w:rsid w:val="00F647EC"/>
    <w:rsid w:val="00F7048B"/>
    <w:rsid w:val="00F75AFE"/>
    <w:rsid w:val="00F76D05"/>
    <w:rsid w:val="00F857BF"/>
    <w:rsid w:val="00FA475B"/>
    <w:rsid w:val="00FD75CA"/>
    <w:rsid w:val="00FF3F64"/>
    <w:rsid w:val="00FF5FD1"/>
    <w:rsid w:val="020148DE"/>
    <w:rsid w:val="0A041EC2"/>
    <w:rsid w:val="100167B0"/>
    <w:rsid w:val="127C39F3"/>
    <w:rsid w:val="17482BD2"/>
    <w:rsid w:val="19105DBE"/>
    <w:rsid w:val="1B116360"/>
    <w:rsid w:val="1E48291E"/>
    <w:rsid w:val="223728A6"/>
    <w:rsid w:val="2ADC6609"/>
    <w:rsid w:val="2CF1519A"/>
    <w:rsid w:val="334D0226"/>
    <w:rsid w:val="33AC6C24"/>
    <w:rsid w:val="34B80781"/>
    <w:rsid w:val="3A1D1C40"/>
    <w:rsid w:val="3C210BCD"/>
    <w:rsid w:val="3FC7060F"/>
    <w:rsid w:val="41D43145"/>
    <w:rsid w:val="45784747"/>
    <w:rsid w:val="4E986D60"/>
    <w:rsid w:val="537764C9"/>
    <w:rsid w:val="543051DD"/>
    <w:rsid w:val="5BCF7FA9"/>
    <w:rsid w:val="5C205CDA"/>
    <w:rsid w:val="62A43AF4"/>
    <w:rsid w:val="63992342"/>
    <w:rsid w:val="640E2322"/>
    <w:rsid w:val="649142C1"/>
    <w:rsid w:val="64E21CE6"/>
    <w:rsid w:val="65CE3E93"/>
    <w:rsid w:val="67287867"/>
    <w:rsid w:val="68420A45"/>
    <w:rsid w:val="69855958"/>
    <w:rsid w:val="698712CA"/>
    <w:rsid w:val="6AD6552A"/>
    <w:rsid w:val="6C365DE3"/>
    <w:rsid w:val="6EE22958"/>
    <w:rsid w:val="6F0D453A"/>
    <w:rsid w:val="70DD6922"/>
    <w:rsid w:val="70E5660A"/>
    <w:rsid w:val="70FC6447"/>
    <w:rsid w:val="7175703D"/>
    <w:rsid w:val="717C6A6B"/>
    <w:rsid w:val="75CA3EFA"/>
    <w:rsid w:val="78FD6651"/>
    <w:rsid w:val="7D001A92"/>
    <w:rsid w:val="7E5F40B7"/>
    <w:rsid w:val="7EAE45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30"/>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31"/>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32"/>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3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4"/>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5"/>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3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7">
    <w:name w:val="Default Paragraph Font"/>
    <w:unhideWhenUsed/>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ind w:left="2520" w:leftChars="1200"/>
    </w:pPr>
  </w:style>
  <w:style w:type="paragraph" w:styleId="12">
    <w:name w:val="toc 5"/>
    <w:basedOn w:val="1"/>
    <w:next w:val="1"/>
    <w:unhideWhenUsed/>
    <w:uiPriority w:val="39"/>
    <w:pPr>
      <w:ind w:left="1680" w:leftChars="800"/>
    </w:pPr>
  </w:style>
  <w:style w:type="paragraph" w:styleId="13">
    <w:name w:val="toc 3"/>
    <w:basedOn w:val="1"/>
    <w:next w:val="1"/>
    <w:unhideWhenUsed/>
    <w:uiPriority w:val="39"/>
    <w:pPr>
      <w:ind w:left="840" w:leftChars="400"/>
    </w:pPr>
  </w:style>
  <w:style w:type="paragraph" w:styleId="14">
    <w:name w:val="toc 8"/>
    <w:basedOn w:val="1"/>
    <w:next w:val="1"/>
    <w:unhideWhenUsed/>
    <w:uiPriority w:val="39"/>
    <w:pPr>
      <w:ind w:left="2940" w:leftChars="1400"/>
    </w:pPr>
  </w:style>
  <w:style w:type="paragraph" w:styleId="15">
    <w:name w:val="footer"/>
    <w:basedOn w:val="1"/>
    <w:link w:val="49"/>
    <w:unhideWhenUsed/>
    <w:uiPriority w:val="99"/>
    <w:pPr>
      <w:tabs>
        <w:tab w:val="center" w:pos="4153"/>
        <w:tab w:val="right" w:pos="8306"/>
      </w:tabs>
      <w:snapToGrid w:val="0"/>
      <w:spacing w:line="240" w:lineRule="auto"/>
    </w:pPr>
    <w:rPr>
      <w:sz w:val="18"/>
      <w:szCs w:val="18"/>
    </w:rPr>
  </w:style>
  <w:style w:type="paragraph" w:styleId="16">
    <w:name w:val="header"/>
    <w:basedOn w:val="1"/>
    <w:link w:val="48"/>
    <w:unhideWhenUsed/>
    <w:uiPriority w:val="99"/>
    <w:pPr>
      <w:tabs>
        <w:tab w:val="center" w:pos="4153"/>
        <w:tab w:val="right" w:pos="8306"/>
      </w:tabs>
      <w:snapToGrid w:val="0"/>
      <w:spacing w:line="240" w:lineRule="auto"/>
      <w:jc w:val="center"/>
    </w:pPr>
    <w:rPr>
      <w:sz w:val="18"/>
      <w:szCs w:val="18"/>
    </w:rPr>
  </w:style>
  <w:style w:type="paragraph" w:styleId="17">
    <w:name w:val="toc 1"/>
    <w:basedOn w:val="1"/>
    <w:next w:val="1"/>
    <w:unhideWhenUsed/>
    <w:uiPriority w:val="39"/>
  </w:style>
  <w:style w:type="paragraph" w:styleId="18">
    <w:name w:val="toc 4"/>
    <w:basedOn w:val="1"/>
    <w:next w:val="1"/>
    <w:unhideWhenUsed/>
    <w:uiPriority w:val="39"/>
    <w:pPr>
      <w:ind w:left="1260" w:leftChars="600"/>
    </w:pPr>
  </w:style>
  <w:style w:type="paragraph" w:styleId="19">
    <w:name w:val="Subtitle"/>
    <w:basedOn w:val="1"/>
    <w:next w:val="1"/>
    <w:link w:val="4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toc 6"/>
    <w:basedOn w:val="1"/>
    <w:next w:val="1"/>
    <w:unhideWhenUsed/>
    <w:uiPriority w:val="39"/>
    <w:pPr>
      <w:ind w:left="2100" w:leftChars="1000"/>
    </w:pPr>
  </w:style>
  <w:style w:type="paragraph" w:styleId="21">
    <w:name w:val="toc 2"/>
    <w:basedOn w:val="1"/>
    <w:next w:val="1"/>
    <w:unhideWhenUsed/>
    <w:uiPriority w:val="39"/>
    <w:pPr>
      <w:ind w:left="420" w:leftChars="200"/>
    </w:pPr>
  </w:style>
  <w:style w:type="paragraph" w:styleId="22">
    <w:name w:val="toc 9"/>
    <w:basedOn w:val="1"/>
    <w:next w:val="1"/>
    <w:unhideWhenUsed/>
    <w:uiPriority w:val="39"/>
    <w:pPr>
      <w:ind w:left="3360" w:leftChars="1600"/>
    </w:pPr>
  </w:style>
  <w:style w:type="paragraph" w:styleId="23">
    <w:name w:val="Normal (Web)"/>
    <w:basedOn w:val="1"/>
    <w:semiHidden/>
    <w:unhideWhenUsed/>
    <w:uiPriority w:val="99"/>
    <w:pPr>
      <w:widowControl/>
      <w:spacing w:before="100" w:beforeAutospacing="1" w:after="100" w:afterAutospacing="1" w:line="240" w:lineRule="auto"/>
    </w:pPr>
    <w:rPr>
      <w:rFonts w:ascii="宋体" w:hAnsi="宋体" w:eastAsia="宋体" w:cs="宋体"/>
      <w:kern w:val="0"/>
      <w:sz w:val="24"/>
      <w14:ligatures w14:val="none"/>
    </w:rPr>
  </w:style>
  <w:style w:type="paragraph" w:styleId="24">
    <w:name w:val="Title"/>
    <w:basedOn w:val="1"/>
    <w:next w:val="1"/>
    <w:link w:val="3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26">
    <w:name w:val="Table Grid"/>
    <w:basedOn w:val="25"/>
    <w:qFormat/>
    <w:uiPriority w:val="59"/>
    <w:pPr>
      <w:spacing w:after="0" w:line="240" w:lineRule="auto"/>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bCs/>
    </w:rPr>
  </w:style>
  <w:style w:type="character" w:styleId="29">
    <w:name w:val="Hyperlink"/>
    <w:basedOn w:val="27"/>
    <w:unhideWhenUsed/>
    <w:uiPriority w:val="99"/>
    <w:rPr>
      <w:color w:val="467886" w:themeColor="hyperlink"/>
      <w:u w:val="single"/>
      <w14:textFill>
        <w14:solidFill>
          <w14:schemeClr w14:val="hlink"/>
        </w14:solidFill>
      </w14:textFill>
    </w:rPr>
  </w:style>
  <w:style w:type="character" w:customStyle="1" w:styleId="30">
    <w:name w:val="标题 1 字符"/>
    <w:basedOn w:val="27"/>
    <w:link w:val="2"/>
    <w:qFormat/>
    <w:uiPriority w:val="9"/>
    <w:rPr>
      <w:rFonts w:asciiTheme="majorHAnsi" w:hAnsiTheme="majorHAnsi" w:eastAsiaTheme="majorEastAsia" w:cstheme="majorBidi"/>
      <w:color w:val="104862" w:themeColor="accent1" w:themeShade="BF"/>
      <w:sz w:val="48"/>
      <w:szCs w:val="48"/>
    </w:rPr>
  </w:style>
  <w:style w:type="character" w:customStyle="1" w:styleId="31">
    <w:name w:val="标题 2 字符"/>
    <w:basedOn w:val="27"/>
    <w:link w:val="3"/>
    <w:qFormat/>
    <w:uiPriority w:val="9"/>
    <w:rPr>
      <w:rFonts w:asciiTheme="majorHAnsi" w:hAnsiTheme="majorHAnsi" w:eastAsiaTheme="majorEastAsia" w:cstheme="majorBidi"/>
      <w:color w:val="104862" w:themeColor="accent1" w:themeShade="BF"/>
      <w:sz w:val="40"/>
      <w:szCs w:val="40"/>
    </w:rPr>
  </w:style>
  <w:style w:type="character" w:customStyle="1" w:styleId="32">
    <w:name w:val="标题 3 字符"/>
    <w:basedOn w:val="27"/>
    <w:link w:val="4"/>
    <w:qFormat/>
    <w:uiPriority w:val="0"/>
    <w:rPr>
      <w:rFonts w:asciiTheme="majorHAnsi" w:hAnsiTheme="majorHAnsi" w:eastAsiaTheme="majorEastAsia" w:cstheme="majorBidi"/>
      <w:color w:val="104862" w:themeColor="accent1" w:themeShade="BF"/>
      <w:sz w:val="32"/>
      <w:szCs w:val="32"/>
    </w:rPr>
  </w:style>
  <w:style w:type="character" w:customStyle="1" w:styleId="33">
    <w:name w:val="标题 4 字符"/>
    <w:basedOn w:val="27"/>
    <w:link w:val="5"/>
    <w:semiHidden/>
    <w:qFormat/>
    <w:uiPriority w:val="9"/>
    <w:rPr>
      <w:rFonts w:cstheme="majorBidi"/>
      <w:color w:val="104862" w:themeColor="accent1" w:themeShade="BF"/>
      <w:sz w:val="28"/>
      <w:szCs w:val="28"/>
    </w:rPr>
  </w:style>
  <w:style w:type="character" w:customStyle="1" w:styleId="34">
    <w:name w:val="标题 5 字符"/>
    <w:basedOn w:val="27"/>
    <w:link w:val="6"/>
    <w:semiHidden/>
    <w:qFormat/>
    <w:uiPriority w:val="9"/>
    <w:rPr>
      <w:rFonts w:cstheme="majorBidi"/>
      <w:color w:val="104862" w:themeColor="accent1" w:themeShade="BF"/>
      <w:sz w:val="24"/>
    </w:rPr>
  </w:style>
  <w:style w:type="character" w:customStyle="1" w:styleId="35">
    <w:name w:val="标题 6 字符"/>
    <w:basedOn w:val="27"/>
    <w:link w:val="7"/>
    <w:semiHidden/>
    <w:qFormat/>
    <w:uiPriority w:val="9"/>
    <w:rPr>
      <w:rFonts w:cstheme="majorBidi"/>
      <w:b/>
      <w:bCs/>
      <w:color w:val="104862" w:themeColor="accent1" w:themeShade="BF"/>
    </w:rPr>
  </w:style>
  <w:style w:type="character" w:customStyle="1" w:styleId="36">
    <w:name w:val="标题 7 字符"/>
    <w:basedOn w:val="2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7">
    <w:name w:val="标题 8 字符"/>
    <w:basedOn w:val="2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8">
    <w:name w:val="标题 9 字符"/>
    <w:basedOn w:val="2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9">
    <w:name w:val="标题 字符"/>
    <w:basedOn w:val="27"/>
    <w:link w:val="24"/>
    <w:qFormat/>
    <w:uiPriority w:val="10"/>
    <w:rPr>
      <w:rFonts w:asciiTheme="majorHAnsi" w:hAnsiTheme="majorHAnsi" w:eastAsiaTheme="majorEastAsia" w:cstheme="majorBidi"/>
      <w:spacing w:val="-10"/>
      <w:kern w:val="28"/>
      <w:sz w:val="56"/>
      <w:szCs w:val="56"/>
    </w:rPr>
  </w:style>
  <w:style w:type="character" w:customStyle="1" w:styleId="40">
    <w:name w:val="副标题 字符"/>
    <w:basedOn w:val="27"/>
    <w:link w:val="19"/>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1">
    <w:name w:val="Quote"/>
    <w:basedOn w:val="1"/>
    <w:next w:val="1"/>
    <w:link w:val="4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2">
    <w:name w:val="引用 字符"/>
    <w:basedOn w:val="27"/>
    <w:link w:val="41"/>
    <w:qFormat/>
    <w:uiPriority w:val="29"/>
    <w:rPr>
      <w:i/>
      <w:iCs/>
      <w:color w:val="404040" w:themeColor="text1" w:themeTint="BF"/>
      <w14:textFill>
        <w14:solidFill>
          <w14:schemeClr w14:val="tx1">
            <w14:lumMod w14:val="75000"/>
            <w14:lumOff w14:val="25000"/>
          </w14:schemeClr>
        </w14:solidFill>
      </w14:textFill>
    </w:rPr>
  </w:style>
  <w:style w:type="paragraph" w:styleId="43">
    <w:name w:val="List Paragraph"/>
    <w:basedOn w:val="1"/>
    <w:qFormat/>
    <w:uiPriority w:val="34"/>
    <w:pPr>
      <w:ind w:left="720"/>
      <w:contextualSpacing/>
    </w:pPr>
  </w:style>
  <w:style w:type="character" w:customStyle="1" w:styleId="44">
    <w:name w:val="Intense Emphasis"/>
    <w:basedOn w:val="27"/>
    <w:qFormat/>
    <w:uiPriority w:val="21"/>
    <w:rPr>
      <w:i/>
      <w:iCs/>
      <w:color w:val="104862" w:themeColor="accent1" w:themeShade="BF"/>
    </w:rPr>
  </w:style>
  <w:style w:type="paragraph" w:styleId="45">
    <w:name w:val="Intense Quote"/>
    <w:basedOn w:val="1"/>
    <w:next w:val="1"/>
    <w:link w:val="4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6">
    <w:name w:val="明显引用 字符"/>
    <w:basedOn w:val="27"/>
    <w:link w:val="45"/>
    <w:uiPriority w:val="30"/>
    <w:rPr>
      <w:i/>
      <w:iCs/>
      <w:color w:val="104862" w:themeColor="accent1" w:themeShade="BF"/>
    </w:rPr>
  </w:style>
  <w:style w:type="character" w:customStyle="1" w:styleId="47">
    <w:name w:val="Intense Reference"/>
    <w:basedOn w:val="27"/>
    <w:qFormat/>
    <w:uiPriority w:val="32"/>
    <w:rPr>
      <w:b/>
      <w:bCs/>
      <w:smallCaps/>
      <w:color w:val="104862" w:themeColor="accent1" w:themeShade="BF"/>
      <w:spacing w:val="5"/>
    </w:rPr>
  </w:style>
  <w:style w:type="character" w:customStyle="1" w:styleId="48">
    <w:name w:val="页眉 字符"/>
    <w:basedOn w:val="27"/>
    <w:link w:val="16"/>
    <w:uiPriority w:val="99"/>
    <w:rPr>
      <w:sz w:val="18"/>
      <w:szCs w:val="18"/>
    </w:rPr>
  </w:style>
  <w:style w:type="character" w:customStyle="1" w:styleId="49">
    <w:name w:val="页脚 字符"/>
    <w:basedOn w:val="27"/>
    <w:link w:val="15"/>
    <w:qFormat/>
    <w:uiPriority w:val="99"/>
    <w:rPr>
      <w:sz w:val="18"/>
      <w:szCs w:val="18"/>
    </w:rPr>
  </w:style>
  <w:style w:type="paragraph" w:styleId="50">
    <w:name w:val="No Spacing"/>
    <w:link w:val="51"/>
    <w:qFormat/>
    <w:uiPriority w:val="1"/>
    <w:pPr>
      <w:spacing w:after="0" w:line="240" w:lineRule="auto"/>
    </w:pPr>
    <w:rPr>
      <w:rFonts w:asciiTheme="minorHAnsi" w:hAnsiTheme="minorHAnsi" w:eastAsiaTheme="minorEastAsia" w:cstheme="minorBidi"/>
      <w:kern w:val="0"/>
      <w:sz w:val="22"/>
      <w:szCs w:val="22"/>
      <w:lang w:val="en-US" w:eastAsia="zh-CN" w:bidi="ar-SA"/>
      <w14:ligatures w14:val="none"/>
    </w:rPr>
  </w:style>
  <w:style w:type="character" w:customStyle="1" w:styleId="51">
    <w:name w:val="无间隔 字符"/>
    <w:basedOn w:val="27"/>
    <w:link w:val="50"/>
    <w:qFormat/>
    <w:uiPriority w:val="1"/>
    <w:rPr>
      <w:kern w:val="0"/>
      <w:szCs w:val="22"/>
      <w14:ligatures w14:val="none"/>
    </w:rPr>
  </w:style>
  <w:style w:type="paragraph" w:customStyle="1" w:styleId="52">
    <w:name w:val="TOC Heading"/>
    <w:basedOn w:val="2"/>
    <w:next w:val="1"/>
    <w:unhideWhenUsed/>
    <w:qFormat/>
    <w:uiPriority w:val="39"/>
    <w:pPr>
      <w:widowControl/>
      <w:spacing w:before="240" w:after="0" w:line="259" w:lineRule="auto"/>
      <w:outlineLvl w:val="9"/>
    </w:pPr>
    <w:rPr>
      <w:kern w:val="0"/>
      <w:sz w:val="32"/>
      <w:szCs w:val="32"/>
      <w14:ligatures w14:val="none"/>
    </w:rPr>
  </w:style>
  <w:style w:type="paragraph" w:customStyle="1" w:styleId="53">
    <w:name w:val="T图形居中"/>
    <w:next w:val="1"/>
    <w:qFormat/>
    <w:uiPriority w:val="0"/>
    <w:pPr>
      <w:spacing w:after="0" w:line="240" w:lineRule="auto"/>
      <w:jc w:val="center"/>
    </w:pPr>
    <w:rPr>
      <w:rFonts w:asciiTheme="minorHAnsi" w:hAnsiTheme="minorHAnsi" w:eastAsiaTheme="minorEastAsia" w:cstheme="minorBidi"/>
      <w:kern w:val="2"/>
      <w:sz w:val="24"/>
      <w:szCs w:val="21"/>
      <w:lang w:val="en-US" w:eastAsia="zh-CN" w:bidi="ar-SA"/>
      <w14:ligatures w14:val="none"/>
    </w:rPr>
  </w:style>
  <w:style w:type="paragraph" w:customStyle="1" w:styleId="54">
    <w:name w:val="信创适配-正文"/>
    <w:basedOn w:val="1"/>
    <w:link w:val="55"/>
    <w:qFormat/>
    <w:uiPriority w:val="0"/>
    <w:pPr>
      <w:widowControl/>
      <w:spacing w:after="0" w:line="240" w:lineRule="auto"/>
      <w:ind w:firstLine="1446" w:firstLineChars="200"/>
    </w:pPr>
    <w:rPr>
      <w:rFonts w:ascii="宋体" w:hAnsi="宋体" w:eastAsia="仿宋" w:cs="宋体"/>
      <w:kern w:val="0"/>
      <w:sz w:val="32"/>
      <w14:ligatures w14:val="none"/>
    </w:rPr>
  </w:style>
  <w:style w:type="character" w:customStyle="1" w:styleId="55">
    <w:name w:val="信创适配-正文 Char"/>
    <w:link w:val="54"/>
    <w:qFormat/>
    <w:uiPriority w:val="0"/>
    <w:rPr>
      <w:rFonts w:ascii="宋体" w:hAnsi="宋体" w:eastAsia="仿宋" w:cs="宋体"/>
      <w:kern w:val="0"/>
      <w:sz w:val="32"/>
      <w14:ligatures w14:val="none"/>
    </w:rPr>
  </w:style>
  <w:style w:type="paragraph" w:customStyle="1" w:styleId="56">
    <w:name w:val="B表格正文"/>
    <w:next w:val="1"/>
    <w:link w:val="57"/>
    <w:qFormat/>
    <w:uiPriority w:val="0"/>
    <w:pPr>
      <w:spacing w:after="0" w:line="240" w:lineRule="auto"/>
    </w:pPr>
    <w:rPr>
      <w:rFonts w:eastAsia="黑体" w:asciiTheme="minorHAnsi" w:hAnsiTheme="minorHAnsi" w:cstheme="minorBidi"/>
      <w:kern w:val="2"/>
      <w:sz w:val="21"/>
      <w:szCs w:val="21"/>
      <w:lang w:val="en-US" w:eastAsia="zh-CN" w:bidi="ar-SA"/>
      <w14:ligatures w14:val="none"/>
    </w:rPr>
  </w:style>
  <w:style w:type="character" w:customStyle="1" w:styleId="57">
    <w:name w:val="B表格正文 Char"/>
    <w:link w:val="56"/>
    <w:qFormat/>
    <w:uiPriority w:val="0"/>
    <w:rPr>
      <w:rFonts w:eastAsia="黑体"/>
      <w:sz w:val="21"/>
      <w:szCs w:val="21"/>
      <w14:ligatures w14:val="none"/>
    </w:rPr>
  </w:style>
  <w:style w:type="character" w:customStyle="1" w:styleId="58">
    <w:name w:val="Unresolved Mention"/>
    <w:basedOn w:val="27"/>
    <w:semiHidden/>
    <w:unhideWhenUsed/>
    <w:qFormat/>
    <w:uiPriority w:val="99"/>
    <w:rPr>
      <w:color w:val="605E5C"/>
      <w:shd w:val="clear" w:color="auto" w:fill="E1DFDD"/>
    </w:rPr>
  </w:style>
  <w:style w:type="character" w:customStyle="1" w:styleId="59">
    <w:name w:val="unnamed11"/>
    <w:basedOn w:val="27"/>
    <w:qFormat/>
    <w:uiPriority w:val="0"/>
    <w:rPr>
      <w:rFonts w:hint="eastAsia" w:ascii="宋体" w:hAnsi="宋体" w:eastAsia="宋体"/>
      <w:sz w:val="18"/>
      <w:u w:val="none"/>
    </w:rPr>
  </w:style>
  <w:style w:type="character" w:customStyle="1" w:styleId="60">
    <w:name w:val="公司文档正文 Char"/>
    <w:link w:val="61"/>
    <w:qFormat/>
    <w:uiPriority w:val="0"/>
    <w:rPr>
      <w:rFonts w:ascii="宋体" w:hAnsi="宋体" w:eastAsia="宋体"/>
      <w:sz w:val="24"/>
    </w:rPr>
  </w:style>
  <w:style w:type="paragraph" w:customStyle="1" w:styleId="61">
    <w:name w:val="公司文档正文"/>
    <w:basedOn w:val="1"/>
    <w:link w:val="60"/>
    <w:qFormat/>
    <w:uiPriority w:val="0"/>
    <w:pPr>
      <w:widowControl/>
      <w:spacing w:after="0" w:line="360" w:lineRule="auto"/>
      <w:ind w:firstLine="420"/>
    </w:pPr>
    <w:rPr>
      <w:rFonts w:ascii="宋体" w:hAnsi="宋体" w:eastAsia="宋体"/>
      <w:sz w:val="24"/>
    </w:rPr>
  </w:style>
  <w:style w:type="character" w:customStyle="1" w:styleId="62">
    <w:name w:val="公司文档正文段落 Char"/>
    <w:link w:val="63"/>
    <w:qFormat/>
    <w:uiPriority w:val="0"/>
    <w:rPr>
      <w:rFonts w:ascii="宋体" w:hAnsi="宋体"/>
      <w:sz w:val="24"/>
    </w:rPr>
  </w:style>
  <w:style w:type="paragraph" w:customStyle="1" w:styleId="63">
    <w:name w:val="公司文档正文段落"/>
    <w:basedOn w:val="1"/>
    <w:link w:val="62"/>
    <w:qFormat/>
    <w:uiPriority w:val="0"/>
    <w:pPr>
      <w:widowControl/>
      <w:spacing w:after="0" w:line="360" w:lineRule="auto"/>
      <w:ind w:firstLine="420"/>
    </w:pPr>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2995CD-F154-462F-8D9C-7995F8EAFE68}">
  <ds:schemaRefs/>
</ds:datastoreItem>
</file>

<file path=docProps/app.xml><?xml version="1.0" encoding="utf-8"?>
<Properties xmlns="http://schemas.openxmlformats.org/officeDocument/2006/extended-properties" xmlns:vt="http://schemas.openxmlformats.org/officeDocument/2006/docPropsVTypes">
  <Template>Normal.dotm</Template>
  <Pages>85</Pages>
  <Words>7406</Words>
  <Characters>42218</Characters>
  <Lines>351</Lines>
  <Paragraphs>99</Paragraphs>
  <TotalTime>1</TotalTime>
  <ScaleCrop>false</ScaleCrop>
  <LinksUpToDate>false</LinksUpToDate>
  <CharactersWithSpaces>49525</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2025-11-09T09:31:00Z</dcterms:created>
  <dc:creator>lisiwen</dc:creator>
  <cp:lastModifiedBy>Bear</cp:lastModifiedBy>
  <dcterms:modified xsi:type="dcterms:W3CDTF">2025-11-21T09:06:44Z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