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468FAB" w14:textId="77777777" w:rsidR="00781DE1" w:rsidRDefault="00781DE1">
      <w:pPr>
        <w:widowControl/>
        <w:jc w:val="center"/>
        <w:rPr>
          <w:rFonts w:ascii="方正小标宋简体" w:eastAsia="方正小标宋简体" w:hAnsi="方正小标宋简体" w:cs="方正小标宋简体" w:hint="eastAsia"/>
          <w:sz w:val="36"/>
          <w:szCs w:val="36"/>
        </w:rPr>
      </w:pPr>
      <w:r>
        <w:rPr>
          <w:rFonts w:ascii="方正小标宋简体" w:eastAsia="方正小标宋简体" w:hAnsi="方正小标宋简体" w:cs="方正小标宋简体" w:hint="eastAsia"/>
          <w:sz w:val="36"/>
          <w:szCs w:val="36"/>
        </w:rPr>
        <w:t>武汉市</w:t>
      </w:r>
      <w:r w:rsidR="001A67F7" w:rsidRPr="001A67F7">
        <w:rPr>
          <w:rFonts w:ascii="方正小标宋简体" w:eastAsia="方正小标宋简体" w:hAnsi="方正小标宋简体" w:cs="方正小标宋简体"/>
          <w:sz w:val="36"/>
          <w:szCs w:val="36"/>
        </w:rPr>
        <w:t>中小学</w:t>
      </w:r>
      <w:r>
        <w:rPr>
          <w:rFonts w:ascii="方正小标宋简体" w:eastAsia="方正小标宋简体" w:hAnsi="方正小标宋简体" w:cs="方正小标宋简体" w:hint="eastAsia"/>
          <w:sz w:val="36"/>
          <w:szCs w:val="36"/>
        </w:rPr>
        <w:t>“</w:t>
      </w:r>
      <w:r w:rsidR="001A67F7" w:rsidRPr="001A67F7">
        <w:rPr>
          <w:rFonts w:ascii="方正小标宋简体" w:eastAsia="方正小标宋简体" w:hAnsi="方正小标宋简体" w:cs="方正小标宋简体"/>
          <w:sz w:val="36"/>
          <w:szCs w:val="36"/>
        </w:rPr>
        <w:t>数字食堂</w:t>
      </w:r>
      <w:r>
        <w:rPr>
          <w:rFonts w:ascii="方正小标宋简体" w:eastAsia="方正小标宋简体" w:hAnsi="方正小标宋简体" w:cs="方正小标宋简体" w:hint="eastAsia"/>
          <w:sz w:val="36"/>
          <w:szCs w:val="36"/>
        </w:rPr>
        <w:t>”</w:t>
      </w:r>
      <w:r w:rsidR="001A67F7" w:rsidRPr="001A67F7">
        <w:rPr>
          <w:rFonts w:ascii="方正小标宋简体" w:eastAsia="方正小标宋简体" w:hAnsi="方正小标宋简体" w:cs="方正小标宋简体"/>
          <w:sz w:val="36"/>
          <w:szCs w:val="36"/>
        </w:rPr>
        <w:t>监管平台</w:t>
      </w:r>
    </w:p>
    <w:p w14:paraId="3922E175" w14:textId="650259C7" w:rsidR="00F22695" w:rsidRDefault="001A67F7">
      <w:pPr>
        <w:widowControl/>
        <w:jc w:val="center"/>
        <w:rPr>
          <w:rFonts w:ascii="方正小标宋简体" w:eastAsia="方正小标宋简体" w:hAnsi="方正小标宋简体" w:cs="方正小标宋简体"/>
          <w:sz w:val="36"/>
          <w:szCs w:val="36"/>
        </w:rPr>
      </w:pPr>
      <w:proofErr w:type="gramStart"/>
      <w:r>
        <w:rPr>
          <w:rFonts w:ascii="方正小标宋简体" w:eastAsia="方正小标宋简体" w:hAnsi="方正小标宋简体" w:cs="方正小标宋简体" w:hint="eastAsia"/>
          <w:sz w:val="36"/>
          <w:szCs w:val="36"/>
        </w:rPr>
        <w:t>三级等保测评</w:t>
      </w:r>
      <w:proofErr w:type="gramEnd"/>
      <w:r>
        <w:rPr>
          <w:rFonts w:ascii="方正小标宋简体" w:eastAsia="方正小标宋简体" w:hAnsi="方正小标宋简体" w:cs="方正小标宋简体" w:hint="eastAsia"/>
          <w:sz w:val="36"/>
          <w:szCs w:val="36"/>
        </w:rPr>
        <w:t>服务采购需求</w:t>
      </w:r>
    </w:p>
    <w:p w14:paraId="74741606" w14:textId="77777777" w:rsidR="00F22695" w:rsidRDefault="00AA48AC">
      <w:pPr>
        <w:widowControl/>
        <w:spacing w:beforeLines="50" w:before="156" w:line="540" w:lineRule="exact"/>
        <w:ind w:firstLineChars="200" w:firstLine="560"/>
        <w:jc w:val="left"/>
        <w:rPr>
          <w:rFonts w:ascii="方正黑体_GBK" w:eastAsia="方正黑体_GBK" w:hAnsi="方正黑体_GBK" w:cs="方正黑体_GBK"/>
          <w:sz w:val="28"/>
          <w:szCs w:val="28"/>
        </w:rPr>
      </w:pPr>
      <w:r>
        <w:rPr>
          <w:rFonts w:ascii="方正黑体_GBK" w:eastAsia="方正黑体_GBK" w:hAnsi="方正黑体_GBK" w:cs="方正黑体_GBK" w:hint="eastAsia"/>
          <w:sz w:val="28"/>
          <w:szCs w:val="28"/>
        </w:rPr>
        <w:t>一、资格要求</w:t>
      </w:r>
      <w:r>
        <w:rPr>
          <w:rFonts w:ascii="方正黑体_GBK" w:eastAsia="方正黑体_GBK" w:hAnsi="方正黑体_GBK" w:cs="方正黑体_GBK" w:hint="eastAsia"/>
          <w:sz w:val="28"/>
          <w:szCs w:val="28"/>
        </w:rPr>
        <w:tab/>
      </w:r>
    </w:p>
    <w:p w14:paraId="247DDE9D" w14:textId="77777777" w:rsidR="00F22695" w:rsidRDefault="00AA48AC">
      <w:pPr>
        <w:spacing w:line="540" w:lineRule="exact"/>
        <w:ind w:firstLineChars="200" w:firstLine="560"/>
        <w:rPr>
          <w:rFonts w:ascii="方正仿宋_GBK" w:eastAsia="方正仿宋_GBK" w:hAnsi="方正仿宋_GBK" w:cs="方正仿宋_GBK"/>
          <w:color w:val="000000"/>
          <w:kern w:val="0"/>
          <w:sz w:val="28"/>
          <w:szCs w:val="28"/>
          <w:lang w:bidi="ar"/>
        </w:rPr>
      </w:pPr>
      <w:r>
        <w:rPr>
          <w:rFonts w:ascii="方正仿宋_GBK" w:eastAsia="方正仿宋_GBK" w:hAnsi="方正仿宋_GBK" w:cs="方正仿宋_GBK" w:hint="eastAsia"/>
          <w:color w:val="000000"/>
          <w:kern w:val="0"/>
          <w:sz w:val="28"/>
          <w:szCs w:val="28"/>
          <w:lang w:bidi="ar"/>
        </w:rPr>
        <w:t>（一）投标人应具备《政府采购法》第二十二条规定的相关条件；</w:t>
      </w:r>
    </w:p>
    <w:p w14:paraId="390C6093" w14:textId="77777777" w:rsidR="00F22695" w:rsidRDefault="00AA48AC">
      <w:pPr>
        <w:spacing w:line="540" w:lineRule="exact"/>
        <w:ind w:firstLineChars="200" w:firstLine="560"/>
        <w:rPr>
          <w:rFonts w:ascii="方正仿宋_GBK" w:eastAsia="方正仿宋_GBK" w:hAnsi="方正仿宋_GBK" w:cs="方正仿宋_GBK"/>
          <w:color w:val="000000"/>
          <w:kern w:val="0"/>
          <w:sz w:val="28"/>
          <w:szCs w:val="28"/>
          <w:lang w:bidi="ar"/>
        </w:rPr>
      </w:pPr>
      <w:r>
        <w:rPr>
          <w:rFonts w:ascii="方正仿宋_GBK" w:eastAsia="方正仿宋_GBK" w:hAnsi="方正仿宋_GBK" w:cs="方正仿宋_GBK" w:hint="eastAsia"/>
          <w:color w:val="000000"/>
          <w:kern w:val="0"/>
          <w:sz w:val="28"/>
          <w:szCs w:val="28"/>
          <w:lang w:bidi="ar"/>
        </w:rPr>
        <w:t>（二）投标人应具备公安部第三研究所认证发放的有效《网络安全服务认证证书等级保护测评服务认证》</w:t>
      </w:r>
    </w:p>
    <w:p w14:paraId="1A6DF5AF" w14:textId="5F372495" w:rsidR="00F22695" w:rsidRDefault="00AA48AC">
      <w:pPr>
        <w:spacing w:line="540" w:lineRule="exact"/>
        <w:ind w:firstLineChars="200" w:firstLine="560"/>
        <w:rPr>
          <w:rFonts w:ascii="方正仿宋_GBK" w:eastAsia="方正仿宋_GBK" w:hAnsi="方正仿宋_GBK" w:cs="方正仿宋_GBK"/>
          <w:color w:val="000000"/>
          <w:kern w:val="0"/>
          <w:sz w:val="28"/>
          <w:szCs w:val="28"/>
          <w:lang w:bidi="ar"/>
        </w:rPr>
      </w:pPr>
      <w:r>
        <w:rPr>
          <w:rFonts w:ascii="方正仿宋_GBK" w:eastAsia="方正仿宋_GBK" w:hAnsi="方正仿宋_GBK" w:cs="方正仿宋_GBK" w:hint="eastAsia"/>
          <w:color w:val="000000"/>
          <w:kern w:val="0"/>
          <w:sz w:val="28"/>
          <w:szCs w:val="28"/>
          <w:lang w:bidi="ar"/>
        </w:rPr>
        <w:t>（</w:t>
      </w:r>
      <w:r w:rsidR="001A67F7">
        <w:rPr>
          <w:rFonts w:ascii="方正仿宋_GBK" w:eastAsia="方正仿宋_GBK" w:hAnsi="方正仿宋_GBK" w:cs="方正仿宋_GBK" w:hint="eastAsia"/>
          <w:color w:val="000000"/>
          <w:kern w:val="0"/>
          <w:sz w:val="28"/>
          <w:szCs w:val="28"/>
          <w:lang w:bidi="ar"/>
        </w:rPr>
        <w:t>三</w:t>
      </w:r>
      <w:r>
        <w:rPr>
          <w:rFonts w:ascii="方正仿宋_GBK" w:eastAsia="方正仿宋_GBK" w:hAnsi="方正仿宋_GBK" w:cs="方正仿宋_GBK" w:hint="eastAsia"/>
          <w:color w:val="000000"/>
          <w:kern w:val="0"/>
          <w:sz w:val="28"/>
          <w:szCs w:val="28"/>
          <w:lang w:bidi="ar"/>
        </w:rPr>
        <w:t>）投标人参加政府采购活动前三年内未被“信用中国”网站</w:t>
      </w:r>
      <w:r>
        <w:rPr>
          <w:rFonts w:ascii="方正仿宋_GBK" w:eastAsia="方正仿宋_GBK" w:hAnsi="方正仿宋_GBK" w:cs="方正仿宋_GBK" w:hint="eastAsia"/>
          <w:color w:val="000000"/>
          <w:kern w:val="0"/>
          <w:sz w:val="28"/>
          <w:szCs w:val="28"/>
          <w:lang w:bidi="ar"/>
        </w:rPr>
        <w:t>(www.creditchina.gov.cn)</w:t>
      </w:r>
      <w:r>
        <w:rPr>
          <w:rFonts w:ascii="方正仿宋_GBK" w:eastAsia="方正仿宋_GBK" w:hAnsi="方正仿宋_GBK" w:cs="方正仿宋_GBK" w:hint="eastAsia"/>
          <w:color w:val="000000"/>
          <w:kern w:val="0"/>
          <w:sz w:val="28"/>
          <w:szCs w:val="28"/>
          <w:lang w:bidi="ar"/>
        </w:rPr>
        <w:t>列入失信被执行人、重大税收违法案件当事人、政府采购严重违法失信行为记录名单和未被“中国政府采购”网站（</w:t>
      </w:r>
      <w:r>
        <w:rPr>
          <w:rFonts w:ascii="方正仿宋_GBK" w:eastAsia="方正仿宋_GBK" w:hAnsi="方正仿宋_GBK" w:cs="方正仿宋_GBK" w:hint="eastAsia"/>
          <w:color w:val="000000"/>
          <w:kern w:val="0"/>
          <w:sz w:val="28"/>
          <w:szCs w:val="28"/>
          <w:lang w:bidi="ar"/>
        </w:rPr>
        <w:t>www.ccgp.gov.cn</w:t>
      </w:r>
      <w:r>
        <w:rPr>
          <w:rFonts w:ascii="方正仿宋_GBK" w:eastAsia="方正仿宋_GBK" w:hAnsi="方正仿宋_GBK" w:cs="方正仿宋_GBK" w:hint="eastAsia"/>
          <w:color w:val="000000"/>
          <w:kern w:val="0"/>
          <w:sz w:val="28"/>
          <w:szCs w:val="28"/>
          <w:lang w:bidi="ar"/>
        </w:rPr>
        <w:t>）列入政府采购严重违法失信行为记录名单；</w:t>
      </w:r>
    </w:p>
    <w:p w14:paraId="077709B4" w14:textId="4FCC6C5E" w:rsidR="00F22695" w:rsidRDefault="001A67F7">
      <w:pPr>
        <w:spacing w:line="540" w:lineRule="exact"/>
        <w:ind w:firstLineChars="200" w:firstLine="560"/>
        <w:rPr>
          <w:rFonts w:ascii="方正仿宋_GBK" w:eastAsia="方正仿宋_GBK" w:hAnsi="方正仿宋_GBK" w:cs="方正仿宋_GBK"/>
          <w:color w:val="000000"/>
          <w:kern w:val="0"/>
          <w:sz w:val="28"/>
          <w:szCs w:val="28"/>
          <w:lang w:bidi="ar"/>
        </w:rPr>
      </w:pPr>
      <w:r>
        <w:rPr>
          <w:rFonts w:ascii="方正仿宋_GBK" w:eastAsia="方正仿宋_GBK" w:hAnsi="方正仿宋_GBK" w:cs="方正仿宋_GBK" w:hint="eastAsia"/>
          <w:color w:val="000000"/>
          <w:kern w:val="0"/>
          <w:sz w:val="28"/>
          <w:szCs w:val="28"/>
          <w:lang w:bidi="ar"/>
        </w:rPr>
        <w:t>（四）本项目不接受联合体形</w:t>
      </w:r>
      <w:proofErr w:type="gramStart"/>
      <w:r>
        <w:rPr>
          <w:rFonts w:ascii="方正仿宋_GBK" w:eastAsia="方正仿宋_GBK" w:hAnsi="方正仿宋_GBK" w:cs="方正仿宋_GBK" w:hint="eastAsia"/>
          <w:color w:val="000000"/>
          <w:kern w:val="0"/>
          <w:sz w:val="28"/>
          <w:szCs w:val="28"/>
          <w:lang w:bidi="ar"/>
        </w:rPr>
        <w:t>式参与</w:t>
      </w:r>
      <w:proofErr w:type="gramEnd"/>
      <w:r>
        <w:rPr>
          <w:rFonts w:ascii="方正仿宋_GBK" w:eastAsia="方正仿宋_GBK" w:hAnsi="方正仿宋_GBK" w:cs="方正仿宋_GBK" w:hint="eastAsia"/>
          <w:color w:val="000000"/>
          <w:kern w:val="0"/>
          <w:sz w:val="28"/>
          <w:szCs w:val="28"/>
          <w:lang w:bidi="ar"/>
        </w:rPr>
        <w:t>报价。</w:t>
      </w:r>
    </w:p>
    <w:p w14:paraId="7CBBEAAB" w14:textId="77777777" w:rsidR="00F22695" w:rsidRDefault="00AA48AC">
      <w:pPr>
        <w:widowControl/>
        <w:spacing w:line="540" w:lineRule="exact"/>
        <w:ind w:firstLineChars="200" w:firstLine="560"/>
        <w:jc w:val="left"/>
        <w:rPr>
          <w:rFonts w:ascii="方正黑体_GBK" w:eastAsia="方正黑体_GBK" w:hAnsi="方正黑体_GBK" w:cs="方正黑体_GBK"/>
          <w:sz w:val="28"/>
          <w:szCs w:val="28"/>
        </w:rPr>
      </w:pPr>
      <w:bookmarkStart w:id="0" w:name="_Toc375126147"/>
      <w:bookmarkStart w:id="1" w:name="_Toc358372990"/>
      <w:r>
        <w:rPr>
          <w:rFonts w:ascii="方正黑体_GBK" w:eastAsia="方正黑体_GBK" w:hAnsi="方正黑体_GBK" w:cs="方正黑体_GBK" w:hint="eastAsia"/>
          <w:sz w:val="28"/>
          <w:szCs w:val="28"/>
        </w:rPr>
        <w:t>二</w:t>
      </w:r>
      <w:r>
        <w:rPr>
          <w:rFonts w:ascii="方正黑体_GBK" w:eastAsia="方正黑体_GBK" w:hAnsi="方正黑体_GBK" w:cs="方正黑体_GBK" w:hint="eastAsia"/>
          <w:sz w:val="28"/>
          <w:szCs w:val="28"/>
          <w:lang w:eastAsia="zh-Hans"/>
        </w:rPr>
        <w:t>、</w:t>
      </w:r>
      <w:r>
        <w:rPr>
          <w:rFonts w:ascii="方正黑体_GBK" w:eastAsia="方正黑体_GBK" w:hAnsi="方正黑体_GBK" w:cs="方正黑体_GBK" w:hint="eastAsia"/>
          <w:sz w:val="28"/>
          <w:szCs w:val="28"/>
        </w:rPr>
        <w:t>项目概况</w:t>
      </w:r>
      <w:bookmarkEnd w:id="0"/>
      <w:bookmarkEnd w:id="1"/>
    </w:p>
    <w:p w14:paraId="7730A4D2" w14:textId="46DCDC0F" w:rsidR="00F22695" w:rsidRDefault="00AA48AC">
      <w:pPr>
        <w:spacing w:line="540" w:lineRule="exact"/>
        <w:ind w:firstLineChars="200" w:firstLine="560"/>
        <w:rPr>
          <w:rFonts w:ascii="方正仿宋_GBK" w:eastAsia="方正仿宋_GBK" w:hAnsi="方正仿宋_GBK" w:cs="方正仿宋_GBK"/>
          <w:color w:val="000000"/>
          <w:kern w:val="0"/>
          <w:sz w:val="28"/>
          <w:szCs w:val="28"/>
          <w:lang w:bidi="ar"/>
        </w:rPr>
      </w:pPr>
      <w:r>
        <w:rPr>
          <w:rFonts w:ascii="方正楷体_GBK" w:eastAsia="方正楷体_GBK" w:hAnsi="方正楷体_GBK" w:cs="方正楷体_GBK" w:hint="eastAsia"/>
          <w:sz w:val="28"/>
          <w:szCs w:val="28"/>
        </w:rPr>
        <w:t>（一）项目名称：</w:t>
      </w:r>
      <w:r w:rsidR="001A67F7" w:rsidRPr="001A67F7">
        <w:rPr>
          <w:rFonts w:ascii="方正仿宋_GBK" w:eastAsia="方正仿宋_GBK" w:hAnsi="方正仿宋_GBK" w:cs="方正仿宋_GBK"/>
          <w:color w:val="000000"/>
          <w:kern w:val="0"/>
          <w:sz w:val="28"/>
          <w:szCs w:val="28"/>
          <w:lang w:bidi="ar"/>
        </w:rPr>
        <w:t>中小学</w:t>
      </w:r>
      <w:r w:rsidR="00781DE1">
        <w:rPr>
          <w:rFonts w:ascii="方正仿宋_GBK" w:eastAsia="方正仿宋_GBK" w:hAnsi="方正仿宋_GBK" w:cs="方正仿宋_GBK" w:hint="eastAsia"/>
          <w:color w:val="000000"/>
          <w:kern w:val="0"/>
          <w:sz w:val="28"/>
          <w:szCs w:val="28"/>
          <w:lang w:bidi="ar"/>
        </w:rPr>
        <w:t>“</w:t>
      </w:r>
      <w:r w:rsidR="001A67F7" w:rsidRPr="001A67F7">
        <w:rPr>
          <w:rFonts w:ascii="方正仿宋_GBK" w:eastAsia="方正仿宋_GBK" w:hAnsi="方正仿宋_GBK" w:cs="方正仿宋_GBK"/>
          <w:color w:val="000000"/>
          <w:kern w:val="0"/>
          <w:sz w:val="28"/>
          <w:szCs w:val="28"/>
          <w:lang w:bidi="ar"/>
        </w:rPr>
        <w:t>数字食堂</w:t>
      </w:r>
      <w:r w:rsidR="00781DE1">
        <w:rPr>
          <w:rFonts w:ascii="方正仿宋_GBK" w:eastAsia="方正仿宋_GBK" w:hAnsi="方正仿宋_GBK" w:cs="方正仿宋_GBK" w:hint="eastAsia"/>
          <w:color w:val="000000"/>
          <w:kern w:val="0"/>
          <w:sz w:val="28"/>
          <w:szCs w:val="28"/>
          <w:lang w:bidi="ar"/>
        </w:rPr>
        <w:t>”</w:t>
      </w:r>
      <w:r w:rsidR="001A67F7" w:rsidRPr="001A67F7">
        <w:rPr>
          <w:rFonts w:ascii="方正仿宋_GBK" w:eastAsia="方正仿宋_GBK" w:hAnsi="方正仿宋_GBK" w:cs="方正仿宋_GBK"/>
          <w:color w:val="000000"/>
          <w:kern w:val="0"/>
          <w:sz w:val="28"/>
          <w:szCs w:val="28"/>
          <w:lang w:bidi="ar"/>
        </w:rPr>
        <w:t>监管平台</w:t>
      </w:r>
      <w:proofErr w:type="gramStart"/>
      <w:r>
        <w:rPr>
          <w:rFonts w:ascii="方正仿宋_GBK" w:eastAsia="方正仿宋_GBK" w:hAnsi="方正仿宋_GBK" w:cs="方正仿宋_GBK" w:hint="eastAsia"/>
          <w:color w:val="000000"/>
          <w:kern w:val="0"/>
          <w:sz w:val="28"/>
          <w:szCs w:val="28"/>
          <w:lang w:bidi="ar"/>
        </w:rPr>
        <w:t>三级等保测评</w:t>
      </w:r>
      <w:proofErr w:type="gramEnd"/>
      <w:r>
        <w:rPr>
          <w:rFonts w:ascii="方正仿宋_GBK" w:eastAsia="方正仿宋_GBK" w:hAnsi="方正仿宋_GBK" w:cs="方正仿宋_GBK" w:hint="eastAsia"/>
          <w:color w:val="000000"/>
          <w:kern w:val="0"/>
          <w:sz w:val="28"/>
          <w:szCs w:val="28"/>
          <w:lang w:bidi="ar"/>
        </w:rPr>
        <w:t>服务。</w:t>
      </w:r>
    </w:p>
    <w:p w14:paraId="20301137" w14:textId="77777777" w:rsidR="00F22695" w:rsidRPr="001A67F7" w:rsidRDefault="00F22695">
      <w:pPr>
        <w:widowControl/>
        <w:spacing w:line="540" w:lineRule="exact"/>
        <w:ind w:firstLineChars="200" w:firstLine="560"/>
        <w:jc w:val="left"/>
        <w:rPr>
          <w:rFonts w:ascii="宋体" w:hAnsi="宋体" w:cs="宋体"/>
          <w:color w:val="000000"/>
          <w:kern w:val="0"/>
          <w:sz w:val="28"/>
          <w:szCs w:val="28"/>
          <w:lang w:bidi="ar"/>
        </w:rPr>
      </w:pPr>
    </w:p>
    <w:tbl>
      <w:tblPr>
        <w:tblW w:w="8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
        <w:gridCol w:w="2853"/>
        <w:gridCol w:w="2723"/>
        <w:gridCol w:w="1610"/>
      </w:tblGrid>
      <w:tr w:rsidR="00F22695" w14:paraId="29A115AB" w14:textId="77777777">
        <w:trPr>
          <w:trHeight w:val="770"/>
          <w:jc w:val="center"/>
        </w:trPr>
        <w:tc>
          <w:tcPr>
            <w:tcW w:w="970" w:type="dxa"/>
            <w:tcBorders>
              <w:tl2br w:val="nil"/>
              <w:tr2bl w:val="nil"/>
            </w:tcBorders>
            <w:shd w:val="clear" w:color="auto" w:fill="BFBFBF" w:themeFill="background1" w:themeFillShade="BF"/>
            <w:vAlign w:val="center"/>
          </w:tcPr>
          <w:p w14:paraId="6F112772" w14:textId="77777777" w:rsidR="00F22695" w:rsidRDefault="00AA48AC">
            <w:pPr>
              <w:spacing w:line="540" w:lineRule="exact"/>
              <w:ind w:leftChars="-27" w:left="-57" w:rightChars="-37" w:right="-78"/>
              <w:jc w:val="center"/>
              <w:rPr>
                <w:rFonts w:ascii="方正仿宋_GBK" w:eastAsia="方正仿宋_GBK" w:hAnsi="方正仿宋_GBK" w:cs="方正仿宋_GBK"/>
                <w:b/>
                <w:sz w:val="28"/>
                <w:szCs w:val="28"/>
              </w:rPr>
            </w:pPr>
            <w:r>
              <w:rPr>
                <w:rFonts w:ascii="方正仿宋_GBK" w:eastAsia="方正仿宋_GBK" w:hAnsi="方正仿宋_GBK" w:cs="方正仿宋_GBK" w:hint="eastAsia"/>
                <w:b/>
                <w:sz w:val="28"/>
                <w:szCs w:val="28"/>
              </w:rPr>
              <w:t>序号</w:t>
            </w:r>
          </w:p>
        </w:tc>
        <w:tc>
          <w:tcPr>
            <w:tcW w:w="2853" w:type="dxa"/>
            <w:tcBorders>
              <w:tl2br w:val="nil"/>
              <w:tr2bl w:val="nil"/>
            </w:tcBorders>
            <w:shd w:val="clear" w:color="auto" w:fill="BFBFBF" w:themeFill="background1" w:themeFillShade="BF"/>
            <w:vAlign w:val="center"/>
          </w:tcPr>
          <w:p w14:paraId="002330A9" w14:textId="77777777" w:rsidR="00F22695" w:rsidRDefault="00AA48AC">
            <w:pPr>
              <w:spacing w:line="540" w:lineRule="exact"/>
              <w:ind w:leftChars="-27" w:left="-57" w:rightChars="-37" w:right="-78"/>
              <w:jc w:val="center"/>
              <w:rPr>
                <w:rFonts w:ascii="方正仿宋_GBK" w:eastAsia="方正仿宋_GBK" w:hAnsi="方正仿宋_GBK" w:cs="方正仿宋_GBK"/>
                <w:b/>
                <w:sz w:val="28"/>
                <w:szCs w:val="28"/>
              </w:rPr>
            </w:pPr>
            <w:r>
              <w:rPr>
                <w:rFonts w:ascii="方正仿宋_GBK" w:eastAsia="方正仿宋_GBK" w:hAnsi="方正仿宋_GBK" w:cs="方正仿宋_GBK" w:hint="eastAsia"/>
                <w:b/>
                <w:sz w:val="28"/>
                <w:szCs w:val="28"/>
              </w:rPr>
              <w:t>服务内容</w:t>
            </w:r>
          </w:p>
        </w:tc>
        <w:tc>
          <w:tcPr>
            <w:tcW w:w="2723" w:type="dxa"/>
            <w:tcBorders>
              <w:tl2br w:val="nil"/>
              <w:tr2bl w:val="nil"/>
            </w:tcBorders>
            <w:shd w:val="clear" w:color="auto" w:fill="BFBFBF" w:themeFill="background1" w:themeFillShade="BF"/>
            <w:vAlign w:val="center"/>
          </w:tcPr>
          <w:p w14:paraId="610E7AC4" w14:textId="77777777" w:rsidR="00F22695" w:rsidRDefault="00AA48AC">
            <w:pPr>
              <w:spacing w:line="540" w:lineRule="exact"/>
              <w:ind w:leftChars="-27" w:left="-57" w:rightChars="-37" w:right="-78"/>
              <w:jc w:val="center"/>
              <w:rPr>
                <w:rFonts w:ascii="方正仿宋_GBK" w:eastAsia="方正仿宋_GBK" w:hAnsi="方正仿宋_GBK" w:cs="方正仿宋_GBK"/>
                <w:b/>
                <w:sz w:val="28"/>
                <w:szCs w:val="28"/>
              </w:rPr>
            </w:pPr>
            <w:r>
              <w:rPr>
                <w:rFonts w:ascii="方正仿宋_GBK" w:eastAsia="方正仿宋_GBK" w:hAnsi="方正仿宋_GBK" w:cs="方正仿宋_GBK" w:hint="eastAsia"/>
                <w:b/>
                <w:sz w:val="28"/>
                <w:szCs w:val="28"/>
                <w:lang w:eastAsia="zh-Hans"/>
              </w:rPr>
              <w:t>系统名称</w:t>
            </w:r>
          </w:p>
        </w:tc>
        <w:tc>
          <w:tcPr>
            <w:tcW w:w="1610" w:type="dxa"/>
            <w:tcBorders>
              <w:tl2br w:val="nil"/>
              <w:tr2bl w:val="nil"/>
            </w:tcBorders>
            <w:shd w:val="clear" w:color="auto" w:fill="BFBFBF" w:themeFill="background1" w:themeFillShade="BF"/>
            <w:vAlign w:val="center"/>
          </w:tcPr>
          <w:p w14:paraId="038893F7" w14:textId="77777777" w:rsidR="00F22695" w:rsidRDefault="00AA48AC">
            <w:pPr>
              <w:spacing w:line="540" w:lineRule="exact"/>
              <w:ind w:leftChars="-27" w:left="-57" w:rightChars="-37" w:right="-78"/>
              <w:jc w:val="center"/>
              <w:rPr>
                <w:rFonts w:ascii="方正仿宋_GBK" w:eastAsia="方正仿宋_GBK" w:hAnsi="方正仿宋_GBK" w:cs="方正仿宋_GBK"/>
                <w:b/>
                <w:sz w:val="28"/>
                <w:szCs w:val="28"/>
              </w:rPr>
            </w:pPr>
            <w:r>
              <w:rPr>
                <w:rFonts w:ascii="方正仿宋_GBK" w:eastAsia="方正仿宋_GBK" w:hAnsi="方正仿宋_GBK" w:cs="方正仿宋_GBK" w:hint="eastAsia"/>
                <w:b/>
                <w:sz w:val="28"/>
                <w:szCs w:val="28"/>
              </w:rPr>
              <w:t>级别</w:t>
            </w:r>
          </w:p>
        </w:tc>
      </w:tr>
      <w:tr w:rsidR="00F22695" w14:paraId="7EA6DB4C" w14:textId="77777777">
        <w:trPr>
          <w:trHeight w:val="473"/>
          <w:jc w:val="center"/>
        </w:trPr>
        <w:tc>
          <w:tcPr>
            <w:tcW w:w="970" w:type="dxa"/>
            <w:tcBorders>
              <w:tl2br w:val="nil"/>
              <w:tr2bl w:val="nil"/>
            </w:tcBorders>
            <w:vAlign w:val="center"/>
          </w:tcPr>
          <w:p w14:paraId="639B2F15" w14:textId="77777777" w:rsidR="00F22695" w:rsidRDefault="00AA48AC">
            <w:pPr>
              <w:widowControl/>
              <w:spacing w:after="200" w:line="540" w:lineRule="exact"/>
              <w:ind w:rightChars="-23" w:right="-48"/>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p>
        </w:tc>
        <w:tc>
          <w:tcPr>
            <w:tcW w:w="2853" w:type="dxa"/>
            <w:tcBorders>
              <w:tl2br w:val="nil"/>
              <w:tr2bl w:val="nil"/>
            </w:tcBorders>
            <w:vAlign w:val="center"/>
          </w:tcPr>
          <w:p w14:paraId="536A372F" w14:textId="77777777" w:rsidR="00F22695" w:rsidRDefault="00AA48AC">
            <w:pPr>
              <w:widowControl/>
              <w:spacing w:after="200" w:line="540" w:lineRule="exact"/>
              <w:ind w:rightChars="-23" w:right="-48"/>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网络安全等级测评</w:t>
            </w:r>
          </w:p>
        </w:tc>
        <w:tc>
          <w:tcPr>
            <w:tcW w:w="2723" w:type="dxa"/>
            <w:tcBorders>
              <w:tl2br w:val="nil"/>
              <w:tr2bl w:val="nil"/>
            </w:tcBorders>
            <w:vAlign w:val="center"/>
          </w:tcPr>
          <w:p w14:paraId="2CD3D7E6" w14:textId="3F345FAD" w:rsidR="00F22695" w:rsidRDefault="001A67F7" w:rsidP="00781DE1">
            <w:pPr>
              <w:widowControl/>
              <w:spacing w:line="540" w:lineRule="exact"/>
              <w:jc w:val="center"/>
              <w:rPr>
                <w:rFonts w:ascii="方正仿宋_GBK" w:eastAsia="方正仿宋_GBK" w:hAnsi="方正仿宋_GBK" w:cs="方正仿宋_GBK"/>
                <w:sz w:val="28"/>
                <w:szCs w:val="28"/>
              </w:rPr>
            </w:pPr>
            <w:r w:rsidRPr="001A67F7">
              <w:rPr>
                <w:rFonts w:ascii="方正仿宋_GBK" w:eastAsia="方正仿宋_GBK" w:hAnsi="方正仿宋_GBK" w:cs="方正仿宋_GBK"/>
                <w:sz w:val="28"/>
                <w:szCs w:val="28"/>
              </w:rPr>
              <w:t>中小学</w:t>
            </w:r>
            <w:r w:rsidR="00781DE1">
              <w:rPr>
                <w:rFonts w:ascii="方正仿宋_GBK" w:eastAsia="方正仿宋_GBK" w:hAnsi="方正仿宋_GBK" w:cs="方正仿宋_GBK" w:hint="eastAsia"/>
                <w:sz w:val="28"/>
                <w:szCs w:val="28"/>
              </w:rPr>
              <w:t>“</w:t>
            </w:r>
            <w:r w:rsidRPr="001A67F7">
              <w:rPr>
                <w:rFonts w:ascii="方正仿宋_GBK" w:eastAsia="方正仿宋_GBK" w:hAnsi="方正仿宋_GBK" w:cs="方正仿宋_GBK"/>
                <w:sz w:val="28"/>
                <w:szCs w:val="28"/>
              </w:rPr>
              <w:t>数字食堂</w:t>
            </w:r>
            <w:r w:rsidR="00781DE1">
              <w:rPr>
                <w:rFonts w:ascii="方正仿宋_GBK" w:eastAsia="方正仿宋_GBK" w:hAnsi="方正仿宋_GBK" w:cs="方正仿宋_GBK" w:hint="eastAsia"/>
                <w:sz w:val="28"/>
                <w:szCs w:val="28"/>
              </w:rPr>
              <w:t>”</w:t>
            </w:r>
            <w:r w:rsidRPr="001A67F7">
              <w:rPr>
                <w:rFonts w:ascii="方正仿宋_GBK" w:eastAsia="方正仿宋_GBK" w:hAnsi="方正仿宋_GBK" w:cs="方正仿宋_GBK"/>
                <w:sz w:val="28"/>
                <w:szCs w:val="28"/>
              </w:rPr>
              <w:t>监管平台</w:t>
            </w:r>
          </w:p>
        </w:tc>
        <w:tc>
          <w:tcPr>
            <w:tcW w:w="1610" w:type="dxa"/>
            <w:tcBorders>
              <w:tl2br w:val="nil"/>
              <w:tr2bl w:val="nil"/>
            </w:tcBorders>
            <w:vAlign w:val="center"/>
          </w:tcPr>
          <w:p w14:paraId="560E5384" w14:textId="77777777" w:rsidR="00F22695" w:rsidRDefault="00AA48AC">
            <w:pPr>
              <w:adjustRightInd w:val="0"/>
              <w:snapToGrid w:val="0"/>
              <w:spacing w:line="54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三级</w:t>
            </w:r>
          </w:p>
        </w:tc>
      </w:tr>
    </w:tbl>
    <w:p w14:paraId="729DD5E0" w14:textId="69A673D6" w:rsidR="00F22695" w:rsidRDefault="00AA48AC">
      <w:pPr>
        <w:spacing w:line="540" w:lineRule="exact"/>
        <w:ind w:firstLineChars="200" w:firstLine="560"/>
        <w:rPr>
          <w:rFonts w:ascii="方正仿宋_GBK" w:eastAsia="方正仿宋_GBK" w:hAnsi="方正仿宋_GBK" w:cs="方正仿宋_GBK"/>
          <w:color w:val="000000"/>
          <w:kern w:val="0"/>
          <w:sz w:val="28"/>
          <w:szCs w:val="28"/>
          <w:lang w:bidi="ar"/>
        </w:rPr>
      </w:pPr>
      <w:r>
        <w:rPr>
          <w:rFonts w:ascii="方正楷体_GBK" w:eastAsia="方正楷体_GBK" w:hAnsi="方正楷体_GBK" w:cs="方正楷体_GBK" w:hint="eastAsia"/>
          <w:sz w:val="28"/>
          <w:szCs w:val="28"/>
        </w:rPr>
        <w:t>（二）</w:t>
      </w:r>
      <w:r>
        <w:rPr>
          <w:rFonts w:ascii="方正楷体_GBK" w:eastAsia="方正楷体_GBK" w:hAnsi="方正楷体_GBK" w:cs="方正楷体_GBK" w:hint="eastAsia"/>
          <w:color w:val="000000"/>
          <w:kern w:val="0"/>
          <w:sz w:val="28"/>
          <w:szCs w:val="28"/>
          <w:lang w:bidi="ar"/>
        </w:rPr>
        <w:t>项目预算</w:t>
      </w:r>
      <w:r w:rsidR="001A67F7">
        <w:rPr>
          <w:rFonts w:ascii="方正仿宋_GBK" w:eastAsia="方正仿宋_GBK" w:hAnsi="方正仿宋_GBK" w:cs="方正仿宋_GBK" w:hint="eastAsia"/>
          <w:color w:val="000000"/>
          <w:kern w:val="0"/>
          <w:sz w:val="28"/>
          <w:szCs w:val="28"/>
          <w:lang w:bidi="ar"/>
        </w:rPr>
        <w:t>：8</w:t>
      </w:r>
      <w:r>
        <w:rPr>
          <w:rFonts w:ascii="方正仿宋_GBK" w:eastAsia="方正仿宋_GBK" w:hAnsi="方正仿宋_GBK" w:cs="方正仿宋_GBK" w:hint="eastAsia"/>
          <w:color w:val="000000"/>
          <w:kern w:val="0"/>
          <w:sz w:val="28"/>
          <w:szCs w:val="28"/>
          <w:lang w:bidi="ar"/>
        </w:rPr>
        <w:t>万元</w:t>
      </w:r>
      <w:r>
        <w:rPr>
          <w:rFonts w:ascii="方正仿宋_GBK" w:eastAsia="方正仿宋_GBK" w:hAnsi="方正仿宋_GBK" w:cs="方正仿宋_GBK" w:hint="eastAsia"/>
          <w:sz w:val="28"/>
          <w:szCs w:val="28"/>
        </w:rPr>
        <w:t>。</w:t>
      </w:r>
    </w:p>
    <w:p w14:paraId="541CE560" w14:textId="72DA2132"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楷体_GBK" w:eastAsia="方正楷体_GBK" w:hAnsi="方正楷体_GBK" w:cs="方正楷体_GBK" w:hint="eastAsia"/>
          <w:sz w:val="28"/>
          <w:szCs w:val="28"/>
        </w:rPr>
        <w:t>（三）项目工期</w:t>
      </w:r>
      <w:r>
        <w:rPr>
          <w:rFonts w:ascii="方正仿宋_GBK" w:eastAsia="方正仿宋_GBK" w:hAnsi="方正仿宋_GBK" w:cs="方正仿宋_GBK" w:hint="eastAsia"/>
          <w:sz w:val="28"/>
          <w:szCs w:val="28"/>
        </w:rPr>
        <w:t>：满足测评环境后</w:t>
      </w:r>
      <w:r>
        <w:rPr>
          <w:rFonts w:ascii="方正仿宋_GBK" w:eastAsia="方正仿宋_GBK" w:hAnsi="方正仿宋_GBK" w:cs="方正仿宋_GBK" w:hint="eastAsia"/>
          <w:sz w:val="28"/>
          <w:szCs w:val="28"/>
        </w:rPr>
        <w:t>90</w:t>
      </w:r>
      <w:r>
        <w:rPr>
          <w:rFonts w:ascii="方正仿宋_GBK" w:eastAsia="方正仿宋_GBK" w:hAnsi="方正仿宋_GBK" w:cs="方正仿宋_GBK" w:hint="eastAsia"/>
          <w:sz w:val="28"/>
          <w:szCs w:val="28"/>
        </w:rPr>
        <w:t>个工作日内</w:t>
      </w:r>
      <w:r>
        <w:rPr>
          <w:rFonts w:ascii="方正仿宋_GBK" w:eastAsia="方正仿宋_GBK" w:hAnsi="方正仿宋_GBK" w:cs="方正仿宋_GBK" w:hint="eastAsia"/>
          <w:sz w:val="28"/>
          <w:szCs w:val="28"/>
          <w:lang w:eastAsia="zh-Hans"/>
        </w:rPr>
        <w:t>完成等级测评</w:t>
      </w:r>
      <w:r w:rsidR="001A67F7">
        <w:rPr>
          <w:rFonts w:ascii="方正仿宋_GBK" w:eastAsia="方正仿宋_GBK" w:hAnsi="方正仿宋_GBK" w:cs="方正仿宋_GBK" w:hint="eastAsia"/>
          <w:sz w:val="28"/>
          <w:szCs w:val="28"/>
        </w:rPr>
        <w:t>。</w:t>
      </w:r>
    </w:p>
    <w:p w14:paraId="73986372" w14:textId="77777777" w:rsidR="00F22695" w:rsidRDefault="00AA48AC">
      <w:pPr>
        <w:widowControl/>
        <w:spacing w:line="540" w:lineRule="exact"/>
        <w:ind w:firstLineChars="200" w:firstLine="560"/>
        <w:jc w:val="left"/>
        <w:rPr>
          <w:rFonts w:ascii="方正黑体_GBK" w:eastAsia="方正黑体_GBK" w:hAnsi="方正黑体_GBK" w:cs="方正黑体_GBK"/>
          <w:sz w:val="28"/>
          <w:szCs w:val="28"/>
        </w:rPr>
      </w:pPr>
      <w:r>
        <w:rPr>
          <w:rFonts w:ascii="方正黑体_GBK" w:eastAsia="方正黑体_GBK" w:hAnsi="方正黑体_GBK" w:cs="方正黑体_GBK" w:hint="eastAsia"/>
          <w:sz w:val="28"/>
          <w:szCs w:val="28"/>
        </w:rPr>
        <w:t>三、项目需求</w:t>
      </w:r>
    </w:p>
    <w:p w14:paraId="0C5D219D" w14:textId="02650CAC"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为了贯彻和落实《中华人民共和国网络安全法》、《中华人民共</w:t>
      </w:r>
      <w:r>
        <w:rPr>
          <w:rFonts w:ascii="方正仿宋_GBK" w:eastAsia="方正仿宋_GBK" w:hAnsi="方正仿宋_GBK" w:cs="方正仿宋_GBK" w:hint="eastAsia"/>
          <w:sz w:val="28"/>
          <w:szCs w:val="28"/>
        </w:rPr>
        <w:lastRenderedPageBreak/>
        <w:t>和国密码法》、《中华人民共和国计算机信息系统安全保护条例》（国务院令第</w:t>
      </w:r>
      <w:r>
        <w:rPr>
          <w:rFonts w:ascii="方正仿宋_GBK" w:eastAsia="方正仿宋_GBK" w:hAnsi="方正仿宋_GBK" w:cs="方正仿宋_GBK" w:hint="eastAsia"/>
          <w:sz w:val="28"/>
          <w:szCs w:val="28"/>
        </w:rPr>
        <w:t>147</w:t>
      </w:r>
      <w:r>
        <w:rPr>
          <w:rFonts w:ascii="方正仿宋_GBK" w:eastAsia="方正仿宋_GBK" w:hAnsi="方正仿宋_GBK" w:cs="方正仿宋_GBK" w:hint="eastAsia"/>
          <w:sz w:val="28"/>
          <w:szCs w:val="28"/>
        </w:rPr>
        <w:t>号）、《国家政务信息化项目建设管理办法》等国家相</w:t>
      </w:r>
      <w:r>
        <w:rPr>
          <w:rFonts w:ascii="方正仿宋_GBK" w:eastAsia="方正仿宋_GBK" w:hAnsi="方正仿宋_GBK" w:cs="方正仿宋_GBK" w:hint="eastAsia"/>
          <w:sz w:val="28"/>
          <w:szCs w:val="28"/>
        </w:rPr>
        <w:t>关法规、技术标准和规范的要求，开展等级测评服务。</w:t>
      </w:r>
    </w:p>
    <w:p w14:paraId="14C71DD6" w14:textId="77777777" w:rsidR="00F22695" w:rsidRDefault="00AA48AC">
      <w:pPr>
        <w:spacing w:line="540" w:lineRule="exact"/>
        <w:ind w:firstLineChars="200" w:firstLine="560"/>
        <w:rPr>
          <w:rFonts w:ascii="方正楷体_GBK" w:eastAsia="方正楷体_GBK" w:hAnsi="方正楷体_GBK" w:cs="方正楷体_GBK"/>
          <w:sz w:val="28"/>
          <w:szCs w:val="28"/>
        </w:rPr>
      </w:pPr>
      <w:r>
        <w:rPr>
          <w:rFonts w:ascii="方正楷体_GBK" w:eastAsia="方正楷体_GBK" w:hAnsi="方正楷体_GBK" w:cs="方正楷体_GBK" w:hint="eastAsia"/>
          <w:sz w:val="28"/>
          <w:szCs w:val="28"/>
        </w:rPr>
        <w:t>（一）网络安全等级保护测评</w:t>
      </w:r>
    </w:p>
    <w:p w14:paraId="15DC7A90"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依据《信息安全技术</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网络安全等级保护基本要求》</w:t>
      </w:r>
      <w:r>
        <w:rPr>
          <w:rFonts w:ascii="方正仿宋_GBK" w:eastAsia="方正仿宋_GBK" w:hAnsi="方正仿宋_GBK" w:cs="方正仿宋_GBK" w:hint="eastAsia"/>
          <w:sz w:val="28"/>
          <w:szCs w:val="28"/>
        </w:rPr>
        <w:t>(GB/T 22239-2019)</w:t>
      </w:r>
      <w:r>
        <w:rPr>
          <w:rFonts w:ascii="方正仿宋_GBK" w:eastAsia="方正仿宋_GBK" w:hAnsi="方正仿宋_GBK" w:cs="方正仿宋_GBK" w:hint="eastAsia"/>
          <w:sz w:val="28"/>
          <w:szCs w:val="28"/>
        </w:rPr>
        <w:t>、《信息安全技术</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网络安全等级保护测评要求》</w:t>
      </w:r>
      <w:r>
        <w:rPr>
          <w:rFonts w:ascii="方正仿宋_GBK" w:eastAsia="方正仿宋_GBK" w:hAnsi="方正仿宋_GBK" w:cs="方正仿宋_GBK" w:hint="eastAsia"/>
          <w:sz w:val="28"/>
          <w:szCs w:val="28"/>
        </w:rPr>
        <w:t>(GB/T 28448-2019)</w:t>
      </w:r>
      <w:r>
        <w:rPr>
          <w:rFonts w:ascii="方正仿宋_GBK" w:eastAsia="方正仿宋_GBK" w:hAnsi="方正仿宋_GBK" w:cs="方正仿宋_GBK" w:hint="eastAsia"/>
          <w:sz w:val="28"/>
          <w:szCs w:val="28"/>
        </w:rPr>
        <w:t>、《信息安全技术网络安全等级保护安全设计技术要求》（</w:t>
      </w:r>
      <w:r>
        <w:rPr>
          <w:rFonts w:ascii="方正仿宋_GBK" w:eastAsia="方正仿宋_GBK" w:hAnsi="方正仿宋_GBK" w:cs="方正仿宋_GBK" w:hint="eastAsia"/>
          <w:sz w:val="28"/>
          <w:szCs w:val="28"/>
        </w:rPr>
        <w:t>GB/T 25070-2019</w:t>
      </w:r>
      <w:r>
        <w:rPr>
          <w:rFonts w:ascii="方正仿宋_GBK" w:eastAsia="方正仿宋_GBK" w:hAnsi="方正仿宋_GBK" w:cs="方正仿宋_GBK" w:hint="eastAsia"/>
          <w:sz w:val="28"/>
          <w:szCs w:val="28"/>
        </w:rPr>
        <w:t>）、《信息安全技术信息安全风险评估规范（</w:t>
      </w:r>
      <w:r>
        <w:rPr>
          <w:rFonts w:ascii="方正仿宋_GBK" w:eastAsia="方正仿宋_GBK" w:hAnsi="方正仿宋_GBK" w:cs="方正仿宋_GBK" w:hint="eastAsia"/>
          <w:sz w:val="28"/>
          <w:szCs w:val="28"/>
        </w:rPr>
        <w:t xml:space="preserve">GB/T </w:t>
      </w:r>
      <w:r>
        <w:rPr>
          <w:rFonts w:ascii="方正仿宋_GBK" w:eastAsia="方正仿宋_GBK" w:hAnsi="方正仿宋_GBK" w:cs="方正仿宋_GBK" w:hint="eastAsia"/>
          <w:sz w:val="28"/>
          <w:szCs w:val="28"/>
        </w:rPr>
        <w:t>20984-2007</w:t>
      </w:r>
      <w:r>
        <w:rPr>
          <w:rFonts w:ascii="方正仿宋_GBK" w:eastAsia="方正仿宋_GBK" w:hAnsi="方正仿宋_GBK" w:cs="方正仿宋_GBK" w:hint="eastAsia"/>
          <w:sz w:val="28"/>
          <w:szCs w:val="28"/>
        </w:rPr>
        <w:t>）的条款要求，逐一对重要信息系统进行安全保护定级、备案以及等级测评，开展信息系统等级保护测评工作。测评范围为项目目标所涉及的机房基础设施、网络环境、主机层面、应用层、数据库层及相关安全辅助设备与管理制度。服务目标为系统最终通过公安部门及相关部门的等级保护检查要求。</w:t>
      </w:r>
    </w:p>
    <w:p w14:paraId="35D0673F"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交付物：《信息系统等级测评报告》</w:t>
      </w:r>
    </w:p>
    <w:p w14:paraId="60075AA0" w14:textId="247F7813" w:rsidR="00F22695" w:rsidRDefault="00AA48AC">
      <w:pPr>
        <w:spacing w:line="540" w:lineRule="exact"/>
        <w:ind w:firstLineChars="200" w:firstLine="560"/>
        <w:rPr>
          <w:rFonts w:ascii="方正楷体_GBK" w:eastAsia="方正楷体_GBK" w:hAnsi="方正楷体_GBK" w:cs="方正楷体_GBK"/>
          <w:sz w:val="28"/>
          <w:szCs w:val="28"/>
        </w:rPr>
      </w:pPr>
      <w:bookmarkStart w:id="2" w:name="_Toc18492"/>
      <w:bookmarkStart w:id="3" w:name="_Toc9091"/>
      <w:r>
        <w:rPr>
          <w:rFonts w:ascii="方正楷体_GBK" w:eastAsia="方正楷体_GBK" w:hAnsi="方正楷体_GBK" w:cs="方正楷体_GBK" w:hint="eastAsia"/>
          <w:sz w:val="28"/>
          <w:szCs w:val="28"/>
        </w:rPr>
        <w:t>（</w:t>
      </w:r>
      <w:r w:rsidR="001A67F7">
        <w:rPr>
          <w:rFonts w:ascii="方正楷体_GBK" w:eastAsia="方正楷体_GBK" w:hAnsi="方正楷体_GBK" w:cs="方正楷体_GBK" w:hint="eastAsia"/>
          <w:sz w:val="28"/>
          <w:szCs w:val="28"/>
        </w:rPr>
        <w:t>二</w:t>
      </w:r>
      <w:r>
        <w:rPr>
          <w:rFonts w:ascii="方正楷体_GBK" w:eastAsia="方正楷体_GBK" w:hAnsi="方正楷体_GBK" w:cs="方正楷体_GBK" w:hint="eastAsia"/>
          <w:sz w:val="28"/>
          <w:szCs w:val="28"/>
        </w:rPr>
        <w:t>）风险规避要求</w:t>
      </w:r>
    </w:p>
    <w:p w14:paraId="152C9268"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项目开展工作涉及到单位重要信息系统和数据，在测评过程中必须加强安全保密管理与风险控制。</w:t>
      </w:r>
    </w:p>
    <w:p w14:paraId="69F950EF"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指定项目经理为专人负责评估过程中的安全保密管理工作，对人员以及相关文档和数据</w:t>
      </w:r>
      <w:r>
        <w:rPr>
          <w:rFonts w:ascii="方正仿宋_GBK" w:eastAsia="方正仿宋_GBK" w:hAnsi="方正仿宋_GBK" w:cs="方正仿宋_GBK" w:hint="eastAsia"/>
          <w:sz w:val="28"/>
          <w:szCs w:val="28"/>
        </w:rPr>
        <w:t>进行安全保密管理，对重点设备的技术检测进行监督，对接入的检测设备进行控制。</w:t>
      </w:r>
    </w:p>
    <w:p w14:paraId="1CA2C0A9"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项目实施人员需签订专项保密协议</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测试人员需具备测评证书或</w:t>
      </w:r>
      <w:r>
        <w:rPr>
          <w:rFonts w:ascii="方正仿宋_GBK" w:eastAsia="方正仿宋_GBK" w:hAnsi="方正仿宋_GBK" w:cs="方正仿宋_GBK" w:hint="eastAsia"/>
          <w:sz w:val="28"/>
          <w:szCs w:val="28"/>
        </w:rPr>
        <w:t>NSATP-A</w:t>
      </w:r>
      <w:r>
        <w:rPr>
          <w:rFonts w:ascii="方正仿宋_GBK" w:eastAsia="方正仿宋_GBK" w:hAnsi="方正仿宋_GBK" w:cs="方正仿宋_GBK" w:hint="eastAsia"/>
          <w:sz w:val="28"/>
          <w:szCs w:val="28"/>
        </w:rPr>
        <w:t>注册网络安全渗透评估专业人员证书。</w:t>
      </w:r>
    </w:p>
    <w:p w14:paraId="2AC5D316"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4.</w:t>
      </w:r>
      <w:r>
        <w:rPr>
          <w:rFonts w:ascii="方正仿宋_GBK" w:eastAsia="方正仿宋_GBK" w:hAnsi="方正仿宋_GBK" w:cs="方正仿宋_GBK" w:hint="eastAsia"/>
          <w:sz w:val="28"/>
          <w:szCs w:val="28"/>
        </w:rPr>
        <w:t>安全测评工作中可能出现的安全风险点，按照检测对象周密制</w:t>
      </w:r>
      <w:r>
        <w:rPr>
          <w:rFonts w:ascii="方正仿宋_GBK" w:eastAsia="方正仿宋_GBK" w:hAnsi="方正仿宋_GBK" w:cs="方正仿宋_GBK" w:hint="eastAsia"/>
          <w:sz w:val="28"/>
          <w:szCs w:val="28"/>
        </w:rPr>
        <w:lastRenderedPageBreak/>
        <w:t>定测评方法，根据被测评对象的不同采取相应的风险控制手段。不限于以下方法：</w:t>
      </w:r>
    </w:p>
    <w:p w14:paraId="023FB59C"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）操作的申请和监护</w:t>
      </w:r>
    </w:p>
    <w:p w14:paraId="6126C124"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在实施过程中必须遵守的相关操作章程，以防止敏感信息泄漏和确保及时处理意外事件。</w:t>
      </w:r>
    </w:p>
    <w:p w14:paraId="26CC6703"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）操作时间控制</w:t>
      </w:r>
    </w:p>
    <w:p w14:paraId="0A989BE9"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对测评直接影响系统工作时，尽可能避开敏感时期。</w:t>
      </w:r>
    </w:p>
    <w:p w14:paraId="1BA1E781"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）人员与数据管理</w:t>
      </w:r>
    </w:p>
    <w:p w14:paraId="2D3AF9A2"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必须高度重视信息保密工作，加强资料管理，确保人员可靠、稳定和可控。与被测评单位之间应签署长期保密协议，测评人员与被测评单位之间也要有相应的约束和控制措施，按国家有关要求做好保密工作。</w:t>
      </w:r>
    </w:p>
    <w:p w14:paraId="4A87976A"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4</w:t>
      </w:r>
      <w:r>
        <w:rPr>
          <w:rFonts w:ascii="方正仿宋_GBK" w:eastAsia="方正仿宋_GBK" w:hAnsi="方正仿宋_GBK" w:cs="方正仿宋_GBK" w:hint="eastAsia"/>
          <w:sz w:val="28"/>
          <w:szCs w:val="28"/>
        </w:rPr>
        <w:t>）制定应急预案</w:t>
      </w:r>
    </w:p>
    <w:p w14:paraId="4EC895FF"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根据测评范围界定的系统情况，在实施前制定应急预案。</w:t>
      </w:r>
    </w:p>
    <w:p w14:paraId="002F4556"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5</w:t>
      </w:r>
      <w:r>
        <w:rPr>
          <w:rFonts w:ascii="方正仿宋_GBK" w:eastAsia="方正仿宋_GBK" w:hAnsi="方正仿宋_GBK" w:cs="方正仿宋_GBK" w:hint="eastAsia"/>
          <w:sz w:val="28"/>
          <w:szCs w:val="28"/>
        </w:rPr>
        <w:t>）关键业务系统风险控制</w:t>
      </w:r>
    </w:p>
    <w:p w14:paraId="3083A4B9"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对影响较大的重要关键业务系统在无法搭建模拟环境情况下，原则上不采用测评工具，采用访谈、测评和简单测试的方式进行。</w:t>
      </w:r>
    </w:p>
    <w:p w14:paraId="455314B1"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6</w:t>
      </w:r>
      <w:r>
        <w:rPr>
          <w:rFonts w:ascii="方正仿宋_GBK" w:eastAsia="方正仿宋_GBK" w:hAnsi="方正仿宋_GBK" w:cs="方正仿宋_GBK" w:hint="eastAsia"/>
          <w:sz w:val="28"/>
          <w:szCs w:val="28"/>
        </w:rPr>
        <w:t>）优化扫描策略</w:t>
      </w:r>
    </w:p>
    <w:p w14:paraId="1F4D971B"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分类扫描</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对不同的主机和设备类型执行不同的扫描会话，从而减少不必要的脆弱项目测试。针对扫描对</w:t>
      </w:r>
      <w:r>
        <w:rPr>
          <w:rFonts w:ascii="方正仿宋_GBK" w:eastAsia="方正仿宋_GBK" w:hAnsi="方正仿宋_GBK" w:cs="方正仿宋_GBK" w:hint="eastAsia"/>
          <w:sz w:val="28"/>
          <w:szCs w:val="28"/>
        </w:rPr>
        <w:t>象细化扫描策略：对不同类型的主机或设备，需要根据其上不同的应用和服务情况，有针对性地定制扫描策略选项。</w:t>
      </w:r>
    </w:p>
    <w:p w14:paraId="7EAAA140"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7</w:t>
      </w:r>
      <w:r>
        <w:rPr>
          <w:rFonts w:ascii="方正仿宋_GBK" w:eastAsia="方正仿宋_GBK" w:hAnsi="方正仿宋_GBK" w:cs="方正仿宋_GBK" w:hint="eastAsia"/>
          <w:sz w:val="28"/>
          <w:szCs w:val="28"/>
        </w:rPr>
        <w:t>）数据备份与恢复</w:t>
      </w:r>
    </w:p>
    <w:p w14:paraId="72F90829"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lastRenderedPageBreak/>
        <w:t>对业务系统和数据库主机，应对其上数据进行备份，防止测评过程中对设备与主机的损伤影响业务系统的正常运行。</w:t>
      </w:r>
    </w:p>
    <w:p w14:paraId="56BB0D19"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8</w:t>
      </w:r>
      <w:r>
        <w:rPr>
          <w:rFonts w:ascii="方正仿宋_GBK" w:eastAsia="方正仿宋_GBK" w:hAnsi="方正仿宋_GBK" w:cs="方正仿宋_GBK" w:hint="eastAsia"/>
          <w:sz w:val="28"/>
          <w:szCs w:val="28"/>
        </w:rPr>
        <w:t>）厂商协作</w:t>
      </w:r>
    </w:p>
    <w:p w14:paraId="60F249D4" w14:textId="77777777"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厂商需要提供各应用系统的名称、版本、协议、开发语言、进程名和相应的端口号等信息，在测评之前，由三方共同分析测评对业务可能造成的风险，分析可能存在的问题。在测评过程中尽量规避这些风险。</w:t>
      </w:r>
    </w:p>
    <w:p w14:paraId="4A072A60" w14:textId="726EB0FC" w:rsidR="00F22695" w:rsidRDefault="00AA48AC">
      <w:pPr>
        <w:spacing w:line="540" w:lineRule="exact"/>
        <w:ind w:firstLineChars="200" w:firstLine="560"/>
        <w:rPr>
          <w:rFonts w:ascii="方正楷体_GBK" w:eastAsia="方正楷体_GBK" w:hAnsi="方正楷体_GBK" w:cs="方正楷体_GBK"/>
          <w:sz w:val="28"/>
          <w:szCs w:val="28"/>
        </w:rPr>
      </w:pPr>
      <w:r>
        <w:rPr>
          <w:rFonts w:ascii="方正楷体_GBK" w:eastAsia="方正楷体_GBK" w:hAnsi="方正楷体_GBK" w:cs="方正楷体_GBK" w:hint="eastAsia"/>
          <w:sz w:val="28"/>
          <w:szCs w:val="28"/>
        </w:rPr>
        <w:t>（</w:t>
      </w:r>
      <w:r w:rsidR="001A67F7">
        <w:rPr>
          <w:rFonts w:ascii="方正楷体_GBK" w:eastAsia="方正楷体_GBK" w:hAnsi="方正楷体_GBK" w:cs="方正楷体_GBK" w:hint="eastAsia"/>
          <w:sz w:val="28"/>
          <w:szCs w:val="28"/>
        </w:rPr>
        <w:t>三</w:t>
      </w:r>
      <w:r>
        <w:rPr>
          <w:rFonts w:ascii="方正楷体_GBK" w:eastAsia="方正楷体_GBK" w:hAnsi="方正楷体_GBK" w:cs="方正楷体_GBK" w:hint="eastAsia"/>
          <w:sz w:val="28"/>
          <w:szCs w:val="28"/>
        </w:rPr>
        <w:t>）其他要求</w:t>
      </w:r>
    </w:p>
    <w:p w14:paraId="3C3B5F50" w14:textId="73D0C028"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供应商应详细描述测评人员的组成、资质及各自职责的划分。供应商应</w:t>
      </w:r>
      <w:r>
        <w:rPr>
          <w:rFonts w:ascii="方正仿宋_GBK" w:eastAsia="方正仿宋_GBK" w:hAnsi="方正仿宋_GBK" w:cs="方正仿宋_GBK" w:hint="eastAsia"/>
          <w:sz w:val="28"/>
          <w:szCs w:val="28"/>
        </w:rPr>
        <w:t>配置有测评资质的专业人员进行本次</w:t>
      </w:r>
      <w:r w:rsidR="001A67F7">
        <w:rPr>
          <w:rFonts w:ascii="方正仿宋_GBK" w:eastAsia="方正仿宋_GBK" w:hAnsi="方正仿宋_GBK" w:cs="方正仿宋_GBK" w:hint="eastAsia"/>
          <w:sz w:val="28"/>
          <w:szCs w:val="28"/>
        </w:rPr>
        <w:t>测试</w:t>
      </w:r>
      <w:r>
        <w:rPr>
          <w:rFonts w:ascii="方正仿宋_GBK" w:eastAsia="方正仿宋_GBK" w:hAnsi="方正仿宋_GBK" w:cs="方正仿宋_GBK" w:hint="eastAsia"/>
          <w:sz w:val="28"/>
          <w:szCs w:val="28"/>
        </w:rPr>
        <w:t>工作。</w:t>
      </w:r>
    </w:p>
    <w:p w14:paraId="69B7D9FA" w14:textId="77777777" w:rsidR="001A67F7" w:rsidRPr="001A67F7" w:rsidRDefault="00AA48AC" w:rsidP="001A67F7">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供应商必须具备丰富的项目经验，参与评估项目人员应不少于</w:t>
      </w:r>
      <w:r w:rsidR="001A67F7">
        <w:rPr>
          <w:rFonts w:ascii="方正仿宋_GBK" w:eastAsia="方正仿宋_GBK" w:hAnsi="方正仿宋_GBK" w:cs="方正仿宋_GBK" w:hint="eastAsia"/>
          <w:sz w:val="28"/>
          <w:szCs w:val="28"/>
        </w:rPr>
        <w:t>4</w:t>
      </w:r>
      <w:r>
        <w:rPr>
          <w:rFonts w:ascii="方正仿宋_GBK" w:eastAsia="方正仿宋_GBK" w:hAnsi="方正仿宋_GBK" w:cs="方正仿宋_GBK" w:hint="eastAsia"/>
          <w:sz w:val="28"/>
          <w:szCs w:val="28"/>
        </w:rPr>
        <w:t>人，实施人员须具有等级测评师</w:t>
      </w:r>
      <w:r w:rsidR="001A67F7">
        <w:rPr>
          <w:rFonts w:ascii="方正仿宋_GBK" w:eastAsia="方正仿宋_GBK" w:hAnsi="方正仿宋_GBK" w:cs="方正仿宋_GBK" w:hint="eastAsia"/>
          <w:sz w:val="28"/>
          <w:szCs w:val="28"/>
        </w:rPr>
        <w:t>，</w:t>
      </w:r>
      <w:r w:rsidR="001A67F7" w:rsidRPr="001A67F7">
        <w:rPr>
          <w:rFonts w:ascii="方正仿宋_GBK" w:eastAsia="方正仿宋_GBK" w:hAnsi="方正仿宋_GBK" w:cs="方正仿宋_GBK" w:hint="eastAsia"/>
          <w:sz w:val="28"/>
          <w:szCs w:val="28"/>
        </w:rPr>
        <w:t>供应商应持有中国信息安全测评中心颁发的信息安全服务资质证书或</w:t>
      </w:r>
      <w:r w:rsidR="001A67F7" w:rsidRPr="001A67F7">
        <w:rPr>
          <w:rFonts w:ascii="方正仿宋_GBK" w:eastAsia="方正仿宋_GBK" w:hAnsi="方正仿宋_GBK" w:cs="方正仿宋_GBK"/>
          <w:sz w:val="28"/>
          <w:szCs w:val="28"/>
        </w:rPr>
        <w:t>中国网络安全审查认证和市场监管大数据中心</w:t>
      </w:r>
      <w:r w:rsidR="001A67F7" w:rsidRPr="001A67F7">
        <w:rPr>
          <w:rFonts w:ascii="方正仿宋_GBK" w:eastAsia="方正仿宋_GBK" w:hAnsi="方正仿宋_GBK" w:cs="方正仿宋_GBK" w:hint="eastAsia"/>
          <w:sz w:val="28"/>
          <w:szCs w:val="28"/>
        </w:rPr>
        <w:t>颁发的信息安全服务资质证书。</w:t>
      </w:r>
    </w:p>
    <w:p w14:paraId="211EE298" w14:textId="523A18DF" w:rsidR="00F22695" w:rsidRDefault="00AA48AC">
      <w:pPr>
        <w:spacing w:line="540" w:lineRule="exact"/>
        <w:ind w:firstLineChars="200"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本项目需要的运行环境（如场地、网络环境等）由招标人提供，供应商应详细</w:t>
      </w:r>
      <w:bookmarkStart w:id="4" w:name="_GoBack"/>
      <w:bookmarkEnd w:id="4"/>
      <w:r>
        <w:rPr>
          <w:rFonts w:ascii="方正仿宋_GBK" w:eastAsia="方正仿宋_GBK" w:hAnsi="方正仿宋_GBK" w:cs="方正仿宋_GBK" w:hint="eastAsia"/>
          <w:sz w:val="28"/>
          <w:szCs w:val="28"/>
        </w:rPr>
        <w:t>描述需要的运行环境的具体要求。</w:t>
      </w:r>
      <w:bookmarkEnd w:id="2"/>
      <w:bookmarkEnd w:id="3"/>
    </w:p>
    <w:sectPr w:rsidR="00F22695">
      <w:headerReference w:type="even" r:id="rId7"/>
      <w:headerReference w:type="default" r:id="rId8"/>
      <w:headerReference w:type="first" r:id="rId9"/>
      <w:pgSz w:w="11906" w:h="16838"/>
      <w:pgMar w:top="2120" w:right="1800" w:bottom="2007"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51AB29" w14:textId="77777777" w:rsidR="00AA48AC" w:rsidRDefault="00AA48AC">
      <w:r>
        <w:separator/>
      </w:r>
    </w:p>
  </w:endnote>
  <w:endnote w:type="continuationSeparator" w:id="0">
    <w:p w14:paraId="482C2CE7" w14:textId="77777777" w:rsidR="00AA48AC" w:rsidRDefault="00AA4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HiddenHorzOCR">
    <w:altName w:val="宋体"/>
    <w:charset w:val="00"/>
    <w:family w:val="auto"/>
    <w:pitch w:val="default"/>
    <w:sig w:usb0="00000000" w:usb1="00000000" w:usb2="00000000" w:usb3="00000000" w:csb0="00040001" w:csb1="00000000"/>
  </w:font>
  <w:font w:name="楷体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黑体_GBK">
    <w:altName w:val="Arial Unicode MS"/>
    <w:charset w:val="86"/>
    <w:family w:val="auto"/>
    <w:pitch w:val="default"/>
    <w:sig w:usb0="00000000" w:usb1="00000000" w:usb2="00000000" w:usb3="00000000" w:csb0="00040000" w:csb1="00000000"/>
  </w:font>
  <w:font w:name="方正仿宋_GBK">
    <w:panose1 w:val="03000509000000000000"/>
    <w:charset w:val="86"/>
    <w:family w:val="script"/>
    <w:pitch w:val="fixed"/>
    <w:sig w:usb0="00000001" w:usb1="080E0000" w:usb2="00000010" w:usb3="00000000" w:csb0="00040000" w:csb1="00000000"/>
  </w:font>
  <w:font w:name="方正楷体_GBK">
    <w:altName w:val="Arial Unicode MS"/>
    <w:charset w:val="86"/>
    <w:family w:val="auto"/>
    <w:pitch w:val="default"/>
    <w:sig w:usb0="00000000" w:usb1="0000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632420" w14:textId="77777777" w:rsidR="00AA48AC" w:rsidRDefault="00AA48AC">
      <w:r>
        <w:separator/>
      </w:r>
    </w:p>
  </w:footnote>
  <w:footnote w:type="continuationSeparator" w:id="0">
    <w:p w14:paraId="2A5A5F78" w14:textId="77777777" w:rsidR="00AA48AC" w:rsidRDefault="00AA48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1D1BF8" w14:textId="77777777" w:rsidR="00F22695" w:rsidRDefault="00F22695">
    <w:pPr>
      <w:pStyle w:val="a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4B1E91" w14:textId="77777777" w:rsidR="00781DE1" w:rsidRDefault="00781DE1" w:rsidP="00781DE1">
    <w:pPr>
      <w:pStyle w:val="a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03C1C9" w14:textId="77777777" w:rsidR="00F22695" w:rsidRDefault="00F22695">
    <w:pPr>
      <w:pStyle w:val="a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1OGQ0M2UxYzZiNDFmN2NhN2RiNWFkZTExMTNiMDYifQ=="/>
  </w:docVars>
  <w:rsids>
    <w:rsidRoot w:val="00121029"/>
    <w:rsid w:val="9FB5CFA7"/>
    <w:rsid w:val="CDFF4215"/>
    <w:rsid w:val="DF7F0754"/>
    <w:rsid w:val="FF7627B1"/>
    <w:rsid w:val="0009670F"/>
    <w:rsid w:val="00121029"/>
    <w:rsid w:val="0014102B"/>
    <w:rsid w:val="00183F78"/>
    <w:rsid w:val="001A67F7"/>
    <w:rsid w:val="001C7EA2"/>
    <w:rsid w:val="002A355F"/>
    <w:rsid w:val="002D1120"/>
    <w:rsid w:val="003E42F9"/>
    <w:rsid w:val="004A44A4"/>
    <w:rsid w:val="006335ED"/>
    <w:rsid w:val="006554FB"/>
    <w:rsid w:val="00701D26"/>
    <w:rsid w:val="00721A25"/>
    <w:rsid w:val="00724069"/>
    <w:rsid w:val="00781DE1"/>
    <w:rsid w:val="00856FE2"/>
    <w:rsid w:val="0096127D"/>
    <w:rsid w:val="00A568FF"/>
    <w:rsid w:val="00AA48AC"/>
    <w:rsid w:val="00AE3D96"/>
    <w:rsid w:val="00B531FA"/>
    <w:rsid w:val="00BB769D"/>
    <w:rsid w:val="00C65EFE"/>
    <w:rsid w:val="00C66899"/>
    <w:rsid w:val="00C916E1"/>
    <w:rsid w:val="00ED53C6"/>
    <w:rsid w:val="00F22695"/>
    <w:rsid w:val="00F303A4"/>
    <w:rsid w:val="00F63D64"/>
    <w:rsid w:val="022D1ED7"/>
    <w:rsid w:val="06F229CF"/>
    <w:rsid w:val="0A643A54"/>
    <w:rsid w:val="0D172115"/>
    <w:rsid w:val="27E26BE5"/>
    <w:rsid w:val="2B7F1D88"/>
    <w:rsid w:val="309821E5"/>
    <w:rsid w:val="36D31229"/>
    <w:rsid w:val="37B7A95D"/>
    <w:rsid w:val="3C1D3BF5"/>
    <w:rsid w:val="44483C69"/>
    <w:rsid w:val="56ADD2C8"/>
    <w:rsid w:val="59662E63"/>
    <w:rsid w:val="5F5F10C2"/>
    <w:rsid w:val="67BFA401"/>
    <w:rsid w:val="6BFDEE09"/>
    <w:rsid w:val="71603A80"/>
    <w:rsid w:val="73F774CF"/>
    <w:rsid w:val="75BF6ED2"/>
    <w:rsid w:val="77E6003D"/>
    <w:rsid w:val="7BBF3F14"/>
    <w:rsid w:val="7EDFB478"/>
    <w:rsid w:val="7EFF2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B33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iPriority="9" w:qFormat="1"/>
    <w:lsdException w:name="heading 4"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unhideWhenUsed="1" w:qFormat="1"/>
    <w:lsdException w:name="header" w:uiPriority="99"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widowControl/>
      <w:spacing w:before="260" w:after="260" w:line="413" w:lineRule="auto"/>
      <w:jc w:val="left"/>
      <w:outlineLvl w:val="1"/>
    </w:pPr>
    <w:rPr>
      <w:rFonts w:ascii="Arial" w:eastAsia="黑体" w:hAnsi="Arial"/>
      <w:b/>
      <w:bCs/>
      <w:kern w:val="0"/>
      <w:sz w:val="32"/>
      <w:szCs w:val="32"/>
      <w:lang w:val="zh-CN"/>
    </w:rPr>
  </w:style>
  <w:style w:type="paragraph" w:styleId="3">
    <w:name w:val="heading 3"/>
    <w:basedOn w:val="a"/>
    <w:next w:val="a"/>
    <w:uiPriority w:val="9"/>
    <w:qFormat/>
    <w:pPr>
      <w:keepNext/>
      <w:keepLines/>
      <w:spacing w:before="260" w:after="260" w:line="416" w:lineRule="auto"/>
      <w:outlineLvl w:val="2"/>
    </w:pPr>
    <w:rPr>
      <w:b/>
      <w:bCs/>
      <w:sz w:val="32"/>
      <w:szCs w:val="32"/>
    </w:rPr>
  </w:style>
  <w:style w:type="paragraph" w:styleId="4">
    <w:name w:val="heading 4"/>
    <w:basedOn w:val="a"/>
    <w:next w:val="a"/>
    <w:qFormat/>
    <w:pPr>
      <w:keepNext/>
      <w:keepLines/>
      <w:spacing w:before="280" w:after="290" w:line="376" w:lineRule="auto"/>
      <w:outlineLvl w:val="3"/>
    </w:pPr>
    <w:rPr>
      <w:rFonts w:ascii="Cambria" w:hAnsi="Cambria"/>
      <w:b/>
      <w:bCs/>
      <w:szCs w:val="28"/>
    </w:rPr>
  </w:style>
  <w:style w:type="paragraph" w:styleId="5">
    <w:name w:val="heading 5"/>
    <w:basedOn w:val="a"/>
    <w:next w:val="a"/>
    <w:unhideWhenUsed/>
    <w:qFormat/>
    <w:pPr>
      <w:keepNext/>
      <w:keepLines/>
      <w:spacing w:before="280" w:after="290" w:line="372" w:lineRule="auto"/>
      <w:outlineLvl w:val="4"/>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rPr>
      <w:rFonts w:eastAsiaTheme="minorEastAsia"/>
      <w:sz w:val="28"/>
      <w:szCs w:val="24"/>
    </w:rPr>
  </w:style>
  <w:style w:type="paragraph" w:styleId="a4">
    <w:name w:val="annotation text"/>
    <w:basedOn w:val="a"/>
    <w:unhideWhenUsed/>
    <w:qFormat/>
    <w:pPr>
      <w:jc w:val="left"/>
    </w:pPr>
    <w:rPr>
      <w:rFonts w:ascii="Calibri" w:hAnsi="Calibri"/>
    </w:rPr>
  </w:style>
  <w:style w:type="paragraph" w:styleId="a5">
    <w:name w:val="Body Text"/>
    <w:basedOn w:val="a"/>
    <w:next w:val="a"/>
    <w:uiPriority w:val="99"/>
    <w:unhideWhenUsed/>
    <w:qFormat/>
    <w:pPr>
      <w:spacing w:after="120"/>
    </w:pPr>
    <w:rPr>
      <w:rFonts w:ascii="仿宋" w:hAnsi="仿宋"/>
    </w:rPr>
  </w:style>
  <w:style w:type="paragraph" w:styleId="a6">
    <w:name w:val="Body Text Indent"/>
    <w:basedOn w:val="a"/>
    <w:qFormat/>
    <w:pPr>
      <w:adjustRightInd w:val="0"/>
      <w:snapToGrid w:val="0"/>
      <w:spacing w:line="460" w:lineRule="exact"/>
      <w:ind w:firstLineChars="200" w:firstLine="480"/>
    </w:pPr>
    <w:rPr>
      <w:rFonts w:ascii="宋体" w:hAnsi="宋体"/>
      <w:sz w:val="24"/>
    </w:rPr>
  </w:style>
  <w:style w:type="paragraph" w:styleId="a7">
    <w:name w:val="footer"/>
    <w:basedOn w:val="a"/>
    <w:link w:val="Char"/>
    <w:qFormat/>
    <w:pPr>
      <w:tabs>
        <w:tab w:val="center" w:pos="4153"/>
        <w:tab w:val="right" w:pos="8306"/>
      </w:tabs>
      <w:snapToGrid w:val="0"/>
      <w:jc w:val="left"/>
    </w:pPr>
    <w:rPr>
      <w:sz w:val="18"/>
      <w:szCs w:val="18"/>
    </w:rPr>
  </w:style>
  <w:style w:type="paragraph" w:styleId="a8">
    <w:name w:val="header"/>
    <w:basedOn w:val="a9"/>
    <w:next w:val="a5"/>
    <w:uiPriority w:val="99"/>
    <w:qFormat/>
    <w:pPr>
      <w:pBdr>
        <w:bottom w:val="single" w:sz="6" w:space="1" w:color="auto"/>
      </w:pBdr>
      <w:tabs>
        <w:tab w:val="center" w:pos="4153"/>
        <w:tab w:val="right" w:pos="8306"/>
      </w:tabs>
      <w:jc w:val="center"/>
    </w:pPr>
    <w:rPr>
      <w:kern w:val="0"/>
      <w:sz w:val="18"/>
      <w:szCs w:val="18"/>
    </w:rPr>
  </w:style>
  <w:style w:type="paragraph" w:customStyle="1" w:styleId="a9">
    <w:name w:val="*正文"/>
    <w:basedOn w:val="a3"/>
    <w:qFormat/>
    <w:pPr>
      <w:overflowPunct w:val="0"/>
      <w:snapToGrid w:val="0"/>
      <w:spacing w:line="360" w:lineRule="auto"/>
      <w:ind w:firstLine="200"/>
    </w:pPr>
    <w:rPr>
      <w:rFonts w:ascii="仿宋_GB2312" w:hAnsiTheme="minorHAnsi"/>
      <w:sz w:val="24"/>
      <w:szCs w:val="22"/>
    </w:rPr>
  </w:style>
  <w:style w:type="paragraph" w:styleId="20">
    <w:name w:val="Body Text First Indent 2"/>
    <w:basedOn w:val="a6"/>
    <w:qFormat/>
    <w:pPr>
      <w:ind w:firstLine="420"/>
    </w:pPr>
    <w:rPr>
      <w:sz w:val="21"/>
    </w:rPr>
  </w:style>
  <w:style w:type="table" w:styleId="aa">
    <w:name w:val="Table Grid"/>
    <w:basedOn w:val="a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pPr>
      <w:ind w:firstLineChars="200" w:firstLine="420"/>
    </w:pPr>
    <w:rPr>
      <w:kern w:val="0"/>
      <w:sz w:val="24"/>
      <w:szCs w:val="24"/>
    </w:rPr>
  </w:style>
  <w:style w:type="paragraph" w:customStyle="1" w:styleId="40">
    <w:name w:val="标题4"/>
    <w:basedOn w:val="4"/>
    <w:qFormat/>
    <w:rPr>
      <w:rFonts w:ascii="Arial" w:eastAsia="黑体" w:hAnsi="Arial"/>
      <w:bCs w:val="0"/>
      <w:szCs w:val="20"/>
    </w:rPr>
  </w:style>
  <w:style w:type="paragraph" w:customStyle="1" w:styleId="ty">
    <w:name w:val="正文标准样式ty"/>
    <w:basedOn w:val="a"/>
    <w:qFormat/>
    <w:pPr>
      <w:spacing w:line="360" w:lineRule="auto"/>
      <w:ind w:firstLineChars="200" w:firstLine="480"/>
    </w:pPr>
    <w:rPr>
      <w:sz w:val="24"/>
      <w:szCs w:val="20"/>
    </w:rPr>
  </w:style>
  <w:style w:type="character" w:customStyle="1" w:styleId="font01">
    <w:name w:val="font01"/>
    <w:qFormat/>
    <w:rPr>
      <w:rFonts w:ascii="HiddenHorzOCR" w:eastAsia="HiddenHorzOCR" w:hAnsi="HiddenHorzOCR" w:cs="HiddenHorzOCR"/>
      <w:color w:val="6E6E74"/>
      <w:sz w:val="24"/>
      <w:szCs w:val="24"/>
      <w:u w:val="none"/>
    </w:rPr>
  </w:style>
  <w:style w:type="paragraph" w:customStyle="1" w:styleId="21">
    <w:name w:val="正文文本首行缩进 21"/>
    <w:basedOn w:val="a6"/>
    <w:qFormat/>
    <w:pPr>
      <w:ind w:firstLine="420"/>
    </w:pPr>
  </w:style>
  <w:style w:type="paragraph" w:customStyle="1" w:styleId="Default">
    <w:name w:val="Default"/>
    <w:qFormat/>
    <w:pPr>
      <w:widowControl w:val="0"/>
      <w:autoSpaceDE w:val="0"/>
      <w:autoSpaceDN w:val="0"/>
      <w:adjustRightInd w:val="0"/>
      <w:spacing w:after="200" w:line="276" w:lineRule="auto"/>
    </w:pPr>
    <w:rPr>
      <w:rFonts w:ascii="Cambria" w:hAnsi="Cambria"/>
      <w:color w:val="000000"/>
      <w:sz w:val="24"/>
      <w:szCs w:val="24"/>
    </w:rPr>
  </w:style>
  <w:style w:type="paragraph" w:customStyle="1" w:styleId="10">
    <w:name w:val="列出段落1"/>
    <w:basedOn w:val="a"/>
    <w:qFormat/>
    <w:pPr>
      <w:ind w:firstLineChars="200" w:firstLine="420"/>
    </w:pPr>
  </w:style>
  <w:style w:type="paragraph" w:customStyle="1" w:styleId="ac">
    <w:name w:val="段"/>
    <w:next w:val="a"/>
    <w:qFormat/>
    <w:pPr>
      <w:autoSpaceDE w:val="0"/>
      <w:autoSpaceDN w:val="0"/>
      <w:adjustRightInd w:val="0"/>
      <w:snapToGrid w:val="0"/>
      <w:spacing w:line="360" w:lineRule="auto"/>
      <w:ind w:firstLineChars="200" w:firstLine="200"/>
      <w:jc w:val="both"/>
    </w:pPr>
    <w:rPr>
      <w:rFonts w:ascii="宋体"/>
      <w:sz w:val="24"/>
      <w:szCs w:val="22"/>
    </w:rPr>
  </w:style>
  <w:style w:type="paragraph" w:customStyle="1" w:styleId="Normal3">
    <w:name w:val="Normal_3"/>
    <w:qFormat/>
    <w:rPr>
      <w:rFonts w:eastAsia="Times New Roman"/>
      <w:sz w:val="24"/>
      <w:szCs w:val="24"/>
    </w:rPr>
  </w:style>
  <w:style w:type="paragraph" w:customStyle="1" w:styleId="ad">
    <w:name w:val="常用正文"/>
    <w:qFormat/>
    <w:pPr>
      <w:widowControl w:val="0"/>
      <w:spacing w:line="360" w:lineRule="auto"/>
      <w:ind w:firstLineChars="200" w:firstLine="200"/>
      <w:textAlignment w:val="bottom"/>
    </w:pPr>
    <w:rPr>
      <w:rFonts w:ascii="Arial" w:eastAsia="楷体_GB2312" w:hAnsi="Arial" w:cstheme="minorBidi"/>
      <w:kern w:val="2"/>
      <w:sz w:val="24"/>
      <w:szCs w:val="22"/>
    </w:rPr>
  </w:style>
  <w:style w:type="character" w:customStyle="1" w:styleId="Char">
    <w:name w:val="页脚 Char"/>
    <w:basedOn w:val="a0"/>
    <w:link w:val="a7"/>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uiPriority="9" w:qFormat="1"/>
    <w:lsdException w:name="heading 4"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unhideWhenUsed="1" w:qFormat="1"/>
    <w:lsdException w:name="header" w:uiPriority="99"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widowControl/>
      <w:spacing w:before="260" w:after="260" w:line="413" w:lineRule="auto"/>
      <w:jc w:val="left"/>
      <w:outlineLvl w:val="1"/>
    </w:pPr>
    <w:rPr>
      <w:rFonts w:ascii="Arial" w:eastAsia="黑体" w:hAnsi="Arial"/>
      <w:b/>
      <w:bCs/>
      <w:kern w:val="0"/>
      <w:sz w:val="32"/>
      <w:szCs w:val="32"/>
      <w:lang w:val="zh-CN"/>
    </w:rPr>
  </w:style>
  <w:style w:type="paragraph" w:styleId="3">
    <w:name w:val="heading 3"/>
    <w:basedOn w:val="a"/>
    <w:next w:val="a"/>
    <w:uiPriority w:val="9"/>
    <w:qFormat/>
    <w:pPr>
      <w:keepNext/>
      <w:keepLines/>
      <w:spacing w:before="260" w:after="260" w:line="416" w:lineRule="auto"/>
      <w:outlineLvl w:val="2"/>
    </w:pPr>
    <w:rPr>
      <w:b/>
      <w:bCs/>
      <w:sz w:val="32"/>
      <w:szCs w:val="32"/>
    </w:rPr>
  </w:style>
  <w:style w:type="paragraph" w:styleId="4">
    <w:name w:val="heading 4"/>
    <w:basedOn w:val="a"/>
    <w:next w:val="a"/>
    <w:qFormat/>
    <w:pPr>
      <w:keepNext/>
      <w:keepLines/>
      <w:spacing w:before="280" w:after="290" w:line="376" w:lineRule="auto"/>
      <w:outlineLvl w:val="3"/>
    </w:pPr>
    <w:rPr>
      <w:rFonts w:ascii="Cambria" w:hAnsi="Cambria"/>
      <w:b/>
      <w:bCs/>
      <w:szCs w:val="28"/>
    </w:rPr>
  </w:style>
  <w:style w:type="paragraph" w:styleId="5">
    <w:name w:val="heading 5"/>
    <w:basedOn w:val="a"/>
    <w:next w:val="a"/>
    <w:unhideWhenUsed/>
    <w:qFormat/>
    <w:pPr>
      <w:keepNext/>
      <w:keepLines/>
      <w:spacing w:before="280" w:after="290" w:line="372" w:lineRule="auto"/>
      <w:outlineLvl w:val="4"/>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rPr>
      <w:rFonts w:eastAsiaTheme="minorEastAsia"/>
      <w:sz w:val="28"/>
      <w:szCs w:val="24"/>
    </w:rPr>
  </w:style>
  <w:style w:type="paragraph" w:styleId="a4">
    <w:name w:val="annotation text"/>
    <w:basedOn w:val="a"/>
    <w:unhideWhenUsed/>
    <w:qFormat/>
    <w:pPr>
      <w:jc w:val="left"/>
    </w:pPr>
    <w:rPr>
      <w:rFonts w:ascii="Calibri" w:hAnsi="Calibri"/>
    </w:rPr>
  </w:style>
  <w:style w:type="paragraph" w:styleId="a5">
    <w:name w:val="Body Text"/>
    <w:basedOn w:val="a"/>
    <w:next w:val="a"/>
    <w:uiPriority w:val="99"/>
    <w:unhideWhenUsed/>
    <w:qFormat/>
    <w:pPr>
      <w:spacing w:after="120"/>
    </w:pPr>
    <w:rPr>
      <w:rFonts w:ascii="仿宋" w:hAnsi="仿宋"/>
    </w:rPr>
  </w:style>
  <w:style w:type="paragraph" w:styleId="a6">
    <w:name w:val="Body Text Indent"/>
    <w:basedOn w:val="a"/>
    <w:qFormat/>
    <w:pPr>
      <w:adjustRightInd w:val="0"/>
      <w:snapToGrid w:val="0"/>
      <w:spacing w:line="460" w:lineRule="exact"/>
      <w:ind w:firstLineChars="200" w:firstLine="480"/>
    </w:pPr>
    <w:rPr>
      <w:rFonts w:ascii="宋体" w:hAnsi="宋体"/>
      <w:sz w:val="24"/>
    </w:rPr>
  </w:style>
  <w:style w:type="paragraph" w:styleId="a7">
    <w:name w:val="footer"/>
    <w:basedOn w:val="a"/>
    <w:link w:val="Char"/>
    <w:qFormat/>
    <w:pPr>
      <w:tabs>
        <w:tab w:val="center" w:pos="4153"/>
        <w:tab w:val="right" w:pos="8306"/>
      </w:tabs>
      <w:snapToGrid w:val="0"/>
      <w:jc w:val="left"/>
    </w:pPr>
    <w:rPr>
      <w:sz w:val="18"/>
      <w:szCs w:val="18"/>
    </w:rPr>
  </w:style>
  <w:style w:type="paragraph" w:styleId="a8">
    <w:name w:val="header"/>
    <w:basedOn w:val="a9"/>
    <w:next w:val="a5"/>
    <w:uiPriority w:val="99"/>
    <w:qFormat/>
    <w:pPr>
      <w:pBdr>
        <w:bottom w:val="single" w:sz="6" w:space="1" w:color="auto"/>
      </w:pBdr>
      <w:tabs>
        <w:tab w:val="center" w:pos="4153"/>
        <w:tab w:val="right" w:pos="8306"/>
      </w:tabs>
      <w:jc w:val="center"/>
    </w:pPr>
    <w:rPr>
      <w:kern w:val="0"/>
      <w:sz w:val="18"/>
      <w:szCs w:val="18"/>
    </w:rPr>
  </w:style>
  <w:style w:type="paragraph" w:customStyle="1" w:styleId="a9">
    <w:name w:val="*正文"/>
    <w:basedOn w:val="a3"/>
    <w:qFormat/>
    <w:pPr>
      <w:overflowPunct w:val="0"/>
      <w:snapToGrid w:val="0"/>
      <w:spacing w:line="360" w:lineRule="auto"/>
      <w:ind w:firstLine="200"/>
    </w:pPr>
    <w:rPr>
      <w:rFonts w:ascii="仿宋_GB2312" w:hAnsiTheme="minorHAnsi"/>
      <w:sz w:val="24"/>
      <w:szCs w:val="22"/>
    </w:rPr>
  </w:style>
  <w:style w:type="paragraph" w:styleId="20">
    <w:name w:val="Body Text First Indent 2"/>
    <w:basedOn w:val="a6"/>
    <w:qFormat/>
    <w:pPr>
      <w:ind w:firstLine="420"/>
    </w:pPr>
    <w:rPr>
      <w:sz w:val="21"/>
    </w:rPr>
  </w:style>
  <w:style w:type="table" w:styleId="aa">
    <w:name w:val="Table Grid"/>
    <w:basedOn w:val="a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pPr>
      <w:ind w:firstLineChars="200" w:firstLine="420"/>
    </w:pPr>
    <w:rPr>
      <w:kern w:val="0"/>
      <w:sz w:val="24"/>
      <w:szCs w:val="24"/>
    </w:rPr>
  </w:style>
  <w:style w:type="paragraph" w:customStyle="1" w:styleId="40">
    <w:name w:val="标题4"/>
    <w:basedOn w:val="4"/>
    <w:qFormat/>
    <w:rPr>
      <w:rFonts w:ascii="Arial" w:eastAsia="黑体" w:hAnsi="Arial"/>
      <w:bCs w:val="0"/>
      <w:szCs w:val="20"/>
    </w:rPr>
  </w:style>
  <w:style w:type="paragraph" w:customStyle="1" w:styleId="ty">
    <w:name w:val="正文标准样式ty"/>
    <w:basedOn w:val="a"/>
    <w:qFormat/>
    <w:pPr>
      <w:spacing w:line="360" w:lineRule="auto"/>
      <w:ind w:firstLineChars="200" w:firstLine="480"/>
    </w:pPr>
    <w:rPr>
      <w:sz w:val="24"/>
      <w:szCs w:val="20"/>
    </w:rPr>
  </w:style>
  <w:style w:type="character" w:customStyle="1" w:styleId="font01">
    <w:name w:val="font01"/>
    <w:qFormat/>
    <w:rPr>
      <w:rFonts w:ascii="HiddenHorzOCR" w:eastAsia="HiddenHorzOCR" w:hAnsi="HiddenHorzOCR" w:cs="HiddenHorzOCR"/>
      <w:color w:val="6E6E74"/>
      <w:sz w:val="24"/>
      <w:szCs w:val="24"/>
      <w:u w:val="none"/>
    </w:rPr>
  </w:style>
  <w:style w:type="paragraph" w:customStyle="1" w:styleId="21">
    <w:name w:val="正文文本首行缩进 21"/>
    <w:basedOn w:val="a6"/>
    <w:qFormat/>
    <w:pPr>
      <w:ind w:firstLine="420"/>
    </w:pPr>
  </w:style>
  <w:style w:type="paragraph" w:customStyle="1" w:styleId="Default">
    <w:name w:val="Default"/>
    <w:qFormat/>
    <w:pPr>
      <w:widowControl w:val="0"/>
      <w:autoSpaceDE w:val="0"/>
      <w:autoSpaceDN w:val="0"/>
      <w:adjustRightInd w:val="0"/>
      <w:spacing w:after="200" w:line="276" w:lineRule="auto"/>
    </w:pPr>
    <w:rPr>
      <w:rFonts w:ascii="Cambria" w:hAnsi="Cambria"/>
      <w:color w:val="000000"/>
      <w:sz w:val="24"/>
      <w:szCs w:val="24"/>
    </w:rPr>
  </w:style>
  <w:style w:type="paragraph" w:customStyle="1" w:styleId="10">
    <w:name w:val="列出段落1"/>
    <w:basedOn w:val="a"/>
    <w:qFormat/>
    <w:pPr>
      <w:ind w:firstLineChars="200" w:firstLine="420"/>
    </w:pPr>
  </w:style>
  <w:style w:type="paragraph" w:customStyle="1" w:styleId="ac">
    <w:name w:val="段"/>
    <w:next w:val="a"/>
    <w:qFormat/>
    <w:pPr>
      <w:autoSpaceDE w:val="0"/>
      <w:autoSpaceDN w:val="0"/>
      <w:adjustRightInd w:val="0"/>
      <w:snapToGrid w:val="0"/>
      <w:spacing w:line="360" w:lineRule="auto"/>
      <w:ind w:firstLineChars="200" w:firstLine="200"/>
      <w:jc w:val="both"/>
    </w:pPr>
    <w:rPr>
      <w:rFonts w:ascii="宋体"/>
      <w:sz w:val="24"/>
      <w:szCs w:val="22"/>
    </w:rPr>
  </w:style>
  <w:style w:type="paragraph" w:customStyle="1" w:styleId="Normal3">
    <w:name w:val="Normal_3"/>
    <w:qFormat/>
    <w:rPr>
      <w:rFonts w:eastAsia="Times New Roman"/>
      <w:sz w:val="24"/>
      <w:szCs w:val="24"/>
    </w:rPr>
  </w:style>
  <w:style w:type="paragraph" w:customStyle="1" w:styleId="ad">
    <w:name w:val="常用正文"/>
    <w:qFormat/>
    <w:pPr>
      <w:widowControl w:val="0"/>
      <w:spacing w:line="360" w:lineRule="auto"/>
      <w:ind w:firstLineChars="200" w:firstLine="200"/>
      <w:textAlignment w:val="bottom"/>
    </w:pPr>
    <w:rPr>
      <w:rFonts w:ascii="Arial" w:eastAsia="楷体_GB2312" w:hAnsi="Arial" w:cstheme="minorBidi"/>
      <w:kern w:val="2"/>
      <w:sz w:val="24"/>
      <w:szCs w:val="22"/>
    </w:rPr>
  </w:style>
  <w:style w:type="character" w:customStyle="1" w:styleId="Char">
    <w:name w:val="页脚 Char"/>
    <w:basedOn w:val="a0"/>
    <w:link w:val="a7"/>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282</Words>
  <Characters>1609</Characters>
  <Application>Microsoft Office Word</Application>
  <DocSecurity>0</DocSecurity>
  <Lines>13</Lines>
  <Paragraphs>3</Paragraphs>
  <ScaleCrop>false</ScaleCrop>
  <Company>MS</Company>
  <LinksUpToDate>false</LinksUpToDate>
  <CharactersWithSpaces>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GaGa</dc:creator>
  <cp:lastModifiedBy>amber-he</cp:lastModifiedBy>
  <cp:revision>2</cp:revision>
  <cp:lastPrinted>2026-06-26T10:43:00Z</cp:lastPrinted>
  <dcterms:created xsi:type="dcterms:W3CDTF">2026-07-16T03:38:00Z</dcterms:created>
  <dcterms:modified xsi:type="dcterms:W3CDTF">2026-07-16T03:38:00Z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4507602B2075E59E78F6316A6D165014_43</vt:lpwstr>
  </property>
</Properties>
</file>