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C61BF0">
      <w:pPr>
        <w:spacing w:line="360" w:lineRule="auto"/>
        <w:rPr>
          <w:rFonts w:hint="eastAsia" w:ascii="宋体" w:hAnsi="宋体" w:eastAsia="宋体" w:cs="宋体"/>
          <w:sz w:val="36"/>
          <w:szCs w:val="36"/>
          <w:lang w:val="en-US" w:eastAsia="zh-CN"/>
        </w:rPr>
      </w:pPr>
    </w:p>
    <w:p w14:paraId="77A56709">
      <w:pPr>
        <w:spacing w:line="360" w:lineRule="auto"/>
        <w:jc w:val="center"/>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2026年终端与网络运维服务需求文件</w:t>
      </w:r>
    </w:p>
    <w:p w14:paraId="476F0F4D">
      <w:pPr>
        <w:spacing w:line="360" w:lineRule="auto"/>
        <w:jc w:val="center"/>
        <w:rPr>
          <w:rFonts w:hint="eastAsia" w:ascii="宋体" w:hAnsi="宋体" w:eastAsia="宋体" w:cs="宋体"/>
          <w:sz w:val="36"/>
          <w:szCs w:val="36"/>
          <w:lang w:val="en-US" w:eastAsia="zh-CN"/>
        </w:rPr>
      </w:pPr>
    </w:p>
    <w:p w14:paraId="1877D0FD">
      <w:pPr>
        <w:pStyle w:val="2"/>
        <w:bidi w:val="0"/>
        <w:spacing w:line="360" w:lineRule="auto"/>
        <w:rPr>
          <w:rFonts w:hint="eastAsia" w:ascii="宋体" w:hAnsi="宋体" w:eastAsia="宋体" w:cs="宋体"/>
          <w:lang w:val="en-US" w:eastAsia="zh-CN"/>
        </w:rPr>
      </w:pPr>
      <w:r>
        <w:rPr>
          <w:rFonts w:hint="eastAsia" w:ascii="宋体" w:hAnsi="宋体" w:eastAsia="宋体" w:cs="宋体"/>
          <w:lang w:val="en-US" w:eastAsia="zh-CN"/>
        </w:rPr>
        <w:t>项目背景</w:t>
      </w:r>
    </w:p>
    <w:p w14:paraId="2A58C32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p>
    <w:p w14:paraId="7E7F5BB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在数字化医疗快速发展的当下，医院日常诊疗、行政管理等业务高度依赖信息化终端设备。从医生工作站的电子病</w:t>
      </w:r>
      <w:bookmarkStart w:id="0" w:name="_GoBack"/>
      <w:bookmarkEnd w:id="0"/>
      <w:r>
        <w:rPr>
          <w:rFonts w:hint="eastAsia" w:ascii="宋体" w:hAnsi="宋体" w:eastAsia="宋体" w:cs="宋体"/>
          <w:sz w:val="28"/>
          <w:szCs w:val="28"/>
          <w:lang w:val="en-US" w:eastAsia="zh-CN"/>
        </w:rPr>
        <w:t>历录入，到护士站的移动终端操作，再到行政科室的办公处理，信息化终端的稳定运行直接关系医疗服务效率与质量。各类信息化终端设备和网络系统在医疗服务中发挥着越来越重要的作用。随着医院终端设备数量持续增长、软件应用日趋复杂，运维工作面临响应时效不足、故障处理不及时等挑战。为保障医院信息化系统的稳定运行，提高医疗服务质量和效率，现需采购信息化终端与网络运维服务。</w:t>
      </w:r>
    </w:p>
    <w:p w14:paraId="0A4F478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p>
    <w:p w14:paraId="0AAD932D">
      <w:pPr>
        <w:pStyle w:val="2"/>
        <w:bidi w:val="0"/>
        <w:spacing w:line="360" w:lineRule="auto"/>
        <w:rPr>
          <w:rFonts w:hint="eastAsia" w:ascii="宋体" w:hAnsi="宋体" w:eastAsia="宋体" w:cs="宋体"/>
          <w:lang w:val="en-US" w:eastAsia="zh-CN"/>
        </w:rPr>
      </w:pPr>
      <w:r>
        <w:rPr>
          <w:rFonts w:hint="eastAsia" w:ascii="宋体" w:hAnsi="宋体" w:eastAsia="宋体" w:cs="宋体"/>
          <w:lang w:val="en-US" w:eastAsia="zh-CN"/>
        </w:rPr>
        <w:t>项目目标</w:t>
      </w:r>
    </w:p>
    <w:p w14:paraId="38C3593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 确保医院信息化终端设备（包括电脑、打印机、医疗设备的信息接口等）正常运行，故障及时得到处理。</w:t>
      </w:r>
    </w:p>
    <w:p w14:paraId="394149E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 保障医院网络系统的稳定、安全、高效，优化网络性能。</w:t>
      </w:r>
    </w:p>
    <w:p w14:paraId="18BBDC2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 提供及时、专业的技术支持和服务，满足医院业务的持续发展需求。</w:t>
      </w:r>
    </w:p>
    <w:p w14:paraId="49482CA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p>
    <w:p w14:paraId="75FE919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p>
    <w:p w14:paraId="6CA747A1">
      <w:pPr>
        <w:spacing w:line="360" w:lineRule="auto"/>
        <w:rPr>
          <w:rFonts w:hint="eastAsia" w:ascii="宋体" w:hAnsi="宋体" w:eastAsia="宋体" w:cs="宋体"/>
          <w:lang w:val="en-US" w:eastAsia="zh-CN"/>
        </w:rPr>
      </w:pPr>
    </w:p>
    <w:p w14:paraId="5B77633E">
      <w:pPr>
        <w:pStyle w:val="2"/>
        <w:bidi w:val="0"/>
        <w:spacing w:line="360" w:lineRule="auto"/>
        <w:rPr>
          <w:rFonts w:hint="eastAsia" w:ascii="宋体" w:hAnsi="宋体" w:eastAsia="宋体" w:cs="宋体"/>
          <w:lang w:val="en-US" w:eastAsia="zh-CN"/>
        </w:rPr>
      </w:pPr>
      <w:r>
        <w:rPr>
          <w:rFonts w:hint="eastAsia" w:ascii="宋体" w:hAnsi="宋体" w:eastAsia="宋体" w:cs="宋体"/>
          <w:lang w:val="en-US" w:eastAsia="zh-CN"/>
        </w:rPr>
        <w:t>服务范围</w:t>
      </w:r>
    </w:p>
    <w:p w14:paraId="4DD82DA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（一）硬件设备</w:t>
      </w:r>
    </w:p>
    <w:p w14:paraId="136109D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 计算设备：全院各科室的台式计算机、笔记本电脑、一体机、瘦客户机，以及医生查房专用平板电脑、移动护理终端等医疗专用移动设备。</w:t>
      </w:r>
    </w:p>
    <w:p w14:paraId="30BF26C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 外部设备：激光打印机、针式打印机、条码打印机、多功能一体机、扫描仪、身份证读卡器、高拍仪、手写板等桌面常用外接设备。</w:t>
      </w:r>
    </w:p>
    <w:p w14:paraId="78CE7F1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 网络接入设备：桌面终端连接的无线网卡、有线网卡，以及配套的网络线缆、网络接口模块等。</w:t>
      </w:r>
    </w:p>
    <w:p w14:paraId="19D2F9F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4.网络基础设施：包括路由器、交换机、无线接入点等。</w:t>
      </w:r>
    </w:p>
    <w:p w14:paraId="7599BA2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（二）软件系统</w:t>
      </w:r>
    </w:p>
    <w:p w14:paraId="1B73219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 操作系统：Windows全系列（Windows 7/10/11等）、Linux系统，以及医疗终端定制化操作系统。</w:t>
      </w:r>
    </w:p>
    <w:p w14:paraId="3516854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 医疗业务软件：医院信息系统（HIS）客户端、电子病历系统（EMR）、医学影像系统（PACS）、检验信息系统（LIS）、合理用药系统等业务应用。</w:t>
      </w:r>
    </w:p>
    <w:p w14:paraId="6C2E052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 通用软件：Microsoft Office办公套件、WPS、杀毒软件、远程协作工具、医院内部通讯软件等。</w:t>
      </w:r>
    </w:p>
    <w:p w14:paraId="475D006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（三）数据与安全 </w:t>
      </w:r>
    </w:p>
    <w:p w14:paraId="6847473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 终端系统内的医疗数据、办公文档等数据备份与恢复。</w:t>
      </w:r>
    </w:p>
    <w:p w14:paraId="045DDD3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 终端安全防护配置，包含病毒查杀、系统补丁更新等。 </w:t>
      </w:r>
    </w:p>
    <w:p w14:paraId="2C4023F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p>
    <w:p w14:paraId="104043ED">
      <w:pPr>
        <w:pStyle w:val="2"/>
        <w:bidi w:val="0"/>
        <w:spacing w:line="360" w:lineRule="auto"/>
        <w:rPr>
          <w:rFonts w:hint="eastAsia" w:ascii="宋体" w:hAnsi="宋体" w:eastAsia="宋体" w:cs="宋体"/>
          <w:lang w:val="en-US" w:eastAsia="zh-CN"/>
        </w:rPr>
      </w:pPr>
      <w:r>
        <w:rPr>
          <w:rFonts w:hint="eastAsia" w:ascii="宋体" w:hAnsi="宋体" w:eastAsia="宋体" w:cs="宋体"/>
          <w:lang w:val="en-US" w:eastAsia="zh-CN"/>
        </w:rPr>
        <w:t>服务内容</w:t>
      </w:r>
    </w:p>
    <w:p w14:paraId="13E60A1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（一）终端日常维护 </w:t>
      </w:r>
    </w:p>
    <w:p w14:paraId="0B9AE932">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425" w:leftChars="0" w:hanging="425" w:firstLineChars="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终端设备的组装，驱动程序的安装</w:t>
      </w:r>
    </w:p>
    <w:p w14:paraId="274BD7BC">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425" w:leftChars="0" w:hanging="425" w:firstLineChars="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清理设备灰尘、优化系统启动项、整理线缆布局，保障设备散热良好、运行流畅。 </w:t>
      </w:r>
    </w:p>
    <w:p w14:paraId="70896765">
      <w:pPr>
        <w:keepNext w:val="0"/>
        <w:keepLines w:val="0"/>
        <w:pageBreakBefore w:val="0"/>
        <w:widowControl w:val="0"/>
        <w:numPr>
          <w:ilvl w:val="0"/>
          <w:numId w:val="4"/>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网络日常维护</w:t>
      </w:r>
    </w:p>
    <w:p w14:paraId="00D86BAA">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425" w:leftChars="0" w:hanging="425" w:firstLineChars="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监控网络运行状态，及时发现并解决网络故障。</w:t>
      </w:r>
    </w:p>
    <w:p w14:paraId="4C9B00E1">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425" w:leftChars="0" w:hanging="425" w:firstLineChars="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优化网络配置，提升网络性能和稳定性。</w:t>
      </w:r>
    </w:p>
    <w:p w14:paraId="1A3388EE">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425" w:leftChars="0" w:hanging="425" w:firstLineChars="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定期进行网络安全评估，采取相应的防护措施。</w:t>
      </w:r>
    </w:p>
    <w:p w14:paraId="3E418056">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425" w:leftChars="0" w:hanging="425" w:firstLineChars="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管理网络设备的账号和权限，保障网络安全。</w:t>
      </w:r>
    </w:p>
    <w:p w14:paraId="7BB89CCF">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425" w:leftChars="0" w:hanging="425" w:firstLineChars="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制定网络设备配置备份策略，定期进行数据备份。</w:t>
      </w:r>
    </w:p>
    <w:p w14:paraId="13848D2A">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425" w:leftChars="0" w:hanging="425" w:firstLineChars="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确保在网络设备配置丢失或损坏的情况下，能够及时进行配置恢复。</w:t>
      </w:r>
    </w:p>
    <w:p w14:paraId="7BB269D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（三）故障处理</w:t>
      </w:r>
    </w:p>
    <w:p w14:paraId="6BF893B4">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 硬件故障：及时响应并处理终端计算机死机、蓝屏、无法开机、打印机卡纸/缺墨、设备接口损坏等问题。</w:t>
      </w:r>
    </w:p>
    <w:p w14:paraId="7C49BD87">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 软件故障：处理系统崩溃、软件闪退、数据无法保存、网络连接异常等软件问题，修复或重新部署系统及应用。</w:t>
      </w:r>
    </w:p>
    <w:p w14:paraId="55D0C27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 安全事件：针对病毒入侵、数据泄露风险、系统漏洞等安全问题，立即隔离故障终端，查杀病毒并修复系统安全隐患。 </w:t>
      </w:r>
    </w:p>
    <w:p w14:paraId="212A66C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（四）设备全生命周期管理 </w:t>
      </w:r>
    </w:p>
    <w:p w14:paraId="0E1B01BD">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 新设备部署：配合医院完成新购终端设备的验收、出入库、系统安装、软件配置及科室部署。</w:t>
      </w:r>
    </w:p>
    <w:p w14:paraId="4D7BD15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 设备迁移：协助科室搬迁或设备调配时的系统迁移、网络配置及数据转移。</w:t>
      </w:r>
    </w:p>
    <w:p w14:paraId="70D4739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 设备报废：配合医院对老旧或故障无法修复的设备进行资产注销、数据清除及环保报废处理。</w:t>
      </w:r>
    </w:p>
    <w:p w14:paraId="4FE18FE9">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 资产登记：网络设备序列号、保修状态、IP地址等信息维护。</w:t>
      </w:r>
    </w:p>
    <w:p w14:paraId="5B58909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（四）技术支持与培训 </w:t>
      </w:r>
    </w:p>
    <w:p w14:paraId="144BA75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提供7×24小时电话、远程协助服务，解答终端及网络设备使用问题，快速响应并解决各类故障和问题，对无法远程解决的故障安排现场服务。 </w:t>
      </w:r>
    </w:p>
    <w:p w14:paraId="6DCDB4E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p>
    <w:p w14:paraId="0229B4A0">
      <w:pPr>
        <w:pStyle w:val="2"/>
        <w:bidi w:val="0"/>
        <w:spacing w:line="360" w:lineRule="auto"/>
        <w:rPr>
          <w:rFonts w:hint="eastAsia" w:ascii="宋体" w:hAnsi="宋体" w:eastAsia="宋体" w:cs="宋体"/>
          <w:lang w:val="en-US" w:eastAsia="zh-CN"/>
        </w:rPr>
      </w:pPr>
      <w:r>
        <w:rPr>
          <w:rFonts w:hint="eastAsia" w:ascii="宋体" w:hAnsi="宋体" w:eastAsia="宋体" w:cs="宋体"/>
          <w:lang w:val="en-US" w:eastAsia="zh-CN"/>
        </w:rPr>
        <w:t>服务要求</w:t>
      </w:r>
    </w:p>
    <w:p w14:paraId="71C72877">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（一）响应时效</w:t>
      </w:r>
    </w:p>
    <w:p w14:paraId="58C2E59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一级故障 影响全院核心业务（如HIS系统客户端大面积崩溃） 15分钟内响应，30分钟内到场。</w:t>
      </w:r>
    </w:p>
    <w:p w14:paraId="3AE3083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二级故障 影响单个科室业务（如科室网络中断） 30分钟内响应，1小时内到场。</w:t>
      </w:r>
    </w:p>
    <w:p w14:paraId="0905BE5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三级故障 影响个别设备（如单台电脑死机） 1小时内响应，根据情况安排现场处理 。</w:t>
      </w:r>
    </w:p>
    <w:p w14:paraId="5B8C9ACD">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（二）人员要求</w:t>
      </w:r>
    </w:p>
    <w:p w14:paraId="7C79F5E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提供至少7人（终端运维）+1人（网络运维）驻场服务。</w:t>
      </w:r>
    </w:p>
    <w:p w14:paraId="6C59691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（三）文档管理</w:t>
      </w:r>
    </w:p>
    <w:p w14:paraId="6BFCF32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 建立详细的运维档案，包含设备台账、故障处理记录等。</w:t>
      </w:r>
    </w:p>
    <w:p w14:paraId="3D2F27E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 定期向医院提交运维服务总结报告，分析故障类型、处理效率及改进建议。</w:t>
      </w:r>
    </w:p>
    <w:p w14:paraId="68F60E3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p>
    <w:p w14:paraId="149050B7">
      <w:pPr>
        <w:pStyle w:val="2"/>
        <w:bidi w:val="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服务期限 </w:t>
      </w:r>
    </w:p>
    <w:p w14:paraId="31E67E0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8"/>
          <w:szCs w:val="28"/>
          <w:lang w:val="en-US" w:eastAsia="zh-CN"/>
        </w:rPr>
      </w:pPr>
    </w:p>
    <w:p w14:paraId="30F340F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服务期限：合同期为1年</w:t>
      </w:r>
    </w:p>
    <w:p w14:paraId="7FBD2F4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p>
    <w:p w14:paraId="1C27E83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六、考核与验收</w:t>
      </w:r>
    </w:p>
    <w:p w14:paraId="308367E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p>
    <w:p w14:paraId="2B48E0A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 医院定期对服务响应时间、故障解决率、客户满意度等指标进行考核，考核结果与服务费支付挂钩。</w:t>
      </w:r>
    </w:p>
    <w:p w14:paraId="7D95EB0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 年度综合评分低于80分（满分100分），医院有权终止合同。</w:t>
      </w:r>
    </w:p>
    <w:p w14:paraId="1B15FEB0">
      <w:pPr>
        <w:pStyle w:val="2"/>
        <w:numPr>
          <w:ilvl w:val="0"/>
          <w:numId w:val="0"/>
        </w:numPr>
        <w:spacing w:line="360" w:lineRule="auto"/>
        <w:ind w:leftChars="0"/>
        <w:rPr>
          <w:rFonts w:hint="eastAsia" w:ascii="宋体" w:hAnsi="宋体" w:eastAsia="宋体" w:cs="宋体"/>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6F9414"/>
    <w:multiLevelType w:val="singleLevel"/>
    <w:tmpl w:val="F16F9414"/>
    <w:lvl w:ilvl="0" w:tentative="0">
      <w:start w:val="1"/>
      <w:numFmt w:val="decimal"/>
      <w:lvlText w:val="%1."/>
      <w:lvlJc w:val="left"/>
      <w:pPr>
        <w:ind w:left="425" w:hanging="425"/>
      </w:pPr>
      <w:rPr>
        <w:rFonts w:hint="default"/>
      </w:rPr>
    </w:lvl>
  </w:abstractNum>
  <w:abstractNum w:abstractNumId="1">
    <w:nsid w:val="F55F93AC"/>
    <w:multiLevelType w:val="singleLevel"/>
    <w:tmpl w:val="F55F93AC"/>
    <w:lvl w:ilvl="0" w:tentative="0">
      <w:start w:val="2"/>
      <w:numFmt w:val="chineseCounting"/>
      <w:suff w:val="nothing"/>
      <w:lvlText w:val="（%1）"/>
      <w:lvlJc w:val="left"/>
      <w:rPr>
        <w:rFonts w:hint="eastAsia"/>
      </w:rPr>
    </w:lvl>
  </w:abstractNum>
  <w:abstractNum w:abstractNumId="2">
    <w:nsid w:val="3D68032F"/>
    <w:multiLevelType w:val="singleLevel"/>
    <w:tmpl w:val="3D68032F"/>
    <w:lvl w:ilvl="0" w:tentative="0">
      <w:start w:val="1"/>
      <w:numFmt w:val="decimal"/>
      <w:lvlText w:val="%1."/>
      <w:lvlJc w:val="left"/>
      <w:pPr>
        <w:ind w:left="425" w:hanging="425"/>
      </w:pPr>
      <w:rPr>
        <w:rFonts w:hint="default"/>
      </w:rPr>
    </w:lvl>
  </w:abstractNum>
  <w:abstractNum w:abstractNumId="3">
    <w:nsid w:val="626053DA"/>
    <w:multiLevelType w:val="multilevel"/>
    <w:tmpl w:val="626053DA"/>
    <w:lvl w:ilvl="0" w:tentative="0">
      <w:start w:val="1"/>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pStyle w:val="7"/>
      <w:isLgl/>
      <w:suff w:val="space"/>
      <w:lvlText w:val="%1.%2.%3.%4.%5.%6"/>
      <w:lvlJc w:val="left"/>
      <w:pPr>
        <w:ind w:left="0" w:firstLine="0"/>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68374C8D"/>
    <w:multiLevelType w:val="multilevel"/>
    <w:tmpl w:val="68374C8D"/>
    <w:lvl w:ilvl="0" w:tentative="0">
      <w:start w:val="1"/>
      <w:numFmt w:val="chineseCountingThousand"/>
      <w:pStyle w:val="2"/>
      <w:suff w:val="space"/>
      <w:lvlText w:val="%1、"/>
      <w:lvlJc w:val="left"/>
      <w:pPr>
        <w:ind w:left="0" w:firstLine="0"/>
      </w:pPr>
      <w:rPr>
        <w:rFonts w:cs="Times New Roman"/>
        <w:i w:val="0"/>
        <w:iCs w:val="0"/>
        <w:caps w:val="0"/>
        <w:smallCaps w:val="0"/>
        <w:strike w:val="0"/>
        <w:dstrike w:val="0"/>
        <w:outline w:val="0"/>
        <w:shadow w:val="0"/>
        <w:emboss w:val="0"/>
        <w:imprint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14:cntxtalts w14:val="0"/>
      </w:rPr>
    </w:lvl>
    <w:lvl w:ilvl="1" w:tentative="0">
      <w:start w:val="1"/>
      <w:numFmt w:val="decimal"/>
      <w:pStyle w:val="3"/>
      <w:isLgl/>
      <w:suff w:val="space"/>
      <w:lvlText w:val="%1.%2."/>
      <w:lvlJc w:val="left"/>
      <w:pPr>
        <w:ind w:left="0" w:firstLine="0"/>
      </w:pPr>
      <w:rPr>
        <w:rFonts w:hint="eastAsia" w:eastAsia="宋体"/>
        <w:b/>
        <w:bCs w:val="0"/>
        <w:i w:val="0"/>
        <w:iCs w:val="0"/>
        <w:caps w:val="0"/>
        <w:smallCaps w:val="0"/>
        <w:strike w:val="0"/>
        <w:dstrike w:val="0"/>
        <w:vanish w:val="0"/>
        <w:color w:val="000000"/>
        <w:spacing w:val="0"/>
        <w:position w:val="0"/>
        <w:sz w:val="30"/>
        <w:u w:val="none"/>
        <w:vertAlign w:val="baseline"/>
        <w14:shadow w14:blurRad="0" w14:dist="0" w14:dir="0" w14:sx="0" w14:sy="0" w14:kx="0" w14:ky="0" w14:algn="none">
          <w14:srgbClr w14:val="000000"/>
        </w14:shadow>
      </w:rPr>
    </w:lvl>
    <w:lvl w:ilvl="2" w:tentative="0">
      <w:start w:val="1"/>
      <w:numFmt w:val="decimal"/>
      <w:pStyle w:val="4"/>
      <w:isLgl/>
      <w:suff w:val="space"/>
      <w:lvlText w:val="%1.%2.%3."/>
      <w:lvlJc w:val="left"/>
      <w:pPr>
        <w:ind w:left="0" w:firstLine="0"/>
      </w:pPr>
      <w:rPr>
        <w:rFonts w:hint="eastAsia" w:eastAsia="宋体"/>
        <w:b/>
        <w:bCs w:val="0"/>
        <w:i w:val="0"/>
        <w:iCs w:val="0"/>
        <w:caps w:val="0"/>
        <w:smallCaps w:val="0"/>
        <w:strike w:val="0"/>
        <w:dstrike w:val="0"/>
        <w:vanish w:val="0"/>
        <w:color w:val="000000"/>
        <w:spacing w:val="0"/>
        <w:position w:val="0"/>
        <w:sz w:val="30"/>
        <w:u w:val="none"/>
        <w:vertAlign w:val="baseline"/>
        <w14:shadow w14:blurRad="0" w14:dist="0" w14:dir="0" w14:sx="0" w14:sy="0" w14:kx="0" w14:ky="0" w14:algn="none">
          <w14:srgbClr w14:val="000000"/>
        </w14:shadow>
      </w:rPr>
    </w:lvl>
    <w:lvl w:ilvl="3" w:tentative="0">
      <w:start w:val="1"/>
      <w:numFmt w:val="decimal"/>
      <w:pStyle w:val="5"/>
      <w:isLgl/>
      <w:suff w:val="space"/>
      <w:lvlText w:val="%1.%2.%3.%4."/>
      <w:lvlJc w:val="left"/>
      <w:pPr>
        <w:ind w:left="0" w:firstLine="0"/>
      </w:pPr>
      <w:rPr>
        <w:rFonts w:hint="eastAsia" w:eastAsia="宋体"/>
        <w:b/>
        <w:bCs w:val="0"/>
        <w:i w:val="0"/>
        <w:iCs w:val="0"/>
        <w:caps w:val="0"/>
        <w:smallCaps w:val="0"/>
        <w:strike w:val="0"/>
        <w:dstrike w:val="0"/>
        <w:vanish w:val="0"/>
        <w:color w:val="000000"/>
        <w:spacing w:val="0"/>
        <w:position w:val="0"/>
        <w:sz w:val="30"/>
        <w:u w:val="none"/>
        <w:vertAlign w:val="baseline"/>
        <w14:shadow w14:blurRad="0" w14:dist="0" w14:dir="0" w14:sx="0" w14:sy="0" w14:kx="0" w14:ky="0" w14:algn="none">
          <w14:srgbClr w14:val="000000"/>
        </w14:shadow>
      </w:rPr>
    </w:lvl>
    <w:lvl w:ilvl="4" w:tentative="0">
      <w:start w:val="1"/>
      <w:numFmt w:val="decimal"/>
      <w:pStyle w:val="6"/>
      <w:isLgl/>
      <w:suff w:val="space"/>
      <w:lvlText w:val="%1.%2.%3.%4.%5."/>
      <w:lvlJc w:val="left"/>
      <w:pPr>
        <w:ind w:left="0" w:firstLine="0"/>
      </w:pPr>
      <w:rPr>
        <w:rFonts w:hint="eastAsia" w:eastAsia="宋体" w:cs="Times New Roman"/>
        <w:b/>
        <w:bCs w:val="0"/>
        <w:i w:val="0"/>
        <w:iCs w:val="0"/>
        <w:caps w:val="0"/>
        <w:smallCaps w:val="0"/>
        <w:strike w:val="0"/>
        <w:dstrike w:val="0"/>
        <w:vanish w:val="0"/>
        <w:color w:val="000000"/>
        <w:spacing w:val="0"/>
        <w:position w:val="0"/>
        <w:sz w:val="30"/>
        <w:u w:val="none"/>
        <w:vertAlign w:val="baseline"/>
        <w14:shadow w14:blurRad="0" w14:dist="0" w14:dir="0" w14:sx="0" w14:sy="0" w14:kx="0" w14:ky="0" w14:algn="none">
          <w14:srgbClr w14:val="000000"/>
        </w14:shadow>
      </w:rPr>
    </w:lvl>
    <w:lvl w:ilvl="5" w:tentative="0">
      <w:start w:val="1"/>
      <w:numFmt w:val="decimal"/>
      <w:isLgl/>
      <w:suff w:val="space"/>
      <w:lvlText w:val="%1.%2.%3.%4.%5.%6."/>
      <w:lvlJc w:val="left"/>
      <w:pPr>
        <w:ind w:left="0" w:firstLine="0"/>
      </w:pPr>
      <w:rPr>
        <w:rFonts w:hint="eastAsia" w:eastAsia="宋体"/>
        <w:b/>
        <w:i w:val="0"/>
        <w:strike w:val="0"/>
        <w:dstrike w:val="0"/>
        <w:sz w:val="30"/>
        <w:vertAlign w:val="baseline"/>
      </w:rPr>
    </w:lvl>
    <w:lvl w:ilvl="6" w:tentative="0">
      <w:start w:val="1"/>
      <w:numFmt w:val="decimal"/>
      <w:isLgl/>
      <w:suff w:val="space"/>
      <w:lvlText w:val="%1.%2.%3.%4.%5.%6.%7."/>
      <w:lvlJc w:val="left"/>
      <w:pPr>
        <w:ind w:left="0" w:firstLine="0"/>
      </w:pPr>
      <w:rPr>
        <w:rFonts w:hint="eastAsia" w:eastAsia="宋体"/>
        <w:b/>
        <w:i w:val="0"/>
        <w:sz w:val="30"/>
      </w:rPr>
    </w:lvl>
    <w:lvl w:ilvl="7" w:tentative="0">
      <w:start w:val="1"/>
      <w:numFmt w:val="decimal"/>
      <w:isLgl/>
      <w:lvlText w:val="%1.%2.%3.%4.%5.%6.%7.%8."/>
      <w:lvlJc w:val="left"/>
      <w:pPr>
        <w:ind w:left="1418" w:hanging="1418"/>
      </w:pPr>
      <w:rPr>
        <w:rFonts w:hint="eastAsia"/>
      </w:rPr>
    </w:lvl>
    <w:lvl w:ilvl="8" w:tentative="0">
      <w:start w:val="1"/>
      <w:numFmt w:val="decimal"/>
      <w:isLgl/>
      <w:lvlText w:val="%1.%2.%3.%4.%5.%6.%7.%8.%9."/>
      <w:lvlJc w:val="left"/>
      <w:pPr>
        <w:ind w:left="1559" w:hanging="1559"/>
      </w:pPr>
      <w:rPr>
        <w:rFonts w:hint="eastAsia"/>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A92"/>
    <w:rsid w:val="00081009"/>
    <w:rsid w:val="004F7407"/>
    <w:rsid w:val="00706A5C"/>
    <w:rsid w:val="00773A92"/>
    <w:rsid w:val="00A82B6B"/>
    <w:rsid w:val="00D33570"/>
    <w:rsid w:val="0B9E2568"/>
    <w:rsid w:val="438557BD"/>
    <w:rsid w:val="47F954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unhideWhenUsed="0" w:uiPriority="22" w:semiHidden="0" w:name="Strong"/>
    <w:lsdException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1"/>
      <w:lang w:val="en-US" w:eastAsia="zh-CN" w:bidi="ar-SA"/>
    </w:rPr>
  </w:style>
  <w:style w:type="paragraph" w:styleId="2">
    <w:name w:val="heading 1"/>
    <w:basedOn w:val="1"/>
    <w:next w:val="1"/>
    <w:link w:val="12"/>
    <w:qFormat/>
    <w:uiPriority w:val="0"/>
    <w:pPr>
      <w:keepNext/>
      <w:keepLines/>
      <w:widowControl/>
      <w:numPr>
        <w:ilvl w:val="0"/>
        <w:numId w:val="1"/>
      </w:numPr>
      <w:wordWrap w:val="0"/>
      <w:spacing w:line="360" w:lineRule="auto"/>
      <w:jc w:val="left"/>
      <w:outlineLvl w:val="0"/>
    </w:pPr>
    <w:rPr>
      <w:rFonts w:ascii="宋体" w:hAnsi="宋体" w:eastAsia="宋体" w:cs="Times New Roman"/>
      <w:b/>
      <w:bCs/>
      <w:color w:val="000000"/>
      <w:kern w:val="48"/>
      <w:sz w:val="30"/>
      <w:szCs w:val="36"/>
      <w:lang w:val="zh-CN"/>
    </w:rPr>
  </w:style>
  <w:style w:type="paragraph" w:styleId="3">
    <w:name w:val="heading 2"/>
    <w:basedOn w:val="1"/>
    <w:next w:val="1"/>
    <w:link w:val="13"/>
    <w:qFormat/>
    <w:uiPriority w:val="0"/>
    <w:pPr>
      <w:keepNext/>
      <w:keepLines/>
      <w:numPr>
        <w:ilvl w:val="1"/>
        <w:numId w:val="1"/>
      </w:numPr>
      <w:spacing w:before="260" w:after="260" w:line="416" w:lineRule="auto"/>
      <w:outlineLvl w:val="1"/>
    </w:pPr>
    <w:rPr>
      <w:rFonts w:ascii="宋体" w:hAnsi="宋体" w:eastAsia="宋体" w:cstheme="majorBidi"/>
      <w:b/>
      <w:bCs/>
      <w:sz w:val="30"/>
      <w:szCs w:val="32"/>
    </w:rPr>
  </w:style>
  <w:style w:type="paragraph" w:styleId="4">
    <w:name w:val="heading 3"/>
    <w:basedOn w:val="1"/>
    <w:next w:val="1"/>
    <w:link w:val="14"/>
    <w:qFormat/>
    <w:uiPriority w:val="0"/>
    <w:pPr>
      <w:keepNext/>
      <w:keepLines/>
      <w:numPr>
        <w:ilvl w:val="2"/>
        <w:numId w:val="1"/>
      </w:numPr>
      <w:spacing w:before="260" w:after="260" w:line="416" w:lineRule="auto"/>
      <w:outlineLvl w:val="2"/>
    </w:pPr>
    <w:rPr>
      <w:rFonts w:ascii="宋体" w:hAnsi="宋体" w:eastAsia="宋体"/>
      <w:b/>
      <w:bCs/>
      <w:sz w:val="30"/>
      <w:szCs w:val="32"/>
    </w:rPr>
  </w:style>
  <w:style w:type="paragraph" w:styleId="5">
    <w:name w:val="heading 4"/>
    <w:basedOn w:val="1"/>
    <w:next w:val="1"/>
    <w:link w:val="15"/>
    <w:qFormat/>
    <w:uiPriority w:val="0"/>
    <w:pPr>
      <w:keepNext/>
      <w:keepLines/>
      <w:numPr>
        <w:ilvl w:val="3"/>
        <w:numId w:val="1"/>
      </w:numPr>
      <w:spacing w:before="280" w:after="290" w:line="376" w:lineRule="auto"/>
      <w:outlineLvl w:val="3"/>
    </w:pPr>
    <w:rPr>
      <w:rFonts w:ascii="宋体" w:hAnsi="宋体" w:eastAsia="宋体" w:cstheme="majorBidi"/>
      <w:b/>
      <w:bCs/>
      <w:sz w:val="30"/>
      <w:szCs w:val="28"/>
    </w:rPr>
  </w:style>
  <w:style w:type="paragraph" w:styleId="6">
    <w:name w:val="heading 5"/>
    <w:basedOn w:val="1"/>
    <w:next w:val="1"/>
    <w:link w:val="16"/>
    <w:qFormat/>
    <w:uiPriority w:val="0"/>
    <w:pPr>
      <w:keepNext/>
      <w:keepLines/>
      <w:numPr>
        <w:ilvl w:val="4"/>
        <w:numId w:val="1"/>
      </w:numPr>
      <w:spacing w:before="280" w:after="290" w:line="376" w:lineRule="auto"/>
      <w:outlineLvl w:val="4"/>
    </w:pPr>
    <w:rPr>
      <w:rFonts w:ascii="宋体" w:hAnsi="宋体" w:eastAsia="宋体"/>
      <w:b/>
      <w:bCs/>
      <w:sz w:val="30"/>
      <w:szCs w:val="28"/>
    </w:rPr>
  </w:style>
  <w:style w:type="paragraph" w:styleId="7">
    <w:name w:val="heading 6"/>
    <w:basedOn w:val="1"/>
    <w:next w:val="1"/>
    <w:link w:val="17"/>
    <w:qFormat/>
    <w:uiPriority w:val="0"/>
    <w:pPr>
      <w:keepNext/>
      <w:keepLines/>
      <w:numPr>
        <w:ilvl w:val="5"/>
        <w:numId w:val="2"/>
      </w:numPr>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18"/>
    <w:qFormat/>
    <w:uiPriority w:val="0"/>
    <w:pPr>
      <w:keepNext/>
      <w:keepLines/>
      <w:spacing w:before="240" w:after="64" w:line="320" w:lineRule="auto"/>
      <w:outlineLvl w:val="6"/>
    </w:pPr>
    <w:rPr>
      <w:b/>
      <w:bCs/>
      <w:sz w:val="24"/>
      <w:szCs w:val="24"/>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customStyle="1" w:styleId="11">
    <w:name w:val="标题 1 字符"/>
    <w:basedOn w:val="10"/>
    <w:qFormat/>
    <w:uiPriority w:val="9"/>
    <w:rPr>
      <w:b/>
      <w:bCs/>
      <w:kern w:val="44"/>
      <w:sz w:val="44"/>
      <w:szCs w:val="44"/>
    </w:rPr>
  </w:style>
  <w:style w:type="character" w:customStyle="1" w:styleId="12">
    <w:name w:val="标题 1 字符1"/>
    <w:link w:val="2"/>
    <w:qFormat/>
    <w:uiPriority w:val="0"/>
    <w:rPr>
      <w:rFonts w:ascii="宋体" w:hAnsi="宋体" w:eastAsia="宋体" w:cs="Times New Roman"/>
      <w:b/>
      <w:bCs/>
      <w:color w:val="000000"/>
      <w:kern w:val="48"/>
      <w:sz w:val="30"/>
      <w:szCs w:val="36"/>
      <w:lang w:val="zh-CN"/>
    </w:rPr>
  </w:style>
  <w:style w:type="character" w:customStyle="1" w:styleId="13">
    <w:name w:val="标题 2 字符"/>
    <w:basedOn w:val="10"/>
    <w:link w:val="3"/>
    <w:qFormat/>
    <w:uiPriority w:val="0"/>
    <w:rPr>
      <w:rFonts w:ascii="宋体" w:hAnsi="宋体" w:eastAsia="宋体" w:cstheme="majorBidi"/>
      <w:b/>
      <w:bCs/>
      <w:sz w:val="30"/>
      <w:szCs w:val="32"/>
    </w:rPr>
  </w:style>
  <w:style w:type="character" w:customStyle="1" w:styleId="14">
    <w:name w:val="标题 3 字符"/>
    <w:basedOn w:val="10"/>
    <w:link w:val="4"/>
    <w:qFormat/>
    <w:uiPriority w:val="0"/>
    <w:rPr>
      <w:rFonts w:ascii="宋体" w:hAnsi="宋体" w:eastAsia="宋体"/>
      <w:b/>
      <w:bCs/>
      <w:sz w:val="30"/>
      <w:szCs w:val="32"/>
    </w:rPr>
  </w:style>
  <w:style w:type="character" w:customStyle="1" w:styleId="15">
    <w:name w:val="标题 4 字符"/>
    <w:basedOn w:val="10"/>
    <w:link w:val="5"/>
    <w:qFormat/>
    <w:uiPriority w:val="0"/>
    <w:rPr>
      <w:rFonts w:ascii="宋体" w:hAnsi="宋体" w:eastAsia="宋体" w:cstheme="majorBidi"/>
      <w:b/>
      <w:bCs/>
      <w:sz w:val="30"/>
      <w:szCs w:val="28"/>
    </w:rPr>
  </w:style>
  <w:style w:type="character" w:customStyle="1" w:styleId="16">
    <w:name w:val="标题 5 字符"/>
    <w:basedOn w:val="10"/>
    <w:link w:val="6"/>
    <w:uiPriority w:val="0"/>
    <w:rPr>
      <w:rFonts w:ascii="宋体" w:hAnsi="宋体" w:eastAsia="宋体"/>
      <w:b/>
      <w:bCs/>
      <w:sz w:val="30"/>
      <w:szCs w:val="28"/>
    </w:rPr>
  </w:style>
  <w:style w:type="character" w:customStyle="1" w:styleId="17">
    <w:name w:val="标题 6 字符"/>
    <w:basedOn w:val="10"/>
    <w:link w:val="7"/>
    <w:qFormat/>
    <w:uiPriority w:val="0"/>
    <w:rPr>
      <w:rFonts w:asciiTheme="majorHAnsi" w:hAnsiTheme="majorHAnsi" w:eastAsiaTheme="majorEastAsia" w:cstheme="majorBidi"/>
      <w:b/>
      <w:bCs/>
      <w:sz w:val="24"/>
      <w:szCs w:val="24"/>
    </w:rPr>
  </w:style>
  <w:style w:type="character" w:customStyle="1" w:styleId="18">
    <w:name w:val="标题 7 字符"/>
    <w:basedOn w:val="10"/>
    <w:link w:val="8"/>
    <w:qFormat/>
    <w:uiPriority w:val="0"/>
    <w:rPr>
      <w:b/>
      <w:bCs/>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1661</Words>
  <Characters>1741</Characters>
  <Lines>0</Lines>
  <Paragraphs>0</Paragraphs>
  <TotalTime>7</TotalTime>
  <ScaleCrop>false</ScaleCrop>
  <LinksUpToDate>false</LinksUpToDate>
  <CharactersWithSpaces>1787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2021-04-02T08:05:00Z</dcterms:created>
  <dc:creator>sunmr</dc:creator>
  <cp:lastModifiedBy>钟翔</cp:lastModifiedBy>
  <dcterms:modified xsi:type="dcterms:W3CDTF">2026-09-11T06:27:43Z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C2CE4B45914B4CDBB3D3150BFAF57189_13</vt:lpwstr>
  </property>
  <property fmtid="{D5CDD505-2E9C-101B-9397-08002B2CF9AE}" pid="4" name="KSOTemplateDocerSaveRecord">
    <vt:lpwstr>eyJoZGlkIjoiN2NjM2NhNTJiOTg4ZTgyYzk2ODI3MDkwYmYxOTExNWMiLCJ1c2VySWQiOiI5MzUzNzc2MzYifQ==</vt:lpwstr>
  </property>
</Properties>
</file>