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numPr>
          <w:ilvl w:val="0"/>
          <w:numId w:val="1"/>
        </w:numPr>
        <w:spacing w:before="240" w:after="120"/>
        <w:ind w:left="643" w:hanging="643" w:hangingChars="200"/>
        <w:jc w:val="center"/>
        <w:rPr>
          <w:rFonts w:ascii="仿宋" w:hAnsi="仿宋" w:eastAsia="仿宋"/>
          <w:sz w:val="32"/>
          <w:szCs w:val="32"/>
        </w:rPr>
      </w:pPr>
      <w:r>
        <w:rPr>
          <w:rFonts w:hint="eastAsia" w:ascii="仿宋" w:hAnsi="仿宋" w:eastAsia="仿宋"/>
          <w:sz w:val="32"/>
          <w:szCs w:val="32"/>
        </w:rPr>
        <w:t>资格要求</w:t>
      </w:r>
    </w:p>
    <w:p>
      <w:pPr>
        <w:widowControl/>
        <w:snapToGrid w:val="0"/>
        <w:spacing w:line="520" w:lineRule="exact"/>
        <w:ind w:firstLine="480" w:firstLineChars="200"/>
        <w:jc w:val="left"/>
        <w:rPr>
          <w:rFonts w:ascii="仿宋" w:hAnsi="仿宋" w:eastAsia="仿宋"/>
          <w:bCs/>
          <w:sz w:val="24"/>
          <w:szCs w:val="24"/>
        </w:rPr>
      </w:pPr>
      <w:r>
        <w:rPr>
          <w:rFonts w:hint="eastAsia" w:ascii="仿宋" w:hAnsi="仿宋" w:eastAsia="仿宋"/>
          <w:bCs/>
          <w:sz w:val="24"/>
          <w:szCs w:val="24"/>
        </w:rPr>
        <w:t>1.满足《中华人民共和国政府采购法》第二十二条规定，即：</w:t>
      </w:r>
    </w:p>
    <w:p>
      <w:pPr>
        <w:widowControl/>
        <w:snapToGrid w:val="0"/>
        <w:spacing w:line="520" w:lineRule="exact"/>
        <w:ind w:firstLine="480" w:firstLineChars="200"/>
        <w:jc w:val="left"/>
        <w:rPr>
          <w:rFonts w:ascii="仿宋" w:hAnsi="仿宋" w:eastAsia="仿宋"/>
          <w:bCs/>
          <w:sz w:val="24"/>
          <w:szCs w:val="24"/>
        </w:rPr>
      </w:pPr>
      <w:r>
        <w:rPr>
          <w:rFonts w:hint="eastAsia" w:ascii="仿宋" w:hAnsi="仿宋" w:eastAsia="仿宋"/>
          <w:bCs/>
          <w:sz w:val="24"/>
          <w:szCs w:val="24"/>
        </w:rPr>
        <w:t>（1）具有独立承担民事责任的能力；</w:t>
      </w:r>
    </w:p>
    <w:p>
      <w:pPr>
        <w:widowControl/>
        <w:snapToGrid w:val="0"/>
        <w:spacing w:line="520" w:lineRule="exact"/>
        <w:ind w:firstLine="480" w:firstLineChars="200"/>
        <w:jc w:val="left"/>
        <w:rPr>
          <w:rFonts w:ascii="仿宋" w:hAnsi="仿宋" w:eastAsia="仿宋"/>
          <w:bCs/>
          <w:sz w:val="24"/>
          <w:szCs w:val="24"/>
        </w:rPr>
      </w:pPr>
      <w:r>
        <w:rPr>
          <w:rFonts w:hint="eastAsia" w:ascii="仿宋" w:hAnsi="仿宋" w:eastAsia="仿宋"/>
          <w:bCs/>
          <w:sz w:val="24"/>
          <w:szCs w:val="24"/>
        </w:rPr>
        <w:t>（2）具有良好的商业信誉和健全的财务会计制度；</w:t>
      </w:r>
    </w:p>
    <w:p>
      <w:pPr>
        <w:widowControl/>
        <w:snapToGrid w:val="0"/>
        <w:spacing w:line="520" w:lineRule="exact"/>
        <w:ind w:firstLine="480" w:firstLineChars="200"/>
        <w:jc w:val="left"/>
        <w:rPr>
          <w:rFonts w:ascii="仿宋" w:hAnsi="仿宋" w:eastAsia="仿宋"/>
          <w:bCs/>
          <w:sz w:val="24"/>
          <w:szCs w:val="24"/>
        </w:rPr>
      </w:pPr>
      <w:r>
        <w:rPr>
          <w:rFonts w:hint="eastAsia" w:ascii="仿宋" w:hAnsi="仿宋" w:eastAsia="仿宋"/>
          <w:bCs/>
          <w:sz w:val="24"/>
          <w:szCs w:val="24"/>
        </w:rPr>
        <w:t>（3）具有履行合同所必需的设备和专业技术能力；</w:t>
      </w:r>
    </w:p>
    <w:p>
      <w:pPr>
        <w:widowControl/>
        <w:snapToGrid w:val="0"/>
        <w:spacing w:line="520" w:lineRule="exact"/>
        <w:ind w:firstLine="480" w:firstLineChars="200"/>
        <w:jc w:val="left"/>
        <w:rPr>
          <w:rFonts w:ascii="仿宋" w:hAnsi="仿宋" w:eastAsia="仿宋"/>
          <w:bCs/>
          <w:sz w:val="24"/>
          <w:szCs w:val="24"/>
        </w:rPr>
      </w:pPr>
      <w:r>
        <w:rPr>
          <w:rFonts w:hint="eastAsia" w:ascii="仿宋" w:hAnsi="仿宋" w:eastAsia="仿宋"/>
          <w:bCs/>
          <w:sz w:val="24"/>
          <w:szCs w:val="24"/>
        </w:rPr>
        <w:t>（4）有依法缴纳税收和社会保障资金的良好记录；</w:t>
      </w:r>
    </w:p>
    <w:p>
      <w:pPr>
        <w:widowControl/>
        <w:snapToGrid w:val="0"/>
        <w:spacing w:line="520" w:lineRule="exact"/>
        <w:ind w:firstLine="480" w:firstLineChars="200"/>
        <w:jc w:val="left"/>
        <w:rPr>
          <w:rFonts w:ascii="仿宋" w:hAnsi="仿宋" w:eastAsia="仿宋"/>
          <w:bCs/>
          <w:sz w:val="24"/>
          <w:szCs w:val="24"/>
        </w:rPr>
      </w:pPr>
      <w:r>
        <w:rPr>
          <w:rFonts w:hint="eastAsia" w:ascii="仿宋" w:hAnsi="仿宋" w:eastAsia="仿宋"/>
          <w:bCs/>
          <w:sz w:val="24"/>
          <w:szCs w:val="24"/>
        </w:rPr>
        <w:t>（5）参加政府采购活动前三年内，在经营活动中没有重大违法记录；</w:t>
      </w:r>
    </w:p>
    <w:p>
      <w:pPr>
        <w:widowControl/>
        <w:snapToGrid w:val="0"/>
        <w:spacing w:line="520" w:lineRule="exact"/>
        <w:ind w:firstLine="480" w:firstLineChars="200"/>
        <w:jc w:val="left"/>
        <w:rPr>
          <w:rFonts w:ascii="仿宋" w:hAnsi="仿宋" w:eastAsia="仿宋"/>
          <w:bCs/>
          <w:sz w:val="24"/>
          <w:szCs w:val="24"/>
        </w:rPr>
      </w:pPr>
      <w:r>
        <w:rPr>
          <w:rFonts w:hint="eastAsia" w:ascii="仿宋" w:hAnsi="仿宋" w:eastAsia="仿宋"/>
          <w:bCs/>
          <w:sz w:val="24"/>
          <w:szCs w:val="24"/>
        </w:rPr>
        <w:t>（6）法律、行政法规规定的其他条件。</w:t>
      </w:r>
    </w:p>
    <w:p>
      <w:pPr>
        <w:widowControl/>
        <w:snapToGrid w:val="0"/>
        <w:spacing w:line="520" w:lineRule="exact"/>
        <w:ind w:firstLine="480" w:firstLineChars="200"/>
        <w:jc w:val="left"/>
        <w:rPr>
          <w:rFonts w:ascii="仿宋" w:hAnsi="仿宋" w:eastAsia="仿宋"/>
          <w:bCs/>
          <w:sz w:val="24"/>
          <w:szCs w:val="24"/>
        </w:rPr>
      </w:pPr>
      <w:r>
        <w:rPr>
          <w:rFonts w:hint="eastAsia" w:ascii="仿宋" w:hAnsi="仿宋" w:eastAsia="仿宋"/>
          <w:bCs/>
          <w:sz w:val="24"/>
          <w:szCs w:val="24"/>
        </w:rPr>
        <w:t>2.单位负责人为同一人或者存在直接控股、管理关系的不同投标人，不得参加本项目同一合同项下的政府采购活动。</w:t>
      </w:r>
    </w:p>
    <w:p>
      <w:pPr>
        <w:widowControl/>
        <w:snapToGrid w:val="0"/>
        <w:spacing w:line="520" w:lineRule="exact"/>
        <w:ind w:firstLine="480" w:firstLineChars="200"/>
        <w:jc w:val="left"/>
        <w:rPr>
          <w:rFonts w:ascii="仿宋" w:hAnsi="仿宋" w:eastAsia="仿宋"/>
          <w:bCs/>
          <w:sz w:val="24"/>
          <w:szCs w:val="24"/>
        </w:rPr>
      </w:pPr>
      <w:r>
        <w:rPr>
          <w:rFonts w:hint="eastAsia" w:ascii="仿宋" w:hAnsi="仿宋" w:eastAsia="仿宋"/>
          <w:bCs/>
          <w:sz w:val="24"/>
          <w:szCs w:val="24"/>
        </w:rPr>
        <w:t>3.为本采购项目提供整体设计、规范编制或者项目管理、监理、检测等服务的，不得再参加本项目的其他招标采购活动。</w:t>
      </w:r>
    </w:p>
    <w:p>
      <w:pPr>
        <w:widowControl/>
        <w:snapToGrid w:val="0"/>
        <w:spacing w:line="520" w:lineRule="exact"/>
        <w:ind w:firstLine="480" w:firstLineChars="200"/>
        <w:jc w:val="left"/>
        <w:rPr>
          <w:rFonts w:ascii="仿宋" w:hAnsi="仿宋" w:eastAsia="仿宋"/>
          <w:bCs/>
          <w:sz w:val="24"/>
          <w:szCs w:val="24"/>
        </w:rPr>
      </w:pPr>
      <w:r>
        <w:rPr>
          <w:rFonts w:hint="eastAsia" w:ascii="仿宋" w:hAnsi="仿宋" w:eastAsia="仿宋"/>
          <w:bCs/>
          <w:sz w:val="24"/>
          <w:szCs w:val="24"/>
        </w:rPr>
        <w:t>4.未被列入失信被执行人、重大税收违法案件当事人名单，未被列入政府采购严重违法失信行为记录名单。</w:t>
      </w:r>
    </w:p>
    <w:p>
      <w:pPr>
        <w:widowControl/>
        <w:snapToGrid w:val="0"/>
        <w:spacing w:line="520" w:lineRule="exact"/>
        <w:ind w:firstLine="480" w:firstLineChars="200"/>
        <w:jc w:val="left"/>
        <w:rPr>
          <w:rFonts w:ascii="仿宋" w:hAnsi="仿宋" w:eastAsia="仿宋"/>
          <w:bCs/>
          <w:sz w:val="24"/>
          <w:szCs w:val="24"/>
        </w:rPr>
      </w:pPr>
      <w:r>
        <w:rPr>
          <w:rFonts w:hint="eastAsia" w:ascii="仿宋" w:hAnsi="仿宋" w:eastAsia="仿宋"/>
          <w:bCs/>
          <w:sz w:val="24"/>
          <w:szCs w:val="24"/>
        </w:rPr>
        <w:t>5.落实政府采购政策需满足的资格要求：无</w:t>
      </w:r>
    </w:p>
    <w:p>
      <w:pPr>
        <w:widowControl/>
        <w:snapToGrid w:val="0"/>
        <w:spacing w:line="520" w:lineRule="exact"/>
        <w:ind w:firstLine="480" w:firstLineChars="200"/>
        <w:jc w:val="left"/>
        <w:rPr>
          <w:rFonts w:ascii="仿宋" w:hAnsi="仿宋" w:eastAsia="仿宋"/>
          <w:bCs/>
          <w:sz w:val="24"/>
          <w:szCs w:val="24"/>
        </w:rPr>
      </w:pPr>
      <w:r>
        <w:rPr>
          <w:rFonts w:hint="eastAsia" w:ascii="仿宋" w:hAnsi="仿宋" w:eastAsia="仿宋"/>
          <w:bCs/>
          <w:sz w:val="24"/>
          <w:szCs w:val="24"/>
        </w:rPr>
        <w:t>6.本项目的特定资格要求：</w:t>
      </w:r>
    </w:p>
    <w:p>
      <w:pPr>
        <w:widowControl/>
        <w:snapToGrid w:val="0"/>
        <w:spacing w:line="520" w:lineRule="exact"/>
        <w:ind w:firstLine="480" w:firstLineChars="200"/>
        <w:jc w:val="left"/>
        <w:rPr>
          <w:rFonts w:hint="eastAsia" w:ascii="仿宋" w:hAnsi="仿宋" w:eastAsia="仿宋"/>
          <w:bCs/>
          <w:sz w:val="24"/>
          <w:szCs w:val="24"/>
        </w:rPr>
      </w:pPr>
      <w:r>
        <w:rPr>
          <w:rFonts w:hint="eastAsia" w:ascii="仿宋" w:hAnsi="仿宋" w:eastAsia="仿宋"/>
          <w:bCs/>
          <w:sz w:val="24"/>
          <w:szCs w:val="24"/>
        </w:rPr>
        <w:t>响应供应商必须是响应产品的生产者（制造商）或其授权的唯一代理商，代理商参加框架协议采购的必须在响应文件中提供产品生产者（制造商）针对本项目出具的授权函和质保承诺说明原件扫描件。响应商未提供产品生产者（制造商）针对本项目出具的授权函和质保承诺说明的作为无效响应处理。</w:t>
      </w:r>
    </w:p>
    <w:p>
      <w:pPr>
        <w:pStyle w:val="9"/>
        <w:rPr>
          <w:rFonts w:hint="eastAsia" w:ascii="仿宋" w:hAnsi="仿宋" w:eastAsia="仿宋"/>
          <w:bCs/>
          <w:sz w:val="24"/>
          <w:szCs w:val="24"/>
        </w:rPr>
      </w:pPr>
    </w:p>
    <w:p>
      <w:pPr>
        <w:pStyle w:val="9"/>
        <w:numPr>
          <w:ilvl w:val="0"/>
          <w:numId w:val="2"/>
        </w:numPr>
        <w:rPr>
          <w:rFonts w:hint="eastAsia" w:ascii="仿宋" w:hAnsi="仿宋" w:eastAsia="仿宋"/>
          <w:bCs/>
          <w:sz w:val="24"/>
          <w:szCs w:val="24"/>
          <w:lang w:val="en-US" w:eastAsia="zh-CN"/>
        </w:rPr>
      </w:pPr>
      <w:r>
        <w:rPr>
          <w:rFonts w:hint="eastAsia" w:ascii="仿宋" w:hAnsi="仿宋" w:eastAsia="仿宋"/>
          <w:bCs/>
          <w:sz w:val="24"/>
          <w:szCs w:val="24"/>
          <w:lang w:val="en-US" w:eastAsia="zh-CN"/>
        </w:rPr>
        <w:t xml:space="preserve"> 项目技术要求</w:t>
      </w:r>
    </w:p>
    <w:p>
      <w:pPr>
        <w:pStyle w:val="9"/>
        <w:numPr>
          <w:ilvl w:val="0"/>
          <w:numId w:val="3"/>
        </w:numPr>
        <w:ind w:left="480" w:leftChars="0" w:firstLine="0" w:firstLineChars="0"/>
        <w:rPr>
          <w:rFonts w:hint="eastAsia" w:ascii="仿宋" w:hAnsi="仿宋" w:eastAsia="仿宋"/>
          <w:bCs/>
          <w:sz w:val="24"/>
          <w:szCs w:val="24"/>
          <w:lang w:val="en-US" w:eastAsia="zh-CN"/>
        </w:rPr>
      </w:pPr>
      <w:r>
        <w:rPr>
          <w:rFonts w:hint="eastAsia" w:ascii="仿宋" w:hAnsi="仿宋" w:eastAsia="仿宋"/>
          <w:bCs/>
          <w:sz w:val="24"/>
          <w:szCs w:val="24"/>
          <w:lang w:val="en-US" w:eastAsia="zh-CN"/>
        </w:rPr>
        <w:t>技术要求</w:t>
      </w:r>
    </w:p>
    <w:p>
      <w:pPr>
        <w:pStyle w:val="9"/>
        <w:numPr>
          <w:ilvl w:val="0"/>
          <w:numId w:val="0"/>
        </w:numPr>
        <w:ind w:firstLine="480"/>
        <w:rPr>
          <w:rFonts w:hint="eastAsia" w:ascii="仿宋" w:hAnsi="仿宋" w:eastAsia="仿宋"/>
          <w:bCs/>
          <w:sz w:val="24"/>
          <w:szCs w:val="24"/>
          <w:lang w:val="en-US" w:eastAsia="zh-CN"/>
        </w:rPr>
      </w:pPr>
      <w:r>
        <w:rPr>
          <w:rFonts w:hint="eastAsia" w:ascii="仿宋" w:hAnsi="仿宋" w:eastAsia="仿宋"/>
          <w:bCs/>
          <w:sz w:val="24"/>
          <w:szCs w:val="24"/>
          <w:lang w:val="en-US" w:eastAsia="zh-CN"/>
        </w:rPr>
        <w:t>本次征集将分为燃油类及新能源汽车两大类，其中第1-45包为燃油类，第46-55包为新能源汽车，具体分包如下：</w:t>
      </w:r>
    </w:p>
    <w:p>
      <w:pPr>
        <w:pStyle w:val="9"/>
        <w:numPr>
          <w:ilvl w:val="0"/>
          <w:numId w:val="0"/>
        </w:numPr>
        <w:ind w:firstLine="480"/>
        <w:rPr>
          <w:rFonts w:hint="default" w:ascii="仿宋" w:hAnsi="仿宋" w:eastAsia="仿宋"/>
          <w:bCs/>
          <w:sz w:val="24"/>
          <w:szCs w:val="24"/>
          <w:lang w:val="en-US" w:eastAsia="zh-CN"/>
        </w:rPr>
      </w:pPr>
    </w:p>
    <w:p>
      <w:pPr>
        <w:pStyle w:val="9"/>
        <w:numPr>
          <w:ilvl w:val="0"/>
          <w:numId w:val="0"/>
        </w:numPr>
        <w:ind w:firstLine="480"/>
        <w:rPr>
          <w:rFonts w:hint="default" w:ascii="仿宋" w:hAnsi="仿宋" w:eastAsia="仿宋"/>
          <w:bCs/>
          <w:sz w:val="24"/>
          <w:szCs w:val="24"/>
          <w:lang w:val="en-US" w:eastAsia="zh-CN"/>
        </w:rPr>
      </w:pPr>
    </w:p>
    <w:tbl>
      <w:tblPr>
        <w:tblStyle w:val="10"/>
        <w:tblW w:w="1120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50"/>
        <w:gridCol w:w="1025"/>
        <w:gridCol w:w="1287"/>
        <w:gridCol w:w="1138"/>
        <w:gridCol w:w="2100"/>
        <w:gridCol w:w="1200"/>
        <w:gridCol w:w="1012"/>
        <w:gridCol w:w="938"/>
        <w:gridCol w:w="165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2592" w:type="dxa"/>
          <w:trHeight w:val="330" w:hRule="atLeast"/>
        </w:trPr>
        <w:tc>
          <w:tcPr>
            <w:tcW w:w="850" w:type="dxa"/>
            <w:tcBorders>
              <w:top w:val="single" w:color="000000" w:sz="4" w:space="0"/>
              <w:left w:val="single" w:color="000000" w:sz="4" w:space="0"/>
              <w:bottom w:val="single" w:color="000000" w:sz="4" w:space="0"/>
              <w:right w:val="single" w:color="000000" w:sz="4" w:space="0"/>
            </w:tcBorders>
            <w:shd w:val="clear" w:color="auto" w:fill="808080"/>
            <w:vAlign w:val="center"/>
          </w:tcPr>
          <w:p>
            <w:pPr>
              <w:keepNext w:val="0"/>
              <w:keepLines w:val="0"/>
              <w:widowControl/>
              <w:suppressLineNumbers w:val="0"/>
              <w:jc w:val="center"/>
              <w:textAlignment w:val="center"/>
              <w:rPr>
                <w:rFonts w:ascii="微软雅黑" w:hAnsi="微软雅黑" w:eastAsia="微软雅黑" w:cs="微软雅黑"/>
                <w:b/>
                <w:bCs/>
                <w:i w:val="0"/>
                <w:iCs w:val="0"/>
                <w:color w:val="FFFFFF"/>
                <w:sz w:val="18"/>
                <w:szCs w:val="18"/>
                <w:u w:val="none"/>
              </w:rPr>
            </w:pPr>
            <w:r>
              <w:rPr>
                <w:rFonts w:hint="eastAsia" w:ascii="微软雅黑" w:hAnsi="微软雅黑" w:eastAsia="微软雅黑" w:cs="微软雅黑"/>
                <w:b/>
                <w:bCs/>
                <w:i w:val="0"/>
                <w:iCs w:val="0"/>
                <w:color w:val="FFFFFF"/>
                <w:kern w:val="0"/>
                <w:sz w:val="18"/>
                <w:szCs w:val="18"/>
                <w:u w:val="none"/>
                <w:lang w:val="en-US" w:eastAsia="zh-CN" w:bidi="ar"/>
              </w:rPr>
              <w:t>燃油车分包</w:t>
            </w:r>
          </w:p>
        </w:tc>
        <w:tc>
          <w:tcPr>
            <w:tcW w:w="1025" w:type="dxa"/>
            <w:tcBorders>
              <w:top w:val="single" w:color="000000" w:sz="4" w:space="0"/>
              <w:left w:val="single" w:color="000000" w:sz="4" w:space="0"/>
              <w:bottom w:val="single" w:color="000000" w:sz="4" w:space="0"/>
              <w:right w:val="single" w:color="000000" w:sz="4" w:space="0"/>
            </w:tcBorders>
            <w:shd w:val="clear" w:color="auto" w:fill="808080"/>
            <w:vAlign w:val="center"/>
          </w:tcPr>
          <w:p>
            <w:pPr>
              <w:keepNext w:val="0"/>
              <w:keepLines w:val="0"/>
              <w:widowControl/>
              <w:suppressLineNumbers w:val="0"/>
              <w:jc w:val="center"/>
              <w:textAlignment w:val="center"/>
              <w:rPr>
                <w:rFonts w:hint="eastAsia" w:ascii="微软雅黑" w:hAnsi="微软雅黑" w:eastAsia="微软雅黑" w:cs="微软雅黑"/>
                <w:b/>
                <w:bCs/>
                <w:i w:val="0"/>
                <w:iCs w:val="0"/>
                <w:color w:val="FFFFFF"/>
                <w:sz w:val="18"/>
                <w:szCs w:val="18"/>
                <w:u w:val="none"/>
              </w:rPr>
            </w:pPr>
            <w:r>
              <w:rPr>
                <w:rFonts w:hint="eastAsia" w:ascii="微软雅黑" w:hAnsi="微软雅黑" w:eastAsia="微软雅黑" w:cs="微软雅黑"/>
                <w:b/>
                <w:bCs/>
                <w:i w:val="0"/>
                <w:iCs w:val="0"/>
                <w:color w:val="FFFFFF"/>
                <w:kern w:val="0"/>
                <w:sz w:val="18"/>
                <w:szCs w:val="18"/>
                <w:u w:val="none"/>
                <w:lang w:val="en-US" w:eastAsia="zh-CN" w:bidi="ar"/>
              </w:rPr>
              <w:t>能源形式</w:t>
            </w:r>
          </w:p>
        </w:tc>
        <w:tc>
          <w:tcPr>
            <w:tcW w:w="1287" w:type="dxa"/>
            <w:tcBorders>
              <w:top w:val="single" w:color="000000" w:sz="4" w:space="0"/>
              <w:left w:val="single" w:color="000000" w:sz="4" w:space="0"/>
              <w:bottom w:val="single" w:color="000000" w:sz="4" w:space="0"/>
              <w:right w:val="single" w:color="000000" w:sz="4" w:space="0"/>
            </w:tcBorders>
            <w:shd w:val="clear" w:color="auto" w:fill="808080"/>
            <w:vAlign w:val="center"/>
          </w:tcPr>
          <w:p>
            <w:pPr>
              <w:keepNext w:val="0"/>
              <w:keepLines w:val="0"/>
              <w:widowControl/>
              <w:suppressLineNumbers w:val="0"/>
              <w:jc w:val="center"/>
              <w:textAlignment w:val="center"/>
              <w:rPr>
                <w:rFonts w:hint="eastAsia" w:ascii="微软雅黑" w:hAnsi="微软雅黑" w:eastAsia="微软雅黑" w:cs="微软雅黑"/>
                <w:b/>
                <w:bCs/>
                <w:i w:val="0"/>
                <w:iCs w:val="0"/>
                <w:color w:val="FFFFFF"/>
                <w:sz w:val="18"/>
                <w:szCs w:val="18"/>
                <w:u w:val="none"/>
              </w:rPr>
            </w:pPr>
            <w:r>
              <w:rPr>
                <w:rFonts w:hint="eastAsia" w:ascii="微软雅黑" w:hAnsi="微软雅黑" w:eastAsia="微软雅黑" w:cs="微软雅黑"/>
                <w:b/>
                <w:bCs/>
                <w:i w:val="0"/>
                <w:iCs w:val="0"/>
                <w:color w:val="FFFFFF"/>
                <w:kern w:val="0"/>
                <w:sz w:val="18"/>
                <w:szCs w:val="18"/>
                <w:u w:val="none"/>
                <w:lang w:val="en-US" w:eastAsia="zh-CN" w:bidi="ar"/>
              </w:rPr>
              <w:t>车身级别</w:t>
            </w:r>
          </w:p>
        </w:tc>
        <w:tc>
          <w:tcPr>
            <w:tcW w:w="1138" w:type="dxa"/>
            <w:tcBorders>
              <w:top w:val="single" w:color="000000" w:sz="4" w:space="0"/>
              <w:left w:val="single" w:color="000000" w:sz="4" w:space="0"/>
              <w:bottom w:val="single" w:color="000000" w:sz="4" w:space="0"/>
              <w:right w:val="single" w:color="000000" w:sz="4" w:space="0"/>
            </w:tcBorders>
            <w:shd w:val="clear" w:color="auto" w:fill="808080"/>
            <w:vAlign w:val="center"/>
          </w:tcPr>
          <w:p>
            <w:pPr>
              <w:keepNext w:val="0"/>
              <w:keepLines w:val="0"/>
              <w:widowControl/>
              <w:suppressLineNumbers w:val="0"/>
              <w:jc w:val="center"/>
              <w:textAlignment w:val="center"/>
              <w:rPr>
                <w:rFonts w:hint="eastAsia" w:ascii="微软雅黑" w:hAnsi="微软雅黑" w:eastAsia="微软雅黑" w:cs="微软雅黑"/>
                <w:b/>
                <w:bCs/>
                <w:i w:val="0"/>
                <w:iCs w:val="0"/>
                <w:color w:val="FFFFFF"/>
                <w:sz w:val="18"/>
                <w:szCs w:val="18"/>
                <w:u w:val="none"/>
              </w:rPr>
            </w:pPr>
            <w:r>
              <w:rPr>
                <w:rFonts w:hint="eastAsia" w:ascii="微软雅黑" w:hAnsi="微软雅黑" w:eastAsia="微软雅黑" w:cs="微软雅黑"/>
                <w:b/>
                <w:bCs/>
                <w:i w:val="0"/>
                <w:iCs w:val="0"/>
                <w:color w:val="FFFFFF"/>
                <w:kern w:val="0"/>
                <w:sz w:val="18"/>
                <w:szCs w:val="18"/>
                <w:u w:val="none"/>
                <w:lang w:val="en-US" w:eastAsia="zh-CN" w:bidi="ar"/>
              </w:rPr>
              <w:t>座位数</w:t>
            </w:r>
          </w:p>
        </w:tc>
        <w:tc>
          <w:tcPr>
            <w:tcW w:w="2100" w:type="dxa"/>
            <w:tcBorders>
              <w:top w:val="single" w:color="000000" w:sz="4" w:space="0"/>
              <w:left w:val="single" w:color="000000" w:sz="4" w:space="0"/>
              <w:bottom w:val="single" w:color="000000" w:sz="4" w:space="0"/>
              <w:right w:val="single" w:color="000000" w:sz="4" w:space="0"/>
            </w:tcBorders>
            <w:shd w:val="clear" w:color="auto" w:fill="808080"/>
            <w:vAlign w:val="center"/>
          </w:tcPr>
          <w:p>
            <w:pPr>
              <w:keepNext w:val="0"/>
              <w:keepLines w:val="0"/>
              <w:widowControl/>
              <w:suppressLineNumbers w:val="0"/>
              <w:jc w:val="center"/>
              <w:textAlignment w:val="center"/>
              <w:rPr>
                <w:rFonts w:hint="eastAsia" w:ascii="微软雅黑" w:hAnsi="微软雅黑" w:eastAsia="微软雅黑" w:cs="微软雅黑"/>
                <w:b/>
                <w:bCs/>
                <w:i w:val="0"/>
                <w:iCs w:val="0"/>
                <w:color w:val="FFFFFF"/>
                <w:sz w:val="18"/>
                <w:szCs w:val="18"/>
                <w:u w:val="none"/>
              </w:rPr>
            </w:pPr>
            <w:r>
              <w:rPr>
                <w:rFonts w:hint="eastAsia" w:ascii="微软雅黑" w:hAnsi="微软雅黑" w:eastAsia="微软雅黑" w:cs="微软雅黑"/>
                <w:b/>
                <w:bCs/>
                <w:i w:val="0"/>
                <w:iCs w:val="0"/>
                <w:color w:val="FFFFFF"/>
                <w:kern w:val="0"/>
                <w:sz w:val="18"/>
                <w:szCs w:val="18"/>
                <w:u w:val="none"/>
                <w:lang w:val="en-US" w:eastAsia="zh-CN" w:bidi="ar"/>
              </w:rPr>
              <w:t>排量（L)</w:t>
            </w:r>
          </w:p>
        </w:tc>
        <w:tc>
          <w:tcPr>
            <w:tcW w:w="1200" w:type="dxa"/>
            <w:tcBorders>
              <w:top w:val="single" w:color="000000" w:sz="4" w:space="0"/>
              <w:left w:val="single" w:color="000000" w:sz="4" w:space="0"/>
              <w:bottom w:val="single" w:color="000000" w:sz="4" w:space="0"/>
              <w:right w:val="single" w:color="000000" w:sz="4" w:space="0"/>
            </w:tcBorders>
            <w:shd w:val="clear" w:color="auto" w:fill="808080"/>
            <w:vAlign w:val="center"/>
          </w:tcPr>
          <w:p>
            <w:pPr>
              <w:keepNext w:val="0"/>
              <w:keepLines w:val="0"/>
              <w:widowControl/>
              <w:suppressLineNumbers w:val="0"/>
              <w:jc w:val="center"/>
              <w:textAlignment w:val="center"/>
              <w:rPr>
                <w:rFonts w:hint="eastAsia" w:ascii="微软雅黑" w:hAnsi="微软雅黑" w:eastAsia="微软雅黑" w:cs="微软雅黑"/>
                <w:b/>
                <w:bCs/>
                <w:i w:val="0"/>
                <w:iCs w:val="0"/>
                <w:color w:val="FFFFFF"/>
                <w:sz w:val="18"/>
                <w:szCs w:val="18"/>
                <w:u w:val="none"/>
              </w:rPr>
            </w:pPr>
            <w:r>
              <w:rPr>
                <w:rFonts w:hint="eastAsia" w:ascii="微软雅黑" w:hAnsi="微软雅黑" w:eastAsia="微软雅黑" w:cs="微软雅黑"/>
                <w:b/>
                <w:bCs/>
                <w:i w:val="0"/>
                <w:iCs w:val="0"/>
                <w:color w:val="FFFFFF"/>
                <w:kern w:val="0"/>
                <w:sz w:val="18"/>
                <w:szCs w:val="18"/>
                <w:u w:val="none"/>
                <w:lang w:val="en-US" w:eastAsia="zh-CN" w:bidi="ar"/>
              </w:rPr>
              <w:t>综合最大扭矩（N.m）</w:t>
            </w:r>
          </w:p>
        </w:tc>
        <w:tc>
          <w:tcPr>
            <w:tcW w:w="1012" w:type="dxa"/>
            <w:tcBorders>
              <w:top w:val="single" w:color="000000" w:sz="4" w:space="0"/>
              <w:left w:val="single" w:color="000000" w:sz="4" w:space="0"/>
              <w:bottom w:val="single" w:color="000000" w:sz="4" w:space="0"/>
              <w:right w:val="single" w:color="000000" w:sz="4" w:space="0"/>
            </w:tcBorders>
            <w:shd w:val="clear" w:color="auto" w:fill="808080"/>
            <w:vAlign w:val="center"/>
          </w:tcPr>
          <w:p>
            <w:pPr>
              <w:keepNext w:val="0"/>
              <w:keepLines w:val="0"/>
              <w:widowControl/>
              <w:suppressLineNumbers w:val="0"/>
              <w:jc w:val="center"/>
              <w:textAlignment w:val="center"/>
              <w:rPr>
                <w:rFonts w:hint="eastAsia" w:ascii="微软雅黑" w:hAnsi="微软雅黑" w:eastAsia="微软雅黑" w:cs="微软雅黑"/>
                <w:b/>
                <w:bCs/>
                <w:i w:val="0"/>
                <w:iCs w:val="0"/>
                <w:color w:val="FFFFFF"/>
                <w:sz w:val="18"/>
                <w:szCs w:val="18"/>
                <w:u w:val="none"/>
              </w:rPr>
            </w:pPr>
            <w:r>
              <w:rPr>
                <w:rFonts w:hint="eastAsia" w:ascii="微软雅黑" w:hAnsi="微软雅黑" w:eastAsia="微软雅黑" w:cs="微软雅黑"/>
                <w:b/>
                <w:bCs/>
                <w:i w:val="0"/>
                <w:iCs w:val="0"/>
                <w:color w:val="FFFFFF"/>
                <w:kern w:val="0"/>
                <w:sz w:val="18"/>
                <w:szCs w:val="18"/>
                <w:u w:val="none"/>
                <w:lang w:val="en-US" w:eastAsia="zh-CN" w:bidi="ar"/>
              </w:rPr>
              <w:t>最高限价（万元）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2592" w:type="dxa"/>
          <w:trHeight w:val="330" w:hRule="atLeast"/>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包1</w:t>
            </w:r>
          </w:p>
        </w:tc>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汽油</w:t>
            </w: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轿车</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5座</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排气量1.6L（含）以下</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≥150</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bookmarkStart w:id="47" w:name="_GoBack"/>
            <w:bookmarkEnd w:id="47"/>
            <w:r>
              <w:rPr>
                <w:rFonts w:hint="eastAsia" w:ascii="微软雅黑" w:hAnsi="微软雅黑" w:eastAsia="微软雅黑" w:cs="微软雅黑"/>
                <w:i w:val="0"/>
                <w:iCs w:val="0"/>
                <w:color w:val="000000"/>
                <w:kern w:val="0"/>
                <w:sz w:val="18"/>
                <w:szCs w:val="18"/>
                <w:u w:val="none"/>
                <w:lang w:val="en-US" w:eastAsia="zh-CN" w:bidi="ar"/>
              </w:rPr>
              <w:t>12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2592" w:type="dxa"/>
          <w:trHeight w:val="330" w:hRule="atLeast"/>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包2</w:t>
            </w:r>
          </w:p>
        </w:tc>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汽油</w:t>
            </w: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轿车</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5座</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排气量1.6L（含）以下</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≥170</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2592" w:type="dxa"/>
          <w:trHeight w:val="330" w:hRule="atLeast"/>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包3</w:t>
            </w:r>
          </w:p>
        </w:tc>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汽油</w:t>
            </w: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轿车</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5座</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排气量1.6L（含）以下</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≥220</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2592" w:type="dxa"/>
          <w:trHeight w:val="330" w:hRule="atLeast"/>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包4</w:t>
            </w:r>
          </w:p>
        </w:tc>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汽油</w:t>
            </w: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轿车</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5座</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排气量1.6L（含）以下</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≥230</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2592" w:type="dxa"/>
          <w:trHeight w:val="330" w:hRule="atLeast"/>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包5</w:t>
            </w:r>
          </w:p>
        </w:tc>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汽油</w:t>
            </w: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轿车</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5座</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排气量1.6L（含）以下</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≥240</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2592" w:type="dxa"/>
          <w:trHeight w:val="330" w:hRule="atLeast"/>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包6</w:t>
            </w:r>
          </w:p>
        </w:tc>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汽油</w:t>
            </w: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轿车</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5座</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排气量1.6L（含）以下</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≥250</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2592" w:type="dxa"/>
          <w:trHeight w:val="330" w:hRule="atLeast"/>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包7</w:t>
            </w:r>
          </w:p>
        </w:tc>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汽油</w:t>
            </w: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轿车</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5座</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排气量1.6L（含）以下</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≥250</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2592" w:type="dxa"/>
          <w:trHeight w:val="330" w:hRule="atLeast"/>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包8</w:t>
            </w:r>
          </w:p>
        </w:tc>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汽油</w:t>
            </w: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轿车</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5座</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排气量1.6L（含）以下</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≥260</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2592" w:type="dxa"/>
          <w:trHeight w:val="330" w:hRule="atLeast"/>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包9</w:t>
            </w:r>
          </w:p>
        </w:tc>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汽油</w:t>
            </w: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轿车</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5座</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排气量1.8L（含）以下</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≥280</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2592" w:type="dxa"/>
          <w:trHeight w:val="330" w:hRule="atLeast"/>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包10</w:t>
            </w:r>
          </w:p>
        </w:tc>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汽油</w:t>
            </w: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轿车</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5座</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排气量1.8L（含）以下</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≥300</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2592" w:type="dxa"/>
          <w:trHeight w:val="330" w:hRule="atLeast"/>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包11</w:t>
            </w:r>
          </w:p>
        </w:tc>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油电混合</w:t>
            </w: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轿车</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5座</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排气量1.6L（含）以下</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2592" w:type="dxa"/>
          <w:trHeight w:val="330" w:hRule="atLeast"/>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包12</w:t>
            </w:r>
          </w:p>
        </w:tc>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油电混合</w:t>
            </w: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轿车</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5座</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排气量1.8L（含）以下</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2592" w:type="dxa"/>
          <w:trHeight w:val="330" w:hRule="atLeast"/>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包13</w:t>
            </w:r>
          </w:p>
        </w:tc>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汽油</w:t>
            </w: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越野车（含SUV）</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5座</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排气量1.6L（含）以下</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≥250</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2592" w:type="dxa"/>
          <w:trHeight w:val="330" w:hRule="atLeast"/>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包14</w:t>
            </w:r>
          </w:p>
        </w:tc>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汽油</w:t>
            </w: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越野车（含SUV）</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5座</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排气量1.6L（含）以下</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≥150</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2592" w:type="dxa"/>
          <w:trHeight w:val="330" w:hRule="atLeast"/>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包15</w:t>
            </w:r>
          </w:p>
        </w:tc>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汽油</w:t>
            </w: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越野车（含SUV）</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5座</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排气量1.6L（含）以下</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≥240</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2592" w:type="dxa"/>
          <w:trHeight w:val="330" w:hRule="atLeast"/>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包16</w:t>
            </w:r>
          </w:p>
        </w:tc>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汽油</w:t>
            </w: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越野车（含SUV）</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5座</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排气量1.6L（含）以下</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≥250</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2592" w:type="dxa"/>
          <w:trHeight w:val="330" w:hRule="atLeast"/>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包17</w:t>
            </w:r>
          </w:p>
        </w:tc>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汽油</w:t>
            </w: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越野车（含SUV）</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5座</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排气量1.8L（含）以下</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≥300</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2592" w:type="dxa"/>
          <w:trHeight w:val="330" w:hRule="atLeast"/>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包18</w:t>
            </w:r>
          </w:p>
        </w:tc>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汽油</w:t>
            </w: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越野车（含SUV）</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5座</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排气量1.6L（含）以下</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≥300</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2592" w:type="dxa"/>
          <w:trHeight w:val="330" w:hRule="atLeast"/>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包19</w:t>
            </w:r>
          </w:p>
        </w:tc>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汽油</w:t>
            </w: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越野车（含SUV）</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5座</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排气量1.8L（含）以下</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≥250</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2592" w:type="dxa"/>
          <w:trHeight w:val="330" w:hRule="atLeast"/>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包20</w:t>
            </w:r>
          </w:p>
        </w:tc>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汽油</w:t>
            </w: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越野车（含SUV）</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5座</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排气量1.6L（含）以下</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≥300</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2592" w:type="dxa"/>
          <w:trHeight w:val="330" w:hRule="atLeast"/>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包21</w:t>
            </w:r>
          </w:p>
        </w:tc>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汽油</w:t>
            </w: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越野车（含SUV）</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5座</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排气量1.6L（含）以下</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≥240</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2592" w:type="dxa"/>
          <w:trHeight w:val="330" w:hRule="atLeast"/>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包22</w:t>
            </w:r>
          </w:p>
        </w:tc>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汽油</w:t>
            </w: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越野车（含SUV）</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5座</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排气量2.5L（含）以下</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≥240</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2592" w:type="dxa"/>
          <w:trHeight w:val="330" w:hRule="atLeast"/>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包23</w:t>
            </w:r>
          </w:p>
        </w:tc>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油电混合</w:t>
            </w: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越野车（含SUV）</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5座</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排气量1.8L（含）以下</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2592" w:type="dxa"/>
          <w:trHeight w:val="330" w:hRule="atLeast"/>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包24</w:t>
            </w:r>
          </w:p>
        </w:tc>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油电混合</w:t>
            </w: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越野车（含SUV）</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5座</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排气量2.0L（含）以下</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2592" w:type="dxa"/>
          <w:trHeight w:val="330" w:hRule="atLeast"/>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包25</w:t>
            </w:r>
          </w:p>
        </w:tc>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汽油</w:t>
            </w: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商务车（MPV）</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7座</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排气量1.6L（含）以下</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≥150</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2592" w:type="dxa"/>
          <w:trHeight w:val="330" w:hRule="atLeast"/>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包26</w:t>
            </w:r>
          </w:p>
        </w:tc>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汽油</w:t>
            </w: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商务车（MPV）</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7座</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排气量2.0L（含）以下</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≥200</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2592" w:type="dxa"/>
          <w:trHeight w:val="330" w:hRule="atLeast"/>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包27</w:t>
            </w:r>
          </w:p>
        </w:tc>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汽油</w:t>
            </w: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商务车（MPV）</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7座</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排气量1.8L（含）以下</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≥240</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2592" w:type="dxa"/>
          <w:trHeight w:val="330" w:hRule="atLeast"/>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包28</w:t>
            </w:r>
          </w:p>
        </w:tc>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汽油</w:t>
            </w: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商务车（MPV）</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7座</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排气量1.6L（含）以下</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≥280</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2592" w:type="dxa"/>
          <w:trHeight w:val="330" w:hRule="atLeast"/>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包29</w:t>
            </w:r>
          </w:p>
        </w:tc>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汽油</w:t>
            </w: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商务车（MPV）</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7座</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排气量2.0L（含）以下</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≥360</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2592" w:type="dxa"/>
          <w:trHeight w:val="330" w:hRule="atLeast"/>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包30</w:t>
            </w:r>
          </w:p>
        </w:tc>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柴油</w:t>
            </w: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轻型客车</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7-9座（含）</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排气量2.0L（含）以下</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≥350</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2592" w:type="dxa"/>
          <w:trHeight w:val="330" w:hRule="atLeast"/>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包31</w:t>
            </w:r>
          </w:p>
        </w:tc>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柴油</w:t>
            </w: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轻型客车</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7-9座（含）</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排气量2.0L（含）以下</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≥350</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2592" w:type="dxa"/>
          <w:trHeight w:val="330" w:hRule="atLeast"/>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包32</w:t>
            </w:r>
          </w:p>
        </w:tc>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柴油</w:t>
            </w: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轻型客车</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7-9座（含）</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排气量2.3L（含）以下</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≥380</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2592" w:type="dxa"/>
          <w:trHeight w:val="330" w:hRule="atLeast"/>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包33</w:t>
            </w:r>
          </w:p>
        </w:tc>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柴油</w:t>
            </w: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轻型客车</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7-9座（含）</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排气量2.3L（含）以下</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≥380</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2592" w:type="dxa"/>
          <w:trHeight w:val="330" w:hRule="atLeast"/>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包34</w:t>
            </w:r>
          </w:p>
        </w:tc>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柴油</w:t>
            </w: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轻型客车</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7-9座（含）</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排气量2.0L（含）以下</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≥350</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23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2592" w:type="dxa"/>
          <w:trHeight w:val="330" w:hRule="atLeast"/>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包35</w:t>
            </w:r>
          </w:p>
        </w:tc>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柴油</w:t>
            </w: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轻型客车</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7-9座（含）</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排气量2.0L（含）以下</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≥350</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23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2592" w:type="dxa"/>
          <w:trHeight w:val="330" w:hRule="atLeast"/>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包36</w:t>
            </w:r>
          </w:p>
        </w:tc>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柴油</w:t>
            </w: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轻型客车</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7-9座（含）</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排气量2.3L（含）以下</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≥380</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23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2592" w:type="dxa"/>
          <w:trHeight w:val="330" w:hRule="atLeast"/>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包37</w:t>
            </w:r>
          </w:p>
        </w:tc>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柴油</w:t>
            </w: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轻型客车</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7-9座（含）</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排气量2.3L（含）以下</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≥380</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23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2592" w:type="dxa"/>
          <w:trHeight w:val="330" w:hRule="atLeast"/>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包38</w:t>
            </w:r>
          </w:p>
        </w:tc>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柴油</w:t>
            </w: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轻型客车</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10（含）-15座（含）</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排气量2.0L（含）以下</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≥350</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2592" w:type="dxa"/>
          <w:trHeight w:val="330" w:hRule="atLeast"/>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包39</w:t>
            </w:r>
          </w:p>
        </w:tc>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柴油</w:t>
            </w: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轻型客车</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10（含）-15座（含）</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排气量2.0L（含）以下</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≥350</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2592" w:type="dxa"/>
          <w:trHeight w:val="330" w:hRule="atLeast"/>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包40</w:t>
            </w:r>
          </w:p>
        </w:tc>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柴油</w:t>
            </w: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轻型客车</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10（含）-15座（含）</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排气量2.3L（含）以下</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≥380</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2592" w:type="dxa"/>
          <w:trHeight w:val="330" w:hRule="atLeast"/>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包41</w:t>
            </w:r>
          </w:p>
        </w:tc>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柴油</w:t>
            </w: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轻型客车</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10（含）-15座（含）</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排气量2.3L（含）以下</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≥380</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2592" w:type="dxa"/>
          <w:trHeight w:val="330" w:hRule="atLeast"/>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包42</w:t>
            </w:r>
          </w:p>
        </w:tc>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柴油</w:t>
            </w: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轻型客车</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10（含）-15座（含）</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排气量2.0L（含）以下</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≥350</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2592" w:type="dxa"/>
          <w:trHeight w:val="330" w:hRule="atLeast"/>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包43</w:t>
            </w:r>
          </w:p>
        </w:tc>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柴油</w:t>
            </w: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轻型客车</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10（含）-15座（含）</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排气量2.0L（含）以下</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≥350</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2592" w:type="dxa"/>
          <w:trHeight w:val="330" w:hRule="atLeast"/>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包44</w:t>
            </w:r>
          </w:p>
        </w:tc>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柴油</w:t>
            </w: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轻型客车</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10（含）-15座（含）</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排气量2.3L（含）以下</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≥380</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2592" w:type="dxa"/>
          <w:trHeight w:val="330" w:hRule="atLeast"/>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包45</w:t>
            </w:r>
          </w:p>
        </w:tc>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柴油</w:t>
            </w: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轻型客车</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10（含）-15座（含）</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排气量2.3L（含）以下</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≥380</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850" w:type="dxa"/>
            <w:tcBorders>
              <w:top w:val="single" w:color="000000" w:sz="4" w:space="0"/>
              <w:left w:val="single" w:color="000000" w:sz="4" w:space="0"/>
              <w:bottom w:val="single" w:color="000000" w:sz="4" w:space="0"/>
              <w:right w:val="single" w:color="000000" w:sz="4" w:space="0"/>
            </w:tcBorders>
            <w:shd w:val="clear" w:color="auto" w:fill="808080"/>
            <w:vAlign w:val="center"/>
          </w:tcPr>
          <w:p>
            <w:pPr>
              <w:keepNext w:val="0"/>
              <w:keepLines w:val="0"/>
              <w:widowControl/>
              <w:suppressLineNumbers w:val="0"/>
              <w:jc w:val="center"/>
              <w:textAlignment w:val="center"/>
              <w:rPr>
                <w:rFonts w:ascii="微软雅黑" w:hAnsi="微软雅黑" w:eastAsia="微软雅黑" w:cs="微软雅黑"/>
                <w:b/>
                <w:bCs/>
                <w:i w:val="0"/>
                <w:iCs w:val="0"/>
                <w:color w:val="FFFFFF"/>
                <w:sz w:val="18"/>
                <w:szCs w:val="18"/>
                <w:u w:val="none"/>
              </w:rPr>
            </w:pPr>
            <w:r>
              <w:rPr>
                <w:rFonts w:hint="eastAsia" w:ascii="微软雅黑" w:hAnsi="微软雅黑" w:eastAsia="微软雅黑" w:cs="微软雅黑"/>
                <w:b/>
                <w:bCs/>
                <w:i w:val="0"/>
                <w:iCs w:val="0"/>
                <w:color w:val="FFFFFF"/>
                <w:kern w:val="0"/>
                <w:sz w:val="18"/>
                <w:szCs w:val="18"/>
                <w:u w:val="none"/>
                <w:lang w:val="en-US" w:eastAsia="zh-CN" w:bidi="ar"/>
              </w:rPr>
              <w:t>新能源分包</w:t>
            </w:r>
          </w:p>
        </w:tc>
        <w:tc>
          <w:tcPr>
            <w:tcW w:w="1025" w:type="dxa"/>
            <w:tcBorders>
              <w:top w:val="single" w:color="000000" w:sz="4" w:space="0"/>
              <w:left w:val="single" w:color="000000" w:sz="4" w:space="0"/>
              <w:bottom w:val="single" w:color="000000" w:sz="4" w:space="0"/>
              <w:right w:val="single" w:color="000000" w:sz="4" w:space="0"/>
            </w:tcBorders>
            <w:shd w:val="clear" w:color="auto" w:fill="808080"/>
            <w:vAlign w:val="center"/>
          </w:tcPr>
          <w:p>
            <w:pPr>
              <w:keepNext w:val="0"/>
              <w:keepLines w:val="0"/>
              <w:widowControl/>
              <w:suppressLineNumbers w:val="0"/>
              <w:jc w:val="center"/>
              <w:textAlignment w:val="center"/>
              <w:rPr>
                <w:rFonts w:hint="eastAsia" w:ascii="微软雅黑" w:hAnsi="微软雅黑" w:eastAsia="微软雅黑" w:cs="微软雅黑"/>
                <w:b/>
                <w:bCs/>
                <w:i w:val="0"/>
                <w:iCs w:val="0"/>
                <w:color w:val="FFFFFF"/>
                <w:sz w:val="18"/>
                <w:szCs w:val="18"/>
                <w:u w:val="none"/>
              </w:rPr>
            </w:pPr>
            <w:r>
              <w:rPr>
                <w:rFonts w:hint="eastAsia" w:ascii="微软雅黑" w:hAnsi="微软雅黑" w:eastAsia="微软雅黑" w:cs="微软雅黑"/>
                <w:b/>
                <w:bCs/>
                <w:i w:val="0"/>
                <w:iCs w:val="0"/>
                <w:color w:val="FFFFFF"/>
                <w:kern w:val="0"/>
                <w:sz w:val="18"/>
                <w:szCs w:val="18"/>
                <w:u w:val="none"/>
                <w:lang w:val="en-US" w:eastAsia="zh-CN" w:bidi="ar"/>
              </w:rPr>
              <w:t>能源形式</w:t>
            </w:r>
          </w:p>
        </w:tc>
        <w:tc>
          <w:tcPr>
            <w:tcW w:w="1287" w:type="dxa"/>
            <w:tcBorders>
              <w:top w:val="single" w:color="000000" w:sz="4" w:space="0"/>
              <w:left w:val="single" w:color="000000" w:sz="4" w:space="0"/>
              <w:bottom w:val="single" w:color="000000" w:sz="4" w:space="0"/>
              <w:right w:val="single" w:color="000000" w:sz="4" w:space="0"/>
            </w:tcBorders>
            <w:shd w:val="clear" w:color="auto" w:fill="808080"/>
            <w:vAlign w:val="center"/>
          </w:tcPr>
          <w:p>
            <w:pPr>
              <w:keepNext w:val="0"/>
              <w:keepLines w:val="0"/>
              <w:widowControl/>
              <w:suppressLineNumbers w:val="0"/>
              <w:jc w:val="center"/>
              <w:textAlignment w:val="center"/>
              <w:rPr>
                <w:rFonts w:hint="eastAsia" w:ascii="微软雅黑" w:hAnsi="微软雅黑" w:eastAsia="微软雅黑" w:cs="微软雅黑"/>
                <w:b/>
                <w:bCs/>
                <w:i w:val="0"/>
                <w:iCs w:val="0"/>
                <w:color w:val="FFFFFF"/>
                <w:sz w:val="18"/>
                <w:szCs w:val="18"/>
                <w:u w:val="none"/>
              </w:rPr>
            </w:pPr>
            <w:r>
              <w:rPr>
                <w:rFonts w:hint="eastAsia" w:ascii="微软雅黑" w:hAnsi="微软雅黑" w:eastAsia="微软雅黑" w:cs="微软雅黑"/>
                <w:b/>
                <w:bCs/>
                <w:i w:val="0"/>
                <w:iCs w:val="0"/>
                <w:color w:val="FFFFFF"/>
                <w:kern w:val="0"/>
                <w:sz w:val="18"/>
                <w:szCs w:val="18"/>
                <w:u w:val="none"/>
                <w:lang w:val="en-US" w:eastAsia="zh-CN" w:bidi="ar"/>
              </w:rPr>
              <w:t>车身级别</w:t>
            </w:r>
          </w:p>
        </w:tc>
        <w:tc>
          <w:tcPr>
            <w:tcW w:w="1138" w:type="dxa"/>
            <w:tcBorders>
              <w:top w:val="single" w:color="000000" w:sz="4" w:space="0"/>
              <w:left w:val="single" w:color="000000" w:sz="4" w:space="0"/>
              <w:bottom w:val="single" w:color="000000" w:sz="4" w:space="0"/>
              <w:right w:val="single" w:color="000000" w:sz="4" w:space="0"/>
            </w:tcBorders>
            <w:shd w:val="clear" w:color="auto" w:fill="808080"/>
            <w:vAlign w:val="center"/>
          </w:tcPr>
          <w:p>
            <w:pPr>
              <w:keepNext w:val="0"/>
              <w:keepLines w:val="0"/>
              <w:widowControl/>
              <w:suppressLineNumbers w:val="0"/>
              <w:jc w:val="center"/>
              <w:textAlignment w:val="center"/>
              <w:rPr>
                <w:rFonts w:hint="eastAsia" w:ascii="微软雅黑" w:hAnsi="微软雅黑" w:eastAsia="微软雅黑" w:cs="微软雅黑"/>
                <w:b/>
                <w:bCs/>
                <w:i w:val="0"/>
                <w:iCs w:val="0"/>
                <w:color w:val="FFFFFF"/>
                <w:sz w:val="18"/>
                <w:szCs w:val="18"/>
                <w:u w:val="none"/>
              </w:rPr>
            </w:pPr>
            <w:r>
              <w:rPr>
                <w:rFonts w:hint="eastAsia" w:ascii="微软雅黑" w:hAnsi="微软雅黑" w:eastAsia="微软雅黑" w:cs="微软雅黑"/>
                <w:b/>
                <w:bCs/>
                <w:i w:val="0"/>
                <w:iCs w:val="0"/>
                <w:color w:val="FFFFFF"/>
                <w:kern w:val="0"/>
                <w:sz w:val="18"/>
                <w:szCs w:val="18"/>
                <w:u w:val="none"/>
                <w:lang w:val="en-US" w:eastAsia="zh-CN" w:bidi="ar"/>
              </w:rPr>
              <w:t>座位数</w:t>
            </w:r>
          </w:p>
        </w:tc>
        <w:tc>
          <w:tcPr>
            <w:tcW w:w="2100" w:type="dxa"/>
            <w:tcBorders>
              <w:top w:val="single" w:color="000000" w:sz="4" w:space="0"/>
              <w:left w:val="single" w:color="000000" w:sz="4" w:space="0"/>
              <w:bottom w:val="single" w:color="000000" w:sz="4" w:space="0"/>
              <w:right w:val="single" w:color="000000" w:sz="4" w:space="0"/>
            </w:tcBorders>
            <w:shd w:val="clear" w:color="auto" w:fill="808080"/>
            <w:vAlign w:val="center"/>
          </w:tcPr>
          <w:p>
            <w:pPr>
              <w:keepNext w:val="0"/>
              <w:keepLines w:val="0"/>
              <w:widowControl/>
              <w:suppressLineNumbers w:val="0"/>
              <w:jc w:val="center"/>
              <w:textAlignment w:val="center"/>
              <w:rPr>
                <w:rFonts w:hint="eastAsia" w:ascii="微软雅黑" w:hAnsi="微软雅黑" w:eastAsia="微软雅黑" w:cs="微软雅黑"/>
                <w:b/>
                <w:bCs/>
                <w:i w:val="0"/>
                <w:iCs w:val="0"/>
                <w:color w:val="FFFFFF"/>
                <w:sz w:val="18"/>
                <w:szCs w:val="18"/>
                <w:u w:val="none"/>
              </w:rPr>
            </w:pPr>
            <w:r>
              <w:rPr>
                <w:rFonts w:hint="eastAsia" w:ascii="微软雅黑" w:hAnsi="微软雅黑" w:eastAsia="微软雅黑" w:cs="微软雅黑"/>
                <w:b/>
                <w:bCs/>
                <w:i w:val="0"/>
                <w:iCs w:val="0"/>
                <w:color w:val="FFFFFF"/>
                <w:kern w:val="0"/>
                <w:sz w:val="18"/>
                <w:szCs w:val="18"/>
                <w:u w:val="none"/>
                <w:lang w:val="en-US" w:eastAsia="zh-CN" w:bidi="ar"/>
              </w:rPr>
              <w:t>NEDC纯电续航里程(km)</w:t>
            </w:r>
          </w:p>
        </w:tc>
        <w:tc>
          <w:tcPr>
            <w:tcW w:w="1200" w:type="dxa"/>
            <w:tcBorders>
              <w:top w:val="single" w:color="000000" w:sz="4" w:space="0"/>
              <w:left w:val="single" w:color="000000" w:sz="4" w:space="0"/>
              <w:bottom w:val="single" w:color="000000" w:sz="4" w:space="0"/>
              <w:right w:val="single" w:color="000000" w:sz="4" w:space="0"/>
            </w:tcBorders>
            <w:shd w:val="clear" w:color="auto" w:fill="808080"/>
            <w:vAlign w:val="center"/>
          </w:tcPr>
          <w:p>
            <w:pPr>
              <w:keepNext w:val="0"/>
              <w:keepLines w:val="0"/>
              <w:widowControl/>
              <w:suppressLineNumbers w:val="0"/>
              <w:jc w:val="center"/>
              <w:textAlignment w:val="center"/>
              <w:rPr>
                <w:rFonts w:hint="eastAsia" w:ascii="微软雅黑" w:hAnsi="微软雅黑" w:eastAsia="微软雅黑" w:cs="微软雅黑"/>
                <w:b/>
                <w:bCs/>
                <w:i w:val="0"/>
                <w:iCs w:val="0"/>
                <w:color w:val="FFFFFF"/>
                <w:sz w:val="18"/>
                <w:szCs w:val="18"/>
                <w:u w:val="none"/>
              </w:rPr>
            </w:pPr>
            <w:r>
              <w:rPr>
                <w:rFonts w:hint="eastAsia" w:ascii="微软雅黑" w:hAnsi="微软雅黑" w:eastAsia="微软雅黑" w:cs="微软雅黑"/>
                <w:b/>
                <w:bCs/>
                <w:i w:val="0"/>
                <w:iCs w:val="0"/>
                <w:color w:val="FFFFFF"/>
                <w:kern w:val="0"/>
                <w:sz w:val="18"/>
                <w:szCs w:val="18"/>
                <w:u w:val="none"/>
                <w:lang w:val="en-US" w:eastAsia="zh-CN" w:bidi="ar"/>
              </w:rPr>
              <w:t>综合最大扭矩（N.m）</w:t>
            </w:r>
          </w:p>
        </w:tc>
        <w:tc>
          <w:tcPr>
            <w:tcW w:w="1012" w:type="dxa"/>
            <w:tcBorders>
              <w:top w:val="single" w:color="000000" w:sz="4" w:space="0"/>
              <w:left w:val="single" w:color="000000" w:sz="4" w:space="0"/>
              <w:bottom w:val="single" w:color="000000" w:sz="4" w:space="0"/>
              <w:right w:val="single" w:color="000000" w:sz="4" w:space="0"/>
            </w:tcBorders>
            <w:shd w:val="clear" w:color="auto" w:fill="808080"/>
            <w:vAlign w:val="center"/>
          </w:tcPr>
          <w:p>
            <w:pPr>
              <w:keepNext w:val="0"/>
              <w:keepLines w:val="0"/>
              <w:widowControl/>
              <w:suppressLineNumbers w:val="0"/>
              <w:jc w:val="center"/>
              <w:textAlignment w:val="center"/>
              <w:rPr>
                <w:rFonts w:hint="eastAsia" w:ascii="微软雅黑" w:hAnsi="微软雅黑" w:eastAsia="微软雅黑" w:cs="微软雅黑"/>
                <w:b/>
                <w:bCs/>
                <w:i w:val="0"/>
                <w:iCs w:val="0"/>
                <w:color w:val="FFFFFF"/>
                <w:sz w:val="18"/>
                <w:szCs w:val="18"/>
                <w:u w:val="none"/>
              </w:rPr>
            </w:pPr>
            <w:r>
              <w:rPr>
                <w:rFonts w:hint="eastAsia" w:ascii="微软雅黑" w:hAnsi="微软雅黑" w:eastAsia="微软雅黑" w:cs="微软雅黑"/>
                <w:b/>
                <w:bCs/>
                <w:i w:val="0"/>
                <w:iCs w:val="0"/>
                <w:color w:val="FFFFFF"/>
                <w:kern w:val="0"/>
                <w:sz w:val="18"/>
                <w:szCs w:val="18"/>
                <w:u w:val="none"/>
                <w:lang w:val="en-US" w:eastAsia="zh-CN" w:bidi="ar"/>
              </w:rPr>
              <w:t>快充时间</w:t>
            </w:r>
          </w:p>
        </w:tc>
        <w:tc>
          <w:tcPr>
            <w:tcW w:w="938" w:type="dxa"/>
            <w:tcBorders>
              <w:top w:val="single" w:color="000000" w:sz="4" w:space="0"/>
              <w:left w:val="single" w:color="000000" w:sz="4" w:space="0"/>
              <w:bottom w:val="single" w:color="000000" w:sz="4" w:space="0"/>
              <w:right w:val="single" w:color="000000" w:sz="4" w:space="0"/>
            </w:tcBorders>
            <w:shd w:val="clear" w:color="auto" w:fill="808080"/>
            <w:vAlign w:val="center"/>
          </w:tcPr>
          <w:p>
            <w:pPr>
              <w:keepNext w:val="0"/>
              <w:keepLines w:val="0"/>
              <w:widowControl/>
              <w:suppressLineNumbers w:val="0"/>
              <w:jc w:val="center"/>
              <w:textAlignment w:val="center"/>
              <w:rPr>
                <w:rFonts w:hint="eastAsia" w:ascii="微软雅黑" w:hAnsi="微软雅黑" w:eastAsia="微软雅黑" w:cs="微软雅黑"/>
                <w:b/>
                <w:bCs/>
                <w:i w:val="0"/>
                <w:iCs w:val="0"/>
                <w:color w:val="FFFFFF"/>
                <w:sz w:val="18"/>
                <w:szCs w:val="18"/>
                <w:u w:val="none"/>
              </w:rPr>
            </w:pPr>
            <w:r>
              <w:rPr>
                <w:rFonts w:hint="eastAsia" w:ascii="微软雅黑" w:hAnsi="微软雅黑" w:eastAsia="微软雅黑" w:cs="微软雅黑"/>
                <w:b/>
                <w:bCs/>
                <w:i w:val="0"/>
                <w:iCs w:val="0"/>
                <w:color w:val="FFFFFF"/>
                <w:kern w:val="0"/>
                <w:sz w:val="18"/>
                <w:szCs w:val="18"/>
                <w:u w:val="none"/>
                <w:lang w:val="en-US" w:eastAsia="zh-CN" w:bidi="ar"/>
              </w:rPr>
              <w:t>快充电量</w:t>
            </w:r>
          </w:p>
        </w:tc>
        <w:tc>
          <w:tcPr>
            <w:tcW w:w="1654" w:type="dxa"/>
            <w:tcBorders>
              <w:top w:val="single" w:color="000000" w:sz="4" w:space="0"/>
              <w:left w:val="single" w:color="000000" w:sz="4" w:space="0"/>
              <w:bottom w:val="single" w:color="000000" w:sz="4" w:space="0"/>
              <w:right w:val="single" w:color="000000" w:sz="4" w:space="0"/>
            </w:tcBorders>
            <w:shd w:val="clear" w:color="auto" w:fill="808080"/>
            <w:vAlign w:val="center"/>
          </w:tcPr>
          <w:p>
            <w:pPr>
              <w:keepNext w:val="0"/>
              <w:keepLines w:val="0"/>
              <w:widowControl/>
              <w:suppressLineNumbers w:val="0"/>
              <w:jc w:val="center"/>
              <w:textAlignment w:val="center"/>
              <w:rPr>
                <w:rFonts w:hint="eastAsia" w:ascii="微软雅黑" w:hAnsi="微软雅黑" w:eastAsia="微软雅黑" w:cs="微软雅黑"/>
                <w:b/>
                <w:bCs/>
                <w:i w:val="0"/>
                <w:iCs w:val="0"/>
                <w:color w:val="FFFFFF"/>
                <w:sz w:val="18"/>
                <w:szCs w:val="18"/>
                <w:u w:val="none"/>
              </w:rPr>
            </w:pPr>
            <w:r>
              <w:rPr>
                <w:rFonts w:hint="eastAsia" w:ascii="微软雅黑" w:hAnsi="微软雅黑" w:eastAsia="微软雅黑" w:cs="微软雅黑"/>
                <w:b/>
                <w:bCs/>
                <w:i w:val="0"/>
                <w:iCs w:val="0"/>
                <w:color w:val="FFFFFF"/>
                <w:kern w:val="0"/>
                <w:sz w:val="18"/>
                <w:szCs w:val="18"/>
                <w:u w:val="none"/>
                <w:lang w:val="en-US" w:eastAsia="zh-CN" w:bidi="ar"/>
              </w:rPr>
              <w:t>最高限价（万元）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18"/>
                <w:szCs w:val="18"/>
                <w:u w:val="none"/>
                <w:lang w:val="en-US"/>
              </w:rPr>
            </w:pPr>
            <w:r>
              <w:rPr>
                <w:rFonts w:hint="eastAsia" w:ascii="微软雅黑" w:hAnsi="微软雅黑" w:eastAsia="微软雅黑" w:cs="微软雅黑"/>
                <w:i w:val="0"/>
                <w:iCs w:val="0"/>
                <w:color w:val="000000"/>
                <w:kern w:val="0"/>
                <w:sz w:val="18"/>
                <w:szCs w:val="18"/>
                <w:u w:val="none"/>
                <w:lang w:val="en-US" w:eastAsia="zh-CN" w:bidi="ar"/>
              </w:rPr>
              <w:t>包46</w:t>
            </w:r>
          </w:p>
        </w:tc>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纯电动</w:t>
            </w: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轿车</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5座</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300-400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≥120</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不大于0.7小时</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80%</w:t>
            </w:r>
          </w:p>
        </w:tc>
        <w:tc>
          <w:tcPr>
            <w:tcW w:w="16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18"/>
                <w:szCs w:val="18"/>
                <w:u w:val="none"/>
                <w:lang w:val="en-US"/>
              </w:rPr>
            </w:pPr>
            <w:r>
              <w:rPr>
                <w:rFonts w:hint="eastAsia" w:ascii="微软雅黑" w:hAnsi="微软雅黑" w:eastAsia="微软雅黑" w:cs="微软雅黑"/>
                <w:i w:val="0"/>
                <w:iCs w:val="0"/>
                <w:color w:val="000000"/>
                <w:kern w:val="0"/>
                <w:sz w:val="18"/>
                <w:szCs w:val="18"/>
                <w:u w:val="none"/>
                <w:lang w:val="en-US" w:eastAsia="zh-CN" w:bidi="ar"/>
              </w:rPr>
              <w:t>包47</w:t>
            </w:r>
          </w:p>
        </w:tc>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纯电动</w:t>
            </w: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轿车</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5座</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300-400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≥200</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不大于0.7小时</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80%</w:t>
            </w:r>
          </w:p>
        </w:tc>
        <w:tc>
          <w:tcPr>
            <w:tcW w:w="16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18"/>
                <w:szCs w:val="18"/>
                <w:u w:val="none"/>
                <w:lang w:val="en-US"/>
              </w:rPr>
            </w:pPr>
            <w:r>
              <w:rPr>
                <w:rFonts w:hint="eastAsia" w:ascii="微软雅黑" w:hAnsi="微软雅黑" w:eastAsia="微软雅黑" w:cs="微软雅黑"/>
                <w:i w:val="0"/>
                <w:iCs w:val="0"/>
                <w:color w:val="000000"/>
                <w:kern w:val="0"/>
                <w:sz w:val="18"/>
                <w:szCs w:val="18"/>
                <w:u w:val="none"/>
                <w:lang w:val="en-US" w:eastAsia="zh-CN" w:bidi="ar"/>
              </w:rPr>
              <w:t>包48</w:t>
            </w:r>
          </w:p>
        </w:tc>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纯电动</w:t>
            </w: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轿车</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5座</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≥400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≥220</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不大于0.7小时</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80%</w:t>
            </w:r>
          </w:p>
        </w:tc>
        <w:tc>
          <w:tcPr>
            <w:tcW w:w="16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18"/>
                <w:szCs w:val="18"/>
                <w:u w:val="none"/>
                <w:lang w:val="en-US"/>
              </w:rPr>
            </w:pPr>
            <w:r>
              <w:rPr>
                <w:rFonts w:hint="eastAsia" w:ascii="微软雅黑" w:hAnsi="微软雅黑" w:eastAsia="微软雅黑" w:cs="微软雅黑"/>
                <w:i w:val="0"/>
                <w:iCs w:val="0"/>
                <w:color w:val="000000"/>
                <w:kern w:val="0"/>
                <w:sz w:val="18"/>
                <w:szCs w:val="18"/>
                <w:u w:val="none"/>
                <w:lang w:val="en-US" w:eastAsia="zh-CN" w:bidi="ar"/>
              </w:rPr>
              <w:t>包49</w:t>
            </w:r>
          </w:p>
        </w:tc>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纯电动</w:t>
            </w: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轿车</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5座</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≥400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≥220</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不大于0.7小时</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80%</w:t>
            </w:r>
          </w:p>
        </w:tc>
        <w:tc>
          <w:tcPr>
            <w:tcW w:w="16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18"/>
                <w:szCs w:val="18"/>
                <w:u w:val="none"/>
                <w:lang w:val="en-US"/>
              </w:rPr>
            </w:pPr>
            <w:r>
              <w:rPr>
                <w:rFonts w:hint="eastAsia" w:ascii="微软雅黑" w:hAnsi="微软雅黑" w:eastAsia="微软雅黑" w:cs="微软雅黑"/>
                <w:i w:val="0"/>
                <w:iCs w:val="0"/>
                <w:color w:val="000000"/>
                <w:kern w:val="0"/>
                <w:sz w:val="18"/>
                <w:szCs w:val="18"/>
                <w:u w:val="none"/>
                <w:lang w:val="en-US" w:eastAsia="zh-CN" w:bidi="ar"/>
              </w:rPr>
              <w:t>包50</w:t>
            </w:r>
          </w:p>
        </w:tc>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纯电动</w:t>
            </w: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轿车</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5座</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≥400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≥280</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不大于0.7小时</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80%</w:t>
            </w:r>
          </w:p>
        </w:tc>
        <w:tc>
          <w:tcPr>
            <w:tcW w:w="16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18"/>
                <w:szCs w:val="18"/>
                <w:u w:val="none"/>
                <w:lang w:val="en-US"/>
              </w:rPr>
            </w:pPr>
            <w:r>
              <w:rPr>
                <w:rFonts w:hint="eastAsia" w:ascii="微软雅黑" w:hAnsi="微软雅黑" w:eastAsia="微软雅黑" w:cs="微软雅黑"/>
                <w:i w:val="0"/>
                <w:iCs w:val="0"/>
                <w:color w:val="000000"/>
                <w:kern w:val="0"/>
                <w:sz w:val="18"/>
                <w:szCs w:val="18"/>
                <w:u w:val="none"/>
                <w:lang w:val="en-US" w:eastAsia="zh-CN" w:bidi="ar"/>
              </w:rPr>
              <w:t>包51</w:t>
            </w:r>
          </w:p>
        </w:tc>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纯电动</w:t>
            </w: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轿车</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5座</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≥400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≥280</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不大于0.7小时</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80%</w:t>
            </w:r>
          </w:p>
        </w:tc>
        <w:tc>
          <w:tcPr>
            <w:tcW w:w="16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18"/>
                <w:szCs w:val="18"/>
                <w:u w:val="none"/>
                <w:lang w:val="en-US"/>
              </w:rPr>
            </w:pPr>
            <w:r>
              <w:rPr>
                <w:rFonts w:hint="eastAsia" w:ascii="微软雅黑" w:hAnsi="微软雅黑" w:eastAsia="微软雅黑" w:cs="微软雅黑"/>
                <w:i w:val="0"/>
                <w:iCs w:val="0"/>
                <w:color w:val="000000"/>
                <w:kern w:val="0"/>
                <w:sz w:val="18"/>
                <w:szCs w:val="18"/>
                <w:u w:val="none"/>
                <w:lang w:val="en-US" w:eastAsia="zh-CN" w:bidi="ar"/>
              </w:rPr>
              <w:t>包52</w:t>
            </w:r>
          </w:p>
        </w:tc>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纯电动</w:t>
            </w: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越野车（含SUV）</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5座</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≥400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≥250</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不大于0.7小时</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80%</w:t>
            </w:r>
          </w:p>
        </w:tc>
        <w:tc>
          <w:tcPr>
            <w:tcW w:w="16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18"/>
                <w:szCs w:val="18"/>
                <w:u w:val="none"/>
                <w:lang w:val="en-US"/>
              </w:rPr>
            </w:pPr>
            <w:r>
              <w:rPr>
                <w:rFonts w:hint="eastAsia" w:ascii="微软雅黑" w:hAnsi="微软雅黑" w:eastAsia="微软雅黑" w:cs="微软雅黑"/>
                <w:i w:val="0"/>
                <w:iCs w:val="0"/>
                <w:color w:val="000000"/>
                <w:kern w:val="0"/>
                <w:sz w:val="18"/>
                <w:szCs w:val="18"/>
                <w:u w:val="none"/>
                <w:lang w:val="en-US" w:eastAsia="zh-CN" w:bidi="ar"/>
              </w:rPr>
              <w:t>包53</w:t>
            </w:r>
          </w:p>
        </w:tc>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纯电动</w:t>
            </w: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越野车（含SUV）</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5座</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≥400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≥300</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不大于0.7小时</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80%</w:t>
            </w:r>
          </w:p>
        </w:tc>
        <w:tc>
          <w:tcPr>
            <w:tcW w:w="16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18"/>
                <w:szCs w:val="18"/>
                <w:u w:val="none"/>
                <w:lang w:val="en-US"/>
              </w:rPr>
            </w:pPr>
            <w:r>
              <w:rPr>
                <w:rFonts w:hint="eastAsia" w:ascii="微软雅黑" w:hAnsi="微软雅黑" w:eastAsia="微软雅黑" w:cs="微软雅黑"/>
                <w:i w:val="0"/>
                <w:iCs w:val="0"/>
                <w:color w:val="000000"/>
                <w:kern w:val="0"/>
                <w:sz w:val="18"/>
                <w:szCs w:val="18"/>
                <w:u w:val="none"/>
                <w:lang w:val="en-US" w:eastAsia="zh-CN" w:bidi="ar"/>
              </w:rPr>
              <w:t>包54</w:t>
            </w:r>
          </w:p>
        </w:tc>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纯电动</w:t>
            </w: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商务车（MPV）</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7座</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≥400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≥300</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不大于0.7小时</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80%</w:t>
            </w:r>
          </w:p>
        </w:tc>
        <w:tc>
          <w:tcPr>
            <w:tcW w:w="16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18"/>
                <w:szCs w:val="18"/>
                <w:u w:val="none"/>
                <w:lang w:val="en-US"/>
              </w:rPr>
            </w:pPr>
            <w:r>
              <w:rPr>
                <w:rFonts w:hint="eastAsia" w:ascii="微软雅黑" w:hAnsi="微软雅黑" w:eastAsia="微软雅黑" w:cs="微软雅黑"/>
                <w:i w:val="0"/>
                <w:iCs w:val="0"/>
                <w:color w:val="000000"/>
                <w:kern w:val="0"/>
                <w:sz w:val="18"/>
                <w:szCs w:val="18"/>
                <w:u w:val="none"/>
                <w:lang w:val="en-US" w:eastAsia="zh-CN" w:bidi="ar"/>
              </w:rPr>
              <w:t>包55</w:t>
            </w:r>
          </w:p>
        </w:tc>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插电式混动</w:t>
            </w: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轿车</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5座</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≥50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≥300</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w:t>
            </w:r>
          </w:p>
        </w:tc>
        <w:tc>
          <w:tcPr>
            <w:tcW w:w="16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18</w:t>
            </w:r>
          </w:p>
        </w:tc>
      </w:tr>
    </w:tbl>
    <w:p>
      <w:pPr>
        <w:pStyle w:val="9"/>
        <w:numPr>
          <w:ilvl w:val="0"/>
          <w:numId w:val="0"/>
        </w:numPr>
        <w:ind w:firstLine="480"/>
        <w:rPr>
          <w:rFonts w:hint="default" w:ascii="仿宋" w:hAnsi="仿宋" w:eastAsia="仿宋"/>
          <w:bCs/>
          <w:sz w:val="24"/>
          <w:szCs w:val="24"/>
          <w:lang w:val="en-US" w:eastAsia="zh-CN"/>
        </w:rPr>
      </w:pPr>
    </w:p>
    <w:p>
      <w:pPr>
        <w:pStyle w:val="9"/>
        <w:numPr>
          <w:ilvl w:val="0"/>
          <w:numId w:val="0"/>
        </w:numPr>
        <w:ind w:firstLine="480"/>
        <w:rPr>
          <w:rFonts w:hint="default" w:ascii="仿宋" w:hAnsi="仿宋" w:eastAsia="仿宋"/>
          <w:bCs/>
          <w:sz w:val="24"/>
          <w:szCs w:val="24"/>
          <w:lang w:val="en-US" w:eastAsia="zh-CN"/>
        </w:rPr>
      </w:pPr>
    </w:p>
    <w:p>
      <w:pPr>
        <w:pStyle w:val="9"/>
        <w:numPr>
          <w:ilvl w:val="0"/>
          <w:numId w:val="0"/>
        </w:numPr>
        <w:ind w:firstLine="480"/>
        <w:rPr>
          <w:rFonts w:hint="default" w:ascii="仿宋" w:hAnsi="仿宋" w:eastAsia="仿宋"/>
          <w:bCs/>
          <w:sz w:val="24"/>
          <w:szCs w:val="24"/>
          <w:lang w:val="en-US" w:eastAsia="zh-CN"/>
        </w:rPr>
      </w:pPr>
    </w:p>
    <w:p>
      <w:pPr>
        <w:pStyle w:val="9"/>
        <w:numPr>
          <w:ilvl w:val="0"/>
          <w:numId w:val="0"/>
        </w:numPr>
        <w:ind w:firstLine="480"/>
        <w:rPr>
          <w:rFonts w:hint="default" w:ascii="仿宋" w:hAnsi="仿宋" w:eastAsia="仿宋"/>
          <w:bCs/>
          <w:sz w:val="24"/>
          <w:szCs w:val="24"/>
          <w:lang w:val="en-US" w:eastAsia="zh-CN"/>
        </w:rPr>
      </w:pPr>
    </w:p>
    <w:p>
      <w:pPr>
        <w:pStyle w:val="9"/>
        <w:numPr>
          <w:ilvl w:val="0"/>
          <w:numId w:val="0"/>
        </w:numPr>
        <w:ind w:firstLine="480"/>
        <w:rPr>
          <w:rFonts w:hint="default" w:ascii="仿宋" w:hAnsi="仿宋" w:eastAsia="仿宋"/>
          <w:bCs/>
          <w:sz w:val="24"/>
          <w:szCs w:val="24"/>
          <w:lang w:val="en-US" w:eastAsia="zh-CN"/>
        </w:rPr>
      </w:pPr>
      <w:r>
        <w:rPr>
          <w:rFonts w:hint="default" w:ascii="仿宋" w:hAnsi="仿宋" w:eastAsia="仿宋"/>
          <w:bCs/>
          <w:sz w:val="24"/>
          <w:szCs w:val="24"/>
          <w:lang w:val="en-US" w:eastAsia="zh-CN"/>
        </w:rPr>
        <w:t>5、供应商响应的货物和服务的技术、商务等条件不得低于采购需求，货物原则上应当是市场上已有销售的规格型号，不得是专供政府采购的产品。</w:t>
      </w:r>
    </w:p>
    <w:p>
      <w:pPr>
        <w:pStyle w:val="9"/>
        <w:numPr>
          <w:ilvl w:val="0"/>
          <w:numId w:val="0"/>
        </w:numPr>
        <w:ind w:firstLine="480"/>
        <w:rPr>
          <w:rFonts w:hint="default" w:ascii="仿宋" w:hAnsi="仿宋" w:eastAsia="仿宋"/>
          <w:bCs/>
          <w:sz w:val="24"/>
          <w:szCs w:val="24"/>
          <w:lang w:val="en-US" w:eastAsia="zh-CN"/>
        </w:rPr>
      </w:pPr>
      <w:r>
        <w:rPr>
          <w:rFonts w:hint="default" w:ascii="仿宋" w:hAnsi="仿宋" w:eastAsia="仿宋"/>
          <w:bCs/>
          <w:sz w:val="24"/>
          <w:szCs w:val="24"/>
          <w:lang w:val="en-US" w:eastAsia="zh-CN"/>
        </w:rPr>
        <w:t>6、本次征集文件所有分包类别</w:t>
      </w:r>
      <w:r>
        <w:rPr>
          <w:rFonts w:hint="eastAsia" w:ascii="仿宋" w:hAnsi="仿宋" w:eastAsia="仿宋"/>
          <w:bCs/>
          <w:sz w:val="24"/>
          <w:szCs w:val="24"/>
          <w:lang w:val="en-US" w:eastAsia="zh-CN"/>
        </w:rPr>
        <w:t>包括燃油车和新能源汽车</w:t>
      </w:r>
      <w:r>
        <w:rPr>
          <w:rFonts w:hint="default" w:ascii="仿宋" w:hAnsi="仿宋" w:eastAsia="仿宋"/>
          <w:bCs/>
          <w:sz w:val="24"/>
          <w:szCs w:val="24"/>
          <w:lang w:val="en-US" w:eastAsia="zh-CN"/>
        </w:rPr>
        <w:t>，每个响应供应商根据分包要求每个分包只能提交一款车型进行响应。</w:t>
      </w:r>
      <w:r>
        <w:rPr>
          <w:rFonts w:hint="eastAsia" w:ascii="仿宋" w:hAnsi="仿宋" w:eastAsia="仿宋"/>
          <w:bCs/>
          <w:sz w:val="24"/>
          <w:szCs w:val="24"/>
          <w:lang w:val="en-US" w:eastAsia="zh-CN"/>
        </w:rPr>
        <w:t>其中新能源汽车</w:t>
      </w:r>
      <w:r>
        <w:rPr>
          <w:rFonts w:hint="default" w:ascii="仿宋" w:hAnsi="仿宋" w:eastAsia="仿宋"/>
          <w:bCs/>
          <w:sz w:val="24"/>
          <w:szCs w:val="24"/>
          <w:lang w:val="en-US" w:eastAsia="zh-CN"/>
        </w:rPr>
        <w:t>响应报价均为政策补贴后价格。</w:t>
      </w:r>
    </w:p>
    <w:p>
      <w:pPr>
        <w:pStyle w:val="9"/>
        <w:numPr>
          <w:ilvl w:val="0"/>
          <w:numId w:val="0"/>
        </w:numPr>
        <w:ind w:firstLine="480"/>
        <w:rPr>
          <w:rFonts w:hint="default" w:ascii="仿宋" w:hAnsi="仿宋" w:eastAsia="仿宋"/>
          <w:bCs/>
          <w:sz w:val="24"/>
          <w:szCs w:val="24"/>
          <w:lang w:val="en-US" w:eastAsia="zh-CN"/>
        </w:rPr>
      </w:pPr>
      <w:r>
        <w:rPr>
          <w:rFonts w:hint="default" w:ascii="仿宋" w:hAnsi="仿宋" w:eastAsia="仿宋"/>
          <w:bCs/>
          <w:sz w:val="24"/>
          <w:szCs w:val="24"/>
          <w:lang w:val="en-US" w:eastAsia="zh-CN"/>
        </w:rPr>
        <w:t>7、在框架协议期内，入围供应商可以按程序对已入围产品进行升级替换，技术性能服务等不低于对应原入围产品，价格不高于对应原入围产品（须为市场正常供货产品或政府定型产品）。采购中心根据申报情况定期审核。</w:t>
      </w:r>
    </w:p>
    <w:p>
      <w:pPr>
        <w:pStyle w:val="9"/>
        <w:numPr>
          <w:ilvl w:val="0"/>
          <w:numId w:val="0"/>
        </w:numPr>
        <w:ind w:firstLine="480"/>
        <w:rPr>
          <w:rFonts w:hint="default" w:ascii="仿宋" w:hAnsi="仿宋" w:eastAsia="仿宋"/>
          <w:bCs/>
          <w:sz w:val="24"/>
          <w:szCs w:val="24"/>
          <w:lang w:val="en-US" w:eastAsia="zh-CN"/>
        </w:rPr>
      </w:pPr>
      <w:r>
        <w:rPr>
          <w:rFonts w:hint="eastAsia" w:ascii="宋体" w:hAnsi="宋体"/>
          <w:sz w:val="24"/>
          <w:szCs w:val="24"/>
          <w:lang w:val="en-US" w:eastAsia="zh-CN"/>
        </w:rPr>
        <w:t>8、</w:t>
      </w:r>
      <w:r>
        <w:rPr>
          <w:rFonts w:hint="eastAsia" w:ascii="宋体" w:hAnsi="宋体"/>
          <w:sz w:val="24"/>
          <w:szCs w:val="24"/>
        </w:rPr>
        <w:t>供应商响应产品需要提供技术参数如下，</w:t>
      </w:r>
    </w:p>
    <w:p>
      <w:pPr>
        <w:pStyle w:val="9"/>
        <w:numPr>
          <w:ilvl w:val="0"/>
          <w:numId w:val="0"/>
        </w:numPr>
        <w:ind w:firstLine="480"/>
        <w:rPr>
          <w:rFonts w:hint="default" w:ascii="仿宋" w:hAnsi="仿宋" w:eastAsia="仿宋"/>
          <w:bCs/>
          <w:sz w:val="24"/>
          <w:szCs w:val="24"/>
          <w:lang w:val="en-US" w:eastAsia="zh-CN"/>
        </w:rPr>
      </w:pPr>
      <w:r>
        <w:rPr>
          <w:rFonts w:hint="eastAsia" w:ascii="仿宋" w:hAnsi="仿宋" w:eastAsia="仿宋"/>
          <w:bCs/>
          <w:sz w:val="24"/>
          <w:szCs w:val="24"/>
          <w:lang w:val="en-US" w:eastAsia="zh-CN"/>
        </w:rPr>
        <w:t>第1-45包按下表填写</w:t>
      </w:r>
    </w:p>
    <w:tbl>
      <w:tblPr>
        <w:tblStyle w:val="10"/>
        <w:tblW w:w="8411" w:type="dxa"/>
        <w:jc w:val="center"/>
        <w:tblLayout w:type="fixed"/>
        <w:tblCellMar>
          <w:top w:w="0" w:type="dxa"/>
          <w:left w:w="108" w:type="dxa"/>
          <w:bottom w:w="0" w:type="dxa"/>
          <w:right w:w="108" w:type="dxa"/>
        </w:tblCellMar>
      </w:tblPr>
      <w:tblGrid>
        <w:gridCol w:w="1252"/>
        <w:gridCol w:w="2741"/>
        <w:gridCol w:w="4418"/>
      </w:tblGrid>
      <w:tr>
        <w:tblPrEx>
          <w:tblCellMar>
            <w:top w:w="0" w:type="dxa"/>
            <w:left w:w="108" w:type="dxa"/>
            <w:bottom w:w="0" w:type="dxa"/>
            <w:right w:w="108" w:type="dxa"/>
          </w:tblCellMar>
        </w:tblPrEx>
        <w:trPr>
          <w:trHeight w:val="270" w:hRule="atLeast"/>
          <w:jc w:val="center"/>
        </w:trPr>
        <w:tc>
          <w:tcPr>
            <w:tcW w:w="1252" w:type="dxa"/>
            <w:tcBorders>
              <w:top w:val="single" w:color="auto" w:sz="4" w:space="0"/>
              <w:left w:val="single" w:color="auto" w:sz="4" w:space="0"/>
              <w:bottom w:val="single" w:color="auto" w:sz="4" w:space="0"/>
              <w:right w:val="single" w:color="auto" w:sz="4" w:space="0"/>
            </w:tcBorders>
            <w:noWrap/>
            <w:vAlign w:val="center"/>
          </w:tcPr>
          <w:p>
            <w:pPr>
              <w:widowControl/>
              <w:jc w:val="center"/>
              <w:rPr>
                <w:rFonts w:ascii="宋体" w:hAnsi="宋体" w:cs="宋体"/>
                <w:color w:val="000000"/>
                <w:kern w:val="0"/>
              </w:rPr>
            </w:pPr>
            <w:r>
              <w:rPr>
                <w:rFonts w:hint="eastAsia" w:ascii="宋体" w:hAnsi="宋体" w:cs="宋体"/>
                <w:color w:val="000000"/>
                <w:kern w:val="0"/>
              </w:rPr>
              <w:t>参数类别</w:t>
            </w:r>
          </w:p>
        </w:tc>
        <w:tc>
          <w:tcPr>
            <w:tcW w:w="2741" w:type="dxa"/>
            <w:tcBorders>
              <w:top w:val="single" w:color="auto" w:sz="4" w:space="0"/>
              <w:left w:val="single" w:color="auto" w:sz="4" w:space="0"/>
              <w:bottom w:val="single" w:color="auto" w:sz="4" w:space="0"/>
              <w:right w:val="single" w:color="auto" w:sz="4" w:space="0"/>
            </w:tcBorders>
            <w:noWrap/>
            <w:vAlign w:val="center"/>
          </w:tcPr>
          <w:p>
            <w:pPr>
              <w:widowControl/>
              <w:jc w:val="center"/>
              <w:rPr>
                <w:rFonts w:ascii="宋体" w:hAnsi="宋体" w:cs="宋体"/>
                <w:color w:val="000000"/>
                <w:kern w:val="0"/>
              </w:rPr>
            </w:pPr>
            <w:r>
              <w:rPr>
                <w:rFonts w:hint="eastAsia" w:ascii="宋体" w:hAnsi="宋体" w:cs="宋体"/>
                <w:color w:val="000000"/>
                <w:kern w:val="0"/>
              </w:rPr>
              <w:t>技术参数名称</w:t>
            </w:r>
          </w:p>
        </w:tc>
        <w:tc>
          <w:tcPr>
            <w:tcW w:w="4418"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cs="宋体"/>
                <w:color w:val="000000"/>
                <w:kern w:val="0"/>
                <w:sz w:val="22"/>
              </w:rPr>
            </w:pPr>
            <w:r>
              <w:rPr>
                <w:rFonts w:hint="eastAsia" w:ascii="宋体" w:hAnsi="宋体" w:cs="宋体"/>
                <w:color w:val="000000"/>
                <w:kern w:val="0"/>
                <w:sz w:val="22"/>
              </w:rPr>
              <w:t>响应要求</w:t>
            </w:r>
          </w:p>
        </w:tc>
      </w:tr>
      <w:tr>
        <w:tblPrEx>
          <w:tblCellMar>
            <w:top w:w="0" w:type="dxa"/>
            <w:left w:w="108" w:type="dxa"/>
            <w:bottom w:w="0" w:type="dxa"/>
            <w:right w:w="108" w:type="dxa"/>
          </w:tblCellMar>
        </w:tblPrEx>
        <w:trPr>
          <w:trHeight w:val="285" w:hRule="atLeast"/>
          <w:jc w:val="center"/>
        </w:trPr>
        <w:tc>
          <w:tcPr>
            <w:tcW w:w="1252" w:type="dxa"/>
            <w:vMerge w:val="restart"/>
            <w:tcBorders>
              <w:top w:val="nil"/>
              <w:left w:val="single" w:color="auto" w:sz="4" w:space="0"/>
              <w:right w:val="single" w:color="auto" w:sz="4" w:space="0"/>
            </w:tcBorders>
            <w:noWrap/>
            <w:vAlign w:val="center"/>
          </w:tcPr>
          <w:p>
            <w:pPr>
              <w:widowControl/>
              <w:rPr>
                <w:rFonts w:ascii="宋体" w:hAnsi="宋体" w:cs="宋体"/>
                <w:color w:val="000000"/>
                <w:kern w:val="0"/>
              </w:rPr>
            </w:pPr>
            <w:r>
              <w:rPr>
                <w:rFonts w:hint="eastAsia" w:ascii="宋体" w:hAnsi="宋体" w:cs="宋体"/>
                <w:color w:val="000000"/>
                <w:kern w:val="0"/>
              </w:rPr>
              <w:t>基本参数</w:t>
            </w:r>
          </w:p>
        </w:tc>
        <w:tc>
          <w:tcPr>
            <w:tcW w:w="2741" w:type="dxa"/>
            <w:tcBorders>
              <w:top w:val="nil"/>
              <w:left w:val="single" w:color="auto" w:sz="4" w:space="0"/>
              <w:bottom w:val="single" w:color="auto" w:sz="4" w:space="0"/>
              <w:right w:val="single" w:color="auto" w:sz="4" w:space="0"/>
            </w:tcBorders>
            <w:noWrap/>
            <w:vAlign w:val="center"/>
          </w:tcPr>
          <w:p>
            <w:pPr>
              <w:widowControl/>
              <w:rPr>
                <w:rFonts w:hint="default" w:ascii="宋体" w:hAnsi="宋体" w:cs="宋体" w:eastAsiaTheme="minorEastAsia"/>
                <w:color w:val="000000"/>
                <w:kern w:val="0"/>
                <w:lang w:val="en-US" w:eastAsia="zh-CN"/>
              </w:rPr>
            </w:pPr>
            <w:r>
              <w:rPr>
                <w:rFonts w:hint="eastAsia" w:ascii="宋体" w:hAnsi="宋体" w:cs="宋体"/>
                <w:color w:val="000000"/>
                <w:kern w:val="0"/>
                <w:lang w:val="en-US" w:eastAsia="zh-CN"/>
              </w:rPr>
              <w:t>型号</w:t>
            </w:r>
          </w:p>
        </w:tc>
        <w:tc>
          <w:tcPr>
            <w:tcW w:w="4418" w:type="dxa"/>
            <w:tcBorders>
              <w:top w:val="nil"/>
              <w:left w:val="nil"/>
              <w:bottom w:val="single" w:color="auto" w:sz="4" w:space="0"/>
              <w:right w:val="single" w:color="auto" w:sz="4" w:space="0"/>
            </w:tcBorders>
            <w:noWrap/>
            <w:vAlign w:val="center"/>
          </w:tcPr>
          <w:p>
            <w:pPr>
              <w:widowControl/>
              <w:rPr>
                <w:rFonts w:cs="宋体"/>
                <w:i/>
                <w:iCs/>
                <w:color w:val="000000"/>
                <w:kern w:val="0"/>
                <w:u w:val="single"/>
              </w:rPr>
            </w:pPr>
            <w:r>
              <w:rPr>
                <w:rFonts w:hint="eastAsia" w:ascii="宋体" w:hAnsi="宋体" w:cs="宋体"/>
                <w:color w:val="000000"/>
                <w:kern w:val="0"/>
                <w:sz w:val="22"/>
              </w:rPr>
              <w:t>根据所响应的车型情况填报</w:t>
            </w:r>
          </w:p>
        </w:tc>
      </w:tr>
      <w:tr>
        <w:tblPrEx>
          <w:tblCellMar>
            <w:top w:w="0" w:type="dxa"/>
            <w:left w:w="108" w:type="dxa"/>
            <w:bottom w:w="0" w:type="dxa"/>
            <w:right w:w="108" w:type="dxa"/>
          </w:tblCellMar>
        </w:tblPrEx>
        <w:trPr>
          <w:trHeight w:val="285" w:hRule="atLeast"/>
          <w:jc w:val="center"/>
        </w:trPr>
        <w:tc>
          <w:tcPr>
            <w:tcW w:w="1252" w:type="dxa"/>
            <w:vMerge w:val="continue"/>
            <w:tcBorders>
              <w:left w:val="single" w:color="auto" w:sz="4" w:space="0"/>
              <w:right w:val="single" w:color="auto" w:sz="4" w:space="0"/>
            </w:tcBorders>
            <w:noWrap/>
            <w:vAlign w:val="center"/>
          </w:tcPr>
          <w:p>
            <w:pPr>
              <w:widowControl/>
              <w:rPr>
                <w:rFonts w:hint="eastAsia" w:ascii="宋体" w:hAnsi="宋体" w:cs="宋体"/>
                <w:color w:val="000000"/>
                <w:kern w:val="0"/>
              </w:rPr>
            </w:pPr>
          </w:p>
        </w:tc>
        <w:tc>
          <w:tcPr>
            <w:tcW w:w="2741" w:type="dxa"/>
            <w:tcBorders>
              <w:top w:val="nil"/>
              <w:left w:val="single" w:color="auto" w:sz="4" w:space="0"/>
              <w:bottom w:val="single" w:color="auto" w:sz="4" w:space="0"/>
              <w:right w:val="single" w:color="auto" w:sz="4" w:space="0"/>
            </w:tcBorders>
            <w:noWrap/>
            <w:vAlign w:val="center"/>
          </w:tcPr>
          <w:p>
            <w:pPr>
              <w:widowControl/>
              <w:rPr>
                <w:rFonts w:hint="eastAsia" w:ascii="宋体" w:hAnsi="宋体" w:cs="宋体" w:eastAsiaTheme="minorEastAsia"/>
                <w:color w:val="000000"/>
                <w:kern w:val="0"/>
                <w:sz w:val="21"/>
                <w:szCs w:val="22"/>
                <w:lang w:val="en-US" w:eastAsia="zh-CN" w:bidi="ar-SA"/>
              </w:rPr>
            </w:pPr>
            <w:r>
              <w:rPr>
                <w:rFonts w:hint="eastAsia" w:ascii="宋体" w:hAnsi="宋体" w:cs="宋体"/>
                <w:color w:val="000000"/>
                <w:kern w:val="0"/>
              </w:rPr>
              <w:t>车身级别</w:t>
            </w:r>
          </w:p>
        </w:tc>
        <w:tc>
          <w:tcPr>
            <w:tcW w:w="4418" w:type="dxa"/>
            <w:tcBorders>
              <w:top w:val="nil"/>
              <w:left w:val="nil"/>
              <w:bottom w:val="single" w:color="auto" w:sz="4" w:space="0"/>
              <w:right w:val="single" w:color="auto" w:sz="4" w:space="0"/>
            </w:tcBorders>
            <w:noWrap/>
            <w:vAlign w:val="center"/>
          </w:tcPr>
          <w:p>
            <w:pPr>
              <w:widowControl/>
              <w:rPr>
                <w:rFonts w:hint="eastAsia" w:cs="宋体" w:asciiTheme="minorHAnsi" w:hAnsiTheme="minorHAnsi" w:eastAsiaTheme="minorEastAsia"/>
                <w:i/>
                <w:iCs/>
                <w:color w:val="000000"/>
                <w:kern w:val="0"/>
                <w:sz w:val="21"/>
                <w:szCs w:val="22"/>
                <w:u w:val="single"/>
                <w:lang w:val="en-US" w:eastAsia="zh-CN" w:bidi="ar-SA"/>
              </w:rPr>
            </w:pPr>
            <w:r>
              <w:rPr>
                <w:rFonts w:hint="eastAsia" w:ascii="宋体" w:hAnsi="宋体" w:cs="宋体"/>
                <w:color w:val="000000"/>
                <w:kern w:val="0"/>
                <w:sz w:val="22"/>
              </w:rPr>
              <w:t>根据所响应的车型情况填报</w:t>
            </w:r>
          </w:p>
        </w:tc>
      </w:tr>
      <w:tr>
        <w:tblPrEx>
          <w:tblCellMar>
            <w:top w:w="0" w:type="dxa"/>
            <w:left w:w="108" w:type="dxa"/>
            <w:bottom w:w="0" w:type="dxa"/>
            <w:right w:w="108" w:type="dxa"/>
          </w:tblCellMar>
        </w:tblPrEx>
        <w:trPr>
          <w:trHeight w:val="285" w:hRule="atLeast"/>
          <w:jc w:val="center"/>
        </w:trPr>
        <w:tc>
          <w:tcPr>
            <w:tcW w:w="1252" w:type="dxa"/>
            <w:vMerge w:val="continue"/>
            <w:tcBorders>
              <w:left w:val="single" w:color="auto" w:sz="4" w:space="0"/>
              <w:right w:val="single" w:color="auto" w:sz="4" w:space="0"/>
            </w:tcBorders>
            <w:noWrap/>
            <w:vAlign w:val="center"/>
          </w:tcPr>
          <w:p>
            <w:pPr>
              <w:widowControl/>
              <w:rPr>
                <w:rFonts w:ascii="宋体" w:hAnsi="宋体" w:cs="宋体"/>
                <w:color w:val="000000"/>
                <w:kern w:val="0"/>
              </w:rPr>
            </w:pPr>
          </w:p>
        </w:tc>
        <w:tc>
          <w:tcPr>
            <w:tcW w:w="2741" w:type="dxa"/>
            <w:tcBorders>
              <w:top w:val="nil"/>
              <w:left w:val="single" w:color="auto" w:sz="4" w:space="0"/>
              <w:bottom w:val="single" w:color="auto" w:sz="4" w:space="0"/>
              <w:right w:val="single" w:color="auto" w:sz="4" w:space="0"/>
            </w:tcBorders>
            <w:noWrap/>
            <w:vAlign w:val="center"/>
          </w:tcPr>
          <w:p>
            <w:pPr>
              <w:widowControl/>
              <w:rPr>
                <w:rFonts w:ascii="宋体" w:hAnsi="宋体" w:cs="宋体"/>
                <w:color w:val="000000"/>
                <w:kern w:val="0"/>
              </w:rPr>
            </w:pPr>
            <w:r>
              <w:rPr>
                <w:rFonts w:hint="eastAsia" w:ascii="宋体" w:hAnsi="宋体" w:cs="宋体"/>
                <w:color w:val="000000"/>
                <w:kern w:val="0"/>
              </w:rPr>
              <w:t>长</w:t>
            </w:r>
            <w:r>
              <w:rPr>
                <w:rFonts w:cs="宋体"/>
                <w:color w:val="000000"/>
                <w:kern w:val="0"/>
              </w:rPr>
              <w:t>*</w:t>
            </w:r>
            <w:r>
              <w:rPr>
                <w:rFonts w:hint="eastAsia" w:ascii="宋体" w:hAnsi="宋体" w:cs="宋体"/>
                <w:color w:val="000000"/>
                <w:kern w:val="0"/>
              </w:rPr>
              <w:t>宽</w:t>
            </w:r>
            <w:r>
              <w:rPr>
                <w:rFonts w:cs="宋体"/>
                <w:color w:val="000000"/>
                <w:kern w:val="0"/>
              </w:rPr>
              <w:t>*</w:t>
            </w:r>
            <w:r>
              <w:rPr>
                <w:rFonts w:hint="eastAsia" w:ascii="宋体" w:hAnsi="宋体" w:cs="宋体"/>
                <w:color w:val="000000"/>
                <w:kern w:val="0"/>
              </w:rPr>
              <w:t>高</w:t>
            </w:r>
            <w:r>
              <w:rPr>
                <w:rFonts w:cs="宋体"/>
                <w:color w:val="000000"/>
                <w:kern w:val="0"/>
              </w:rPr>
              <w:t>(mm)</w:t>
            </w:r>
          </w:p>
        </w:tc>
        <w:tc>
          <w:tcPr>
            <w:tcW w:w="4418" w:type="dxa"/>
            <w:tcBorders>
              <w:top w:val="nil"/>
              <w:left w:val="nil"/>
              <w:bottom w:val="single" w:color="auto" w:sz="4" w:space="0"/>
              <w:right w:val="single" w:color="auto" w:sz="4" w:space="0"/>
            </w:tcBorders>
            <w:noWrap/>
            <w:vAlign w:val="center"/>
          </w:tcPr>
          <w:p>
            <w:pPr>
              <w:widowControl/>
              <w:rPr>
                <w:rFonts w:cs="宋体"/>
                <w:color w:val="000000"/>
                <w:kern w:val="0"/>
              </w:rPr>
            </w:pPr>
            <w:r>
              <w:rPr>
                <w:rFonts w:hint="eastAsia" w:ascii="宋体" w:hAnsi="宋体" w:cs="宋体"/>
                <w:color w:val="000000"/>
                <w:kern w:val="0"/>
                <w:sz w:val="22"/>
              </w:rPr>
              <w:t>根据所响应的车型情况填报</w:t>
            </w:r>
          </w:p>
        </w:tc>
      </w:tr>
      <w:tr>
        <w:tblPrEx>
          <w:tblCellMar>
            <w:top w:w="0" w:type="dxa"/>
            <w:left w:w="108" w:type="dxa"/>
            <w:bottom w:w="0" w:type="dxa"/>
            <w:right w:w="108" w:type="dxa"/>
          </w:tblCellMar>
        </w:tblPrEx>
        <w:trPr>
          <w:trHeight w:val="301" w:hRule="atLeast"/>
          <w:jc w:val="center"/>
        </w:trPr>
        <w:tc>
          <w:tcPr>
            <w:tcW w:w="1252" w:type="dxa"/>
            <w:vMerge w:val="continue"/>
            <w:tcBorders>
              <w:left w:val="single" w:color="auto" w:sz="4" w:space="0"/>
              <w:right w:val="single" w:color="auto" w:sz="4" w:space="0"/>
            </w:tcBorders>
            <w:noWrap/>
            <w:vAlign w:val="center"/>
          </w:tcPr>
          <w:p>
            <w:pPr>
              <w:widowControl/>
              <w:rPr>
                <w:rFonts w:ascii="宋体" w:hAnsi="宋体" w:cs="宋体"/>
                <w:i/>
                <w:iCs/>
                <w:color w:val="000000"/>
                <w:kern w:val="0"/>
                <w:u w:val="single"/>
              </w:rPr>
            </w:pPr>
          </w:p>
        </w:tc>
        <w:tc>
          <w:tcPr>
            <w:tcW w:w="2741" w:type="dxa"/>
            <w:tcBorders>
              <w:top w:val="nil"/>
              <w:left w:val="single" w:color="auto" w:sz="4" w:space="0"/>
              <w:bottom w:val="single" w:color="auto" w:sz="4" w:space="0"/>
              <w:right w:val="single" w:color="auto" w:sz="4" w:space="0"/>
            </w:tcBorders>
            <w:noWrap/>
            <w:vAlign w:val="center"/>
          </w:tcPr>
          <w:p>
            <w:pPr>
              <w:widowControl/>
              <w:rPr>
                <w:rFonts w:hint="eastAsia" w:ascii="宋体" w:hAnsi="宋体" w:cs="宋体" w:eastAsiaTheme="minorEastAsia"/>
                <w:i/>
                <w:iCs/>
                <w:color w:val="000000"/>
                <w:kern w:val="0"/>
                <w:u w:val="single"/>
                <w:lang w:eastAsia="zh-CN"/>
              </w:rPr>
            </w:pPr>
            <w:r>
              <w:rPr>
                <w:rFonts w:hint="eastAsia" w:ascii="宋体" w:hAnsi="宋体" w:cs="宋体"/>
                <w:i/>
                <w:iCs/>
                <w:color w:val="000000"/>
                <w:kern w:val="0"/>
                <w:u w:val="single"/>
              </w:rPr>
              <w:t>能源</w:t>
            </w:r>
            <w:r>
              <w:rPr>
                <w:rFonts w:hint="eastAsia" w:ascii="宋体" w:hAnsi="宋体" w:cs="宋体"/>
                <w:i/>
                <w:iCs/>
                <w:color w:val="000000"/>
                <w:kern w:val="0"/>
                <w:u w:val="single"/>
                <w:lang w:val="en-US" w:eastAsia="zh-CN"/>
              </w:rPr>
              <w:t>形式</w:t>
            </w:r>
          </w:p>
        </w:tc>
        <w:tc>
          <w:tcPr>
            <w:tcW w:w="4418" w:type="dxa"/>
            <w:tcBorders>
              <w:top w:val="nil"/>
              <w:left w:val="nil"/>
              <w:bottom w:val="single" w:color="auto" w:sz="4" w:space="0"/>
              <w:right w:val="single" w:color="auto" w:sz="4" w:space="0"/>
            </w:tcBorders>
            <w:noWrap/>
            <w:vAlign w:val="center"/>
          </w:tcPr>
          <w:p>
            <w:pPr>
              <w:widowControl/>
              <w:rPr>
                <w:rFonts w:ascii="宋体" w:hAnsi="宋体" w:cs="宋体"/>
                <w:i/>
                <w:iCs/>
                <w:color w:val="000000"/>
                <w:kern w:val="0"/>
                <w:u w:val="single"/>
              </w:rPr>
            </w:pPr>
            <w:r>
              <w:rPr>
                <w:rFonts w:hint="eastAsia" w:cs="宋体"/>
                <w:i/>
                <w:iCs/>
                <w:color w:val="000000"/>
                <w:kern w:val="0"/>
                <w:u w:val="single"/>
              </w:rPr>
              <w:t>满足各分包要求</w:t>
            </w:r>
          </w:p>
        </w:tc>
      </w:tr>
      <w:tr>
        <w:tblPrEx>
          <w:tblCellMar>
            <w:top w:w="0" w:type="dxa"/>
            <w:left w:w="108" w:type="dxa"/>
            <w:bottom w:w="0" w:type="dxa"/>
            <w:right w:w="108" w:type="dxa"/>
          </w:tblCellMar>
        </w:tblPrEx>
        <w:trPr>
          <w:trHeight w:val="90" w:hRule="atLeast"/>
          <w:jc w:val="center"/>
        </w:trPr>
        <w:tc>
          <w:tcPr>
            <w:tcW w:w="1252" w:type="dxa"/>
            <w:vMerge w:val="continue"/>
            <w:tcBorders>
              <w:left w:val="single" w:color="auto" w:sz="4" w:space="0"/>
              <w:right w:val="single" w:color="auto" w:sz="4" w:space="0"/>
            </w:tcBorders>
            <w:noWrap/>
            <w:vAlign w:val="center"/>
          </w:tcPr>
          <w:p>
            <w:pPr>
              <w:widowControl/>
              <w:rPr>
                <w:rFonts w:ascii="宋体" w:hAnsi="宋体" w:cs="宋体"/>
                <w:color w:val="000000"/>
                <w:kern w:val="0"/>
              </w:rPr>
            </w:pPr>
          </w:p>
        </w:tc>
        <w:tc>
          <w:tcPr>
            <w:tcW w:w="2741" w:type="dxa"/>
            <w:tcBorders>
              <w:top w:val="nil"/>
              <w:left w:val="single" w:color="auto" w:sz="4" w:space="0"/>
              <w:bottom w:val="single" w:color="auto" w:sz="4" w:space="0"/>
              <w:right w:val="single" w:color="auto" w:sz="4" w:space="0"/>
            </w:tcBorders>
            <w:noWrap/>
            <w:vAlign w:val="center"/>
          </w:tcPr>
          <w:p>
            <w:pPr>
              <w:widowControl/>
              <w:rPr>
                <w:rFonts w:ascii="宋体" w:hAnsi="宋体" w:cs="宋体"/>
                <w:color w:val="000000"/>
                <w:kern w:val="0"/>
              </w:rPr>
            </w:pPr>
            <w:r>
              <w:rPr>
                <w:rFonts w:hint="eastAsia" w:ascii="宋体" w:hAnsi="宋体" w:cs="宋体"/>
                <w:color w:val="000000"/>
                <w:kern w:val="0"/>
              </w:rPr>
              <w:t>轴距</w:t>
            </w:r>
            <w:r>
              <w:rPr>
                <w:rFonts w:cs="宋体"/>
                <w:color w:val="000000"/>
                <w:kern w:val="0"/>
              </w:rPr>
              <w:t>(mm)</w:t>
            </w:r>
          </w:p>
        </w:tc>
        <w:tc>
          <w:tcPr>
            <w:tcW w:w="4418" w:type="dxa"/>
            <w:tcBorders>
              <w:top w:val="nil"/>
              <w:left w:val="nil"/>
              <w:bottom w:val="single" w:color="auto" w:sz="4" w:space="0"/>
              <w:right w:val="single" w:color="auto" w:sz="4" w:space="0"/>
            </w:tcBorders>
            <w:noWrap/>
            <w:vAlign w:val="center"/>
          </w:tcPr>
          <w:p>
            <w:pPr>
              <w:widowControl/>
              <w:rPr>
                <w:rFonts w:cs="宋体"/>
                <w:i/>
                <w:iCs/>
                <w:color w:val="000000"/>
                <w:kern w:val="0"/>
                <w:u w:val="single"/>
              </w:rPr>
            </w:pPr>
            <w:r>
              <w:rPr>
                <w:rFonts w:hint="eastAsia" w:ascii="宋体" w:hAnsi="宋体" w:cs="宋体"/>
                <w:color w:val="000000"/>
                <w:kern w:val="0"/>
                <w:sz w:val="22"/>
              </w:rPr>
              <w:t>根据所响应的车型情况填报</w:t>
            </w:r>
          </w:p>
        </w:tc>
      </w:tr>
      <w:tr>
        <w:tblPrEx>
          <w:tblCellMar>
            <w:top w:w="0" w:type="dxa"/>
            <w:left w:w="108" w:type="dxa"/>
            <w:bottom w:w="0" w:type="dxa"/>
            <w:right w:w="108" w:type="dxa"/>
          </w:tblCellMar>
        </w:tblPrEx>
        <w:trPr>
          <w:trHeight w:val="285" w:hRule="atLeast"/>
          <w:jc w:val="center"/>
        </w:trPr>
        <w:tc>
          <w:tcPr>
            <w:tcW w:w="1252" w:type="dxa"/>
            <w:vMerge w:val="continue"/>
            <w:tcBorders>
              <w:left w:val="single" w:color="auto" w:sz="4" w:space="0"/>
              <w:right w:val="single" w:color="auto" w:sz="4" w:space="0"/>
            </w:tcBorders>
            <w:noWrap/>
            <w:vAlign w:val="center"/>
          </w:tcPr>
          <w:p>
            <w:pPr>
              <w:widowControl/>
              <w:rPr>
                <w:rFonts w:ascii="宋体" w:hAnsi="宋体" w:cs="宋体"/>
                <w:color w:val="000000"/>
                <w:kern w:val="0"/>
              </w:rPr>
            </w:pPr>
          </w:p>
        </w:tc>
        <w:tc>
          <w:tcPr>
            <w:tcW w:w="2741" w:type="dxa"/>
            <w:tcBorders>
              <w:top w:val="nil"/>
              <w:left w:val="single" w:color="auto" w:sz="4" w:space="0"/>
              <w:bottom w:val="single" w:color="auto" w:sz="4" w:space="0"/>
              <w:right w:val="single" w:color="auto" w:sz="4" w:space="0"/>
            </w:tcBorders>
            <w:noWrap/>
            <w:vAlign w:val="center"/>
          </w:tcPr>
          <w:p>
            <w:pPr>
              <w:widowControl/>
              <w:rPr>
                <w:rFonts w:ascii="宋体" w:hAnsi="宋体" w:cs="宋体"/>
                <w:color w:val="000000"/>
                <w:kern w:val="0"/>
              </w:rPr>
            </w:pPr>
            <w:r>
              <w:rPr>
                <w:rFonts w:hint="eastAsia" w:ascii="宋体" w:hAnsi="宋体" w:cs="宋体"/>
                <w:color w:val="000000"/>
                <w:kern w:val="0"/>
              </w:rPr>
              <w:t>车门数</w:t>
            </w:r>
            <w:r>
              <w:rPr>
                <w:rFonts w:cs="宋体"/>
                <w:color w:val="000000"/>
                <w:kern w:val="0"/>
              </w:rPr>
              <w:t>(</w:t>
            </w:r>
            <w:r>
              <w:rPr>
                <w:rFonts w:hint="eastAsia" w:ascii="宋体" w:hAnsi="宋体" w:cs="宋体"/>
                <w:color w:val="000000"/>
                <w:kern w:val="0"/>
              </w:rPr>
              <w:t>个</w:t>
            </w:r>
            <w:r>
              <w:rPr>
                <w:rFonts w:cs="宋体"/>
                <w:color w:val="000000"/>
                <w:kern w:val="0"/>
              </w:rPr>
              <w:t>)</w:t>
            </w:r>
          </w:p>
        </w:tc>
        <w:tc>
          <w:tcPr>
            <w:tcW w:w="4418" w:type="dxa"/>
            <w:tcBorders>
              <w:top w:val="nil"/>
              <w:left w:val="nil"/>
              <w:bottom w:val="single" w:color="auto" w:sz="4" w:space="0"/>
              <w:right w:val="single" w:color="auto" w:sz="4" w:space="0"/>
            </w:tcBorders>
            <w:noWrap/>
            <w:vAlign w:val="center"/>
          </w:tcPr>
          <w:p>
            <w:pPr>
              <w:widowControl/>
              <w:rPr>
                <w:rFonts w:cs="宋体"/>
                <w:color w:val="000000"/>
                <w:kern w:val="0"/>
              </w:rPr>
            </w:pPr>
            <w:r>
              <w:rPr>
                <w:rFonts w:hint="eastAsia" w:ascii="宋体" w:hAnsi="宋体" w:cs="宋体"/>
                <w:color w:val="000000"/>
                <w:kern w:val="0"/>
                <w:sz w:val="22"/>
              </w:rPr>
              <w:t>根据所响应的车型情况填报</w:t>
            </w:r>
          </w:p>
        </w:tc>
      </w:tr>
      <w:tr>
        <w:tblPrEx>
          <w:tblCellMar>
            <w:top w:w="0" w:type="dxa"/>
            <w:left w:w="108" w:type="dxa"/>
            <w:bottom w:w="0" w:type="dxa"/>
            <w:right w:w="108" w:type="dxa"/>
          </w:tblCellMar>
        </w:tblPrEx>
        <w:trPr>
          <w:trHeight w:val="285" w:hRule="atLeast"/>
          <w:jc w:val="center"/>
        </w:trPr>
        <w:tc>
          <w:tcPr>
            <w:tcW w:w="1252" w:type="dxa"/>
            <w:vMerge w:val="continue"/>
            <w:tcBorders>
              <w:left w:val="single" w:color="auto" w:sz="4" w:space="0"/>
              <w:right w:val="single" w:color="auto" w:sz="4" w:space="0"/>
            </w:tcBorders>
            <w:noWrap/>
            <w:vAlign w:val="center"/>
          </w:tcPr>
          <w:p>
            <w:pPr>
              <w:widowControl/>
              <w:rPr>
                <w:rFonts w:ascii="宋体" w:hAnsi="宋体" w:cs="宋体"/>
                <w:color w:val="000000"/>
                <w:kern w:val="0"/>
              </w:rPr>
            </w:pPr>
          </w:p>
        </w:tc>
        <w:tc>
          <w:tcPr>
            <w:tcW w:w="2741" w:type="dxa"/>
            <w:tcBorders>
              <w:top w:val="nil"/>
              <w:left w:val="single" w:color="auto" w:sz="4" w:space="0"/>
              <w:bottom w:val="single" w:color="auto" w:sz="4" w:space="0"/>
              <w:right w:val="single" w:color="auto" w:sz="4" w:space="0"/>
            </w:tcBorders>
            <w:noWrap/>
            <w:vAlign w:val="center"/>
          </w:tcPr>
          <w:p>
            <w:pPr>
              <w:widowControl/>
              <w:rPr>
                <w:rFonts w:hint="eastAsia" w:ascii="宋体" w:hAnsi="宋体" w:cs="宋体" w:eastAsiaTheme="minorEastAsia"/>
                <w:color w:val="000000"/>
                <w:kern w:val="0"/>
                <w:sz w:val="21"/>
                <w:szCs w:val="22"/>
                <w:lang w:val="en-US" w:eastAsia="zh-CN" w:bidi="ar-SA"/>
              </w:rPr>
            </w:pPr>
            <w:r>
              <w:rPr>
                <w:rFonts w:hint="eastAsia" w:ascii="宋体" w:hAnsi="宋体" w:cs="宋体"/>
                <w:color w:val="000000"/>
                <w:kern w:val="0"/>
              </w:rPr>
              <w:t>座位数</w:t>
            </w:r>
            <w:r>
              <w:rPr>
                <w:rFonts w:cs="宋体"/>
                <w:color w:val="000000"/>
                <w:kern w:val="0"/>
              </w:rPr>
              <w:t>(</w:t>
            </w:r>
            <w:r>
              <w:rPr>
                <w:rFonts w:hint="eastAsia" w:ascii="宋体" w:hAnsi="宋体" w:cs="宋体"/>
                <w:color w:val="000000"/>
                <w:kern w:val="0"/>
              </w:rPr>
              <w:t>个</w:t>
            </w:r>
            <w:r>
              <w:rPr>
                <w:rFonts w:cs="宋体"/>
                <w:color w:val="000000"/>
                <w:kern w:val="0"/>
              </w:rPr>
              <w:t>)</w:t>
            </w:r>
          </w:p>
        </w:tc>
        <w:tc>
          <w:tcPr>
            <w:tcW w:w="4418" w:type="dxa"/>
            <w:tcBorders>
              <w:top w:val="nil"/>
              <w:left w:val="nil"/>
              <w:bottom w:val="single" w:color="auto" w:sz="4" w:space="0"/>
              <w:right w:val="single" w:color="auto" w:sz="4" w:space="0"/>
            </w:tcBorders>
            <w:noWrap/>
            <w:vAlign w:val="center"/>
          </w:tcPr>
          <w:p>
            <w:pPr>
              <w:widowControl/>
              <w:rPr>
                <w:rFonts w:hint="eastAsia" w:cs="宋体" w:asciiTheme="minorHAnsi" w:hAnsiTheme="minorHAnsi" w:eastAsiaTheme="minorEastAsia"/>
                <w:i/>
                <w:iCs/>
                <w:color w:val="000000"/>
                <w:kern w:val="0"/>
                <w:sz w:val="21"/>
                <w:szCs w:val="22"/>
                <w:u w:val="single"/>
                <w:lang w:val="en-US" w:eastAsia="zh-CN" w:bidi="ar-SA"/>
              </w:rPr>
            </w:pPr>
            <w:r>
              <w:rPr>
                <w:rFonts w:hint="eastAsia" w:cs="宋体"/>
                <w:i/>
                <w:iCs/>
                <w:color w:val="000000"/>
                <w:kern w:val="0"/>
                <w:u w:val="single"/>
              </w:rPr>
              <w:t>满足各分包要求</w:t>
            </w:r>
          </w:p>
        </w:tc>
      </w:tr>
      <w:tr>
        <w:tblPrEx>
          <w:tblCellMar>
            <w:top w:w="0" w:type="dxa"/>
            <w:left w:w="108" w:type="dxa"/>
            <w:bottom w:w="0" w:type="dxa"/>
            <w:right w:w="108" w:type="dxa"/>
          </w:tblCellMar>
        </w:tblPrEx>
        <w:trPr>
          <w:trHeight w:val="285" w:hRule="atLeast"/>
          <w:jc w:val="center"/>
        </w:trPr>
        <w:tc>
          <w:tcPr>
            <w:tcW w:w="1252" w:type="dxa"/>
            <w:vMerge w:val="restart"/>
            <w:tcBorders>
              <w:top w:val="nil"/>
              <w:left w:val="single" w:color="auto" w:sz="4" w:space="0"/>
              <w:right w:val="single" w:color="auto" w:sz="4" w:space="0"/>
            </w:tcBorders>
            <w:noWrap/>
            <w:vAlign w:val="center"/>
          </w:tcPr>
          <w:p>
            <w:pPr>
              <w:widowControl/>
              <w:rPr>
                <w:rFonts w:hint="default" w:ascii="宋体" w:hAnsi="宋体" w:cs="宋体" w:eastAsiaTheme="minorEastAsia"/>
                <w:color w:val="000000"/>
                <w:kern w:val="0"/>
                <w:lang w:val="en-US" w:eastAsia="zh-CN"/>
              </w:rPr>
            </w:pPr>
            <w:r>
              <w:rPr>
                <w:rFonts w:hint="eastAsia" w:ascii="宋体" w:hAnsi="宋体" w:cs="宋体"/>
                <w:color w:val="000000"/>
                <w:kern w:val="0"/>
                <w:lang w:val="en-US" w:eastAsia="zh-CN"/>
              </w:rPr>
              <w:t>发动机</w:t>
            </w:r>
          </w:p>
          <w:p>
            <w:pPr>
              <w:widowControl/>
              <w:rPr>
                <w:rFonts w:hint="eastAsia" w:ascii="宋体" w:hAnsi="宋体" w:cs="宋体"/>
                <w:color w:val="000000"/>
                <w:kern w:val="0"/>
              </w:rPr>
            </w:pPr>
          </w:p>
          <w:p>
            <w:pPr>
              <w:widowControl/>
              <w:rPr>
                <w:rFonts w:cs="宋体"/>
                <w:color w:val="000000"/>
                <w:kern w:val="0"/>
              </w:rPr>
            </w:pPr>
          </w:p>
        </w:tc>
        <w:tc>
          <w:tcPr>
            <w:tcW w:w="2741" w:type="dxa"/>
            <w:tcBorders>
              <w:top w:val="nil"/>
              <w:left w:val="single" w:color="auto" w:sz="4" w:space="0"/>
              <w:bottom w:val="single" w:color="auto" w:sz="4" w:space="0"/>
              <w:right w:val="single" w:color="auto" w:sz="4" w:space="0"/>
            </w:tcBorders>
            <w:noWrap/>
            <w:vAlign w:val="center"/>
          </w:tcPr>
          <w:p>
            <w:pPr>
              <w:widowControl/>
              <w:rPr>
                <w:rFonts w:hint="eastAsia" w:cs="宋体" w:eastAsiaTheme="minorEastAsia"/>
                <w:color w:val="000000"/>
                <w:kern w:val="0"/>
                <w:lang w:eastAsia="zh-CN"/>
              </w:rPr>
            </w:pPr>
            <w:r>
              <w:rPr>
                <w:rFonts w:hint="eastAsia" w:cs="宋体"/>
                <w:color w:val="000000"/>
                <w:kern w:val="0"/>
                <w:lang w:val="en-US" w:eastAsia="zh-CN"/>
              </w:rPr>
              <w:t>排量</w:t>
            </w:r>
          </w:p>
        </w:tc>
        <w:tc>
          <w:tcPr>
            <w:tcW w:w="4418" w:type="dxa"/>
            <w:tcBorders>
              <w:top w:val="nil"/>
              <w:left w:val="nil"/>
              <w:bottom w:val="single" w:color="auto" w:sz="4" w:space="0"/>
              <w:right w:val="single" w:color="auto" w:sz="4" w:space="0"/>
            </w:tcBorders>
            <w:noWrap/>
            <w:vAlign w:val="center"/>
          </w:tcPr>
          <w:p>
            <w:pPr>
              <w:widowControl/>
              <w:rPr>
                <w:rFonts w:cs="宋体"/>
                <w:i/>
                <w:iCs/>
                <w:color w:val="000000"/>
                <w:kern w:val="0"/>
                <w:u w:val="single"/>
              </w:rPr>
            </w:pPr>
            <w:r>
              <w:rPr>
                <w:rFonts w:hint="eastAsia" w:cs="宋体"/>
                <w:i/>
                <w:iCs/>
                <w:color w:val="000000"/>
                <w:kern w:val="0"/>
                <w:u w:val="single"/>
              </w:rPr>
              <w:t>满足各分包要求</w:t>
            </w:r>
          </w:p>
        </w:tc>
      </w:tr>
      <w:tr>
        <w:tblPrEx>
          <w:tblCellMar>
            <w:top w:w="0" w:type="dxa"/>
            <w:left w:w="108" w:type="dxa"/>
            <w:bottom w:w="0" w:type="dxa"/>
            <w:right w:w="108" w:type="dxa"/>
          </w:tblCellMar>
        </w:tblPrEx>
        <w:trPr>
          <w:trHeight w:val="285" w:hRule="atLeast"/>
          <w:jc w:val="center"/>
        </w:trPr>
        <w:tc>
          <w:tcPr>
            <w:tcW w:w="1252" w:type="dxa"/>
            <w:vMerge w:val="continue"/>
            <w:tcBorders>
              <w:left w:val="single" w:color="auto" w:sz="4" w:space="0"/>
              <w:right w:val="single" w:color="auto" w:sz="4" w:space="0"/>
            </w:tcBorders>
            <w:noWrap/>
            <w:vAlign w:val="center"/>
          </w:tcPr>
          <w:p>
            <w:pPr>
              <w:widowControl/>
              <w:rPr>
                <w:rFonts w:ascii="宋体" w:hAnsi="宋体" w:cs="宋体"/>
                <w:color w:val="000000"/>
                <w:kern w:val="0"/>
              </w:rPr>
            </w:pPr>
          </w:p>
        </w:tc>
        <w:tc>
          <w:tcPr>
            <w:tcW w:w="2741" w:type="dxa"/>
            <w:tcBorders>
              <w:top w:val="nil"/>
              <w:left w:val="single" w:color="auto" w:sz="4" w:space="0"/>
              <w:bottom w:val="single" w:color="auto" w:sz="4" w:space="0"/>
              <w:right w:val="single" w:color="auto" w:sz="4" w:space="0"/>
            </w:tcBorders>
            <w:noWrap/>
            <w:vAlign w:val="center"/>
          </w:tcPr>
          <w:p>
            <w:pPr>
              <w:widowControl/>
              <w:rPr>
                <w:rFonts w:hint="default" w:ascii="宋体" w:hAnsi="宋体" w:cs="宋体" w:eastAsiaTheme="minorEastAsia"/>
                <w:color w:val="000000"/>
                <w:kern w:val="0"/>
                <w:lang w:val="en-US" w:eastAsia="zh-CN"/>
              </w:rPr>
            </w:pPr>
            <w:r>
              <w:rPr>
                <w:rFonts w:hint="eastAsia" w:ascii="宋体" w:hAnsi="宋体" w:cs="宋体"/>
                <w:color w:val="000000"/>
                <w:kern w:val="0"/>
                <w:lang w:val="en-US" w:eastAsia="zh-CN"/>
              </w:rPr>
              <w:t>进气形式</w:t>
            </w:r>
          </w:p>
        </w:tc>
        <w:tc>
          <w:tcPr>
            <w:tcW w:w="4418" w:type="dxa"/>
            <w:tcBorders>
              <w:top w:val="nil"/>
              <w:left w:val="nil"/>
              <w:bottom w:val="single" w:color="auto" w:sz="4" w:space="0"/>
              <w:right w:val="single" w:color="auto" w:sz="4" w:space="0"/>
            </w:tcBorders>
            <w:noWrap/>
            <w:vAlign w:val="center"/>
          </w:tcPr>
          <w:p>
            <w:pPr>
              <w:widowControl/>
              <w:rPr>
                <w:rFonts w:cs="宋体"/>
                <w:color w:val="000000"/>
                <w:kern w:val="0"/>
              </w:rPr>
            </w:pPr>
            <w:r>
              <w:rPr>
                <w:rFonts w:hint="eastAsia" w:ascii="宋体" w:hAnsi="宋体" w:cs="宋体"/>
                <w:color w:val="000000"/>
                <w:kern w:val="0"/>
                <w:sz w:val="22"/>
              </w:rPr>
              <w:t>根据所响应的车型情况填报</w:t>
            </w:r>
          </w:p>
        </w:tc>
      </w:tr>
      <w:tr>
        <w:tblPrEx>
          <w:tblCellMar>
            <w:top w:w="0" w:type="dxa"/>
            <w:left w:w="108" w:type="dxa"/>
            <w:bottom w:w="0" w:type="dxa"/>
            <w:right w:w="108" w:type="dxa"/>
          </w:tblCellMar>
        </w:tblPrEx>
        <w:trPr>
          <w:trHeight w:val="285" w:hRule="atLeast"/>
          <w:jc w:val="center"/>
        </w:trPr>
        <w:tc>
          <w:tcPr>
            <w:tcW w:w="1252" w:type="dxa"/>
            <w:vMerge w:val="continue"/>
            <w:tcBorders>
              <w:left w:val="single" w:color="auto" w:sz="4" w:space="0"/>
              <w:right w:val="single" w:color="auto" w:sz="4" w:space="0"/>
            </w:tcBorders>
            <w:noWrap/>
            <w:vAlign w:val="center"/>
          </w:tcPr>
          <w:p>
            <w:pPr>
              <w:widowControl/>
              <w:rPr>
                <w:rFonts w:ascii="宋体" w:hAnsi="宋体" w:cs="宋体"/>
                <w:color w:val="000000"/>
                <w:kern w:val="0"/>
              </w:rPr>
            </w:pPr>
          </w:p>
        </w:tc>
        <w:tc>
          <w:tcPr>
            <w:tcW w:w="2741" w:type="dxa"/>
            <w:tcBorders>
              <w:top w:val="nil"/>
              <w:left w:val="single" w:color="auto" w:sz="4" w:space="0"/>
              <w:bottom w:val="single" w:color="auto" w:sz="4" w:space="0"/>
              <w:right w:val="single" w:color="auto" w:sz="4" w:space="0"/>
            </w:tcBorders>
            <w:noWrap/>
            <w:vAlign w:val="center"/>
          </w:tcPr>
          <w:p>
            <w:pPr>
              <w:widowControl/>
              <w:rPr>
                <w:rFonts w:hint="eastAsia" w:ascii="宋体" w:hAnsi="宋体" w:cs="宋体" w:eastAsiaTheme="minorEastAsia"/>
                <w:color w:val="000000"/>
                <w:kern w:val="0"/>
                <w:lang w:eastAsia="zh-CN"/>
              </w:rPr>
            </w:pPr>
            <w:r>
              <w:rPr>
                <w:rFonts w:hint="eastAsia" w:ascii="宋体" w:hAnsi="宋体" w:cs="宋体"/>
                <w:color w:val="000000"/>
                <w:kern w:val="0"/>
                <w:lang w:val="en-US" w:eastAsia="zh-CN"/>
              </w:rPr>
              <w:t>气缸数</w:t>
            </w:r>
          </w:p>
        </w:tc>
        <w:tc>
          <w:tcPr>
            <w:tcW w:w="4418" w:type="dxa"/>
            <w:tcBorders>
              <w:top w:val="nil"/>
              <w:left w:val="nil"/>
              <w:bottom w:val="single" w:color="auto" w:sz="4" w:space="0"/>
              <w:right w:val="single" w:color="auto" w:sz="4" w:space="0"/>
            </w:tcBorders>
            <w:noWrap/>
            <w:vAlign w:val="center"/>
          </w:tcPr>
          <w:p>
            <w:pPr>
              <w:widowControl/>
              <w:rPr>
                <w:rFonts w:cs="宋体"/>
                <w:color w:val="000000"/>
                <w:kern w:val="0"/>
              </w:rPr>
            </w:pPr>
            <w:r>
              <w:rPr>
                <w:rFonts w:hint="eastAsia" w:ascii="宋体" w:hAnsi="宋体" w:cs="宋体"/>
                <w:color w:val="000000"/>
                <w:kern w:val="0"/>
                <w:sz w:val="22"/>
              </w:rPr>
              <w:t>根据所响应的车型情况填报</w:t>
            </w:r>
          </w:p>
        </w:tc>
      </w:tr>
      <w:tr>
        <w:tblPrEx>
          <w:tblCellMar>
            <w:top w:w="0" w:type="dxa"/>
            <w:left w:w="108" w:type="dxa"/>
            <w:bottom w:w="0" w:type="dxa"/>
            <w:right w:w="108" w:type="dxa"/>
          </w:tblCellMar>
        </w:tblPrEx>
        <w:trPr>
          <w:trHeight w:val="310" w:hRule="atLeast"/>
          <w:jc w:val="center"/>
        </w:trPr>
        <w:tc>
          <w:tcPr>
            <w:tcW w:w="1252" w:type="dxa"/>
            <w:vMerge w:val="continue"/>
            <w:tcBorders>
              <w:left w:val="single" w:color="auto" w:sz="4" w:space="0"/>
              <w:right w:val="single" w:color="auto" w:sz="4" w:space="0"/>
            </w:tcBorders>
            <w:noWrap/>
            <w:vAlign w:val="center"/>
          </w:tcPr>
          <w:p>
            <w:pPr>
              <w:widowControl/>
              <w:rPr>
                <w:rFonts w:ascii="宋体" w:hAnsi="宋体" w:cs="宋体"/>
                <w:color w:val="000000"/>
                <w:kern w:val="0"/>
              </w:rPr>
            </w:pPr>
          </w:p>
        </w:tc>
        <w:tc>
          <w:tcPr>
            <w:tcW w:w="2741" w:type="dxa"/>
            <w:tcBorders>
              <w:top w:val="nil"/>
              <w:left w:val="single" w:color="auto" w:sz="4" w:space="0"/>
              <w:bottom w:val="single" w:color="auto" w:sz="4" w:space="0"/>
              <w:right w:val="single" w:color="auto" w:sz="4" w:space="0"/>
            </w:tcBorders>
            <w:noWrap/>
            <w:vAlign w:val="center"/>
          </w:tcPr>
          <w:p>
            <w:pPr>
              <w:widowControl/>
              <w:rPr>
                <w:rFonts w:hint="eastAsia" w:ascii="宋体" w:hAnsi="宋体" w:cs="宋体" w:eastAsiaTheme="minorEastAsia"/>
                <w:color w:val="000000"/>
                <w:kern w:val="0"/>
                <w:lang w:eastAsia="zh-CN"/>
              </w:rPr>
            </w:pPr>
            <w:r>
              <w:rPr>
                <w:rFonts w:hint="eastAsia" w:ascii="宋体" w:hAnsi="宋体" w:cs="宋体"/>
                <w:color w:val="000000"/>
                <w:kern w:val="0"/>
                <w:lang w:val="en-US" w:eastAsia="zh-CN"/>
              </w:rPr>
              <w:t>最大马力</w:t>
            </w:r>
          </w:p>
        </w:tc>
        <w:tc>
          <w:tcPr>
            <w:tcW w:w="4418" w:type="dxa"/>
            <w:tcBorders>
              <w:top w:val="nil"/>
              <w:left w:val="nil"/>
              <w:bottom w:val="single" w:color="auto" w:sz="4" w:space="0"/>
              <w:right w:val="single" w:color="auto" w:sz="4" w:space="0"/>
            </w:tcBorders>
            <w:noWrap/>
            <w:vAlign w:val="center"/>
          </w:tcPr>
          <w:p>
            <w:pPr>
              <w:widowControl/>
              <w:rPr>
                <w:rFonts w:cs="宋体"/>
                <w:color w:val="000000"/>
                <w:kern w:val="0"/>
              </w:rPr>
            </w:pPr>
            <w:r>
              <w:rPr>
                <w:rFonts w:hint="eastAsia" w:ascii="宋体" w:hAnsi="宋体" w:cs="宋体"/>
                <w:color w:val="000000"/>
                <w:kern w:val="0"/>
                <w:sz w:val="22"/>
              </w:rPr>
              <w:t>根据所响应的车型情况填报</w:t>
            </w:r>
          </w:p>
        </w:tc>
      </w:tr>
      <w:tr>
        <w:tblPrEx>
          <w:tblCellMar>
            <w:top w:w="0" w:type="dxa"/>
            <w:left w:w="108" w:type="dxa"/>
            <w:bottom w:w="0" w:type="dxa"/>
            <w:right w:w="108" w:type="dxa"/>
          </w:tblCellMar>
        </w:tblPrEx>
        <w:trPr>
          <w:trHeight w:val="161" w:hRule="atLeast"/>
          <w:jc w:val="center"/>
        </w:trPr>
        <w:tc>
          <w:tcPr>
            <w:tcW w:w="1252" w:type="dxa"/>
            <w:vMerge w:val="continue"/>
            <w:tcBorders>
              <w:left w:val="single" w:color="auto" w:sz="4" w:space="0"/>
              <w:bottom w:val="single" w:color="auto" w:sz="4" w:space="0"/>
              <w:right w:val="single" w:color="auto" w:sz="4" w:space="0"/>
            </w:tcBorders>
            <w:noWrap/>
            <w:vAlign w:val="center"/>
          </w:tcPr>
          <w:p>
            <w:pPr>
              <w:widowControl/>
              <w:rPr>
                <w:rFonts w:ascii="宋体" w:hAnsi="宋体" w:cs="宋体"/>
                <w:color w:val="000000"/>
                <w:kern w:val="0"/>
              </w:rPr>
            </w:pPr>
          </w:p>
        </w:tc>
        <w:tc>
          <w:tcPr>
            <w:tcW w:w="2741" w:type="dxa"/>
            <w:tcBorders>
              <w:top w:val="nil"/>
              <w:left w:val="single" w:color="auto" w:sz="4" w:space="0"/>
              <w:bottom w:val="single" w:color="auto" w:sz="4" w:space="0"/>
              <w:right w:val="single" w:color="auto" w:sz="4" w:space="0"/>
            </w:tcBorders>
            <w:noWrap/>
            <w:vAlign w:val="center"/>
          </w:tcPr>
          <w:p>
            <w:pPr>
              <w:widowControl/>
              <w:rPr>
                <w:rFonts w:hint="default" w:ascii="宋体" w:hAnsi="宋体" w:cs="宋体" w:eastAsiaTheme="minorEastAsia"/>
                <w:color w:val="000000"/>
                <w:kern w:val="0"/>
                <w:lang w:val="en-US" w:eastAsia="zh-CN"/>
              </w:rPr>
            </w:pPr>
            <w:r>
              <w:rPr>
                <w:rFonts w:hint="eastAsia" w:ascii="宋体" w:hAnsi="宋体" w:cs="宋体"/>
                <w:color w:val="000000"/>
                <w:kern w:val="0"/>
                <w:lang w:val="en-US" w:eastAsia="zh-CN"/>
              </w:rPr>
              <w:t>最大功率</w:t>
            </w:r>
          </w:p>
        </w:tc>
        <w:tc>
          <w:tcPr>
            <w:tcW w:w="4418" w:type="dxa"/>
            <w:tcBorders>
              <w:top w:val="nil"/>
              <w:left w:val="nil"/>
              <w:bottom w:val="single" w:color="auto" w:sz="4" w:space="0"/>
              <w:right w:val="single" w:color="auto" w:sz="4" w:space="0"/>
            </w:tcBorders>
            <w:noWrap/>
            <w:vAlign w:val="center"/>
          </w:tcPr>
          <w:p>
            <w:pPr>
              <w:widowControl/>
              <w:rPr>
                <w:rFonts w:ascii="宋体" w:hAnsi="宋体" w:cs="宋体"/>
                <w:color w:val="000000"/>
                <w:kern w:val="0"/>
              </w:rPr>
            </w:pPr>
            <w:r>
              <w:rPr>
                <w:rFonts w:hint="eastAsia" w:ascii="宋体" w:hAnsi="宋体" w:cs="宋体"/>
                <w:color w:val="000000"/>
                <w:kern w:val="0"/>
                <w:sz w:val="22"/>
              </w:rPr>
              <w:t>根据所响应的车型情况填报</w:t>
            </w:r>
          </w:p>
        </w:tc>
      </w:tr>
      <w:tr>
        <w:tblPrEx>
          <w:tblCellMar>
            <w:top w:w="0" w:type="dxa"/>
            <w:left w:w="108" w:type="dxa"/>
            <w:bottom w:w="0" w:type="dxa"/>
            <w:right w:w="108" w:type="dxa"/>
          </w:tblCellMar>
        </w:tblPrEx>
        <w:trPr>
          <w:trHeight w:val="161" w:hRule="atLeast"/>
          <w:jc w:val="center"/>
        </w:trPr>
        <w:tc>
          <w:tcPr>
            <w:tcW w:w="1252" w:type="dxa"/>
            <w:vMerge w:val="continue"/>
            <w:tcBorders>
              <w:left w:val="single" w:color="auto" w:sz="4" w:space="0"/>
              <w:bottom w:val="single" w:color="auto" w:sz="4" w:space="0"/>
              <w:right w:val="single" w:color="auto" w:sz="4" w:space="0"/>
            </w:tcBorders>
            <w:noWrap/>
            <w:vAlign w:val="center"/>
          </w:tcPr>
          <w:p>
            <w:pPr>
              <w:widowControl/>
              <w:rPr>
                <w:rFonts w:ascii="宋体" w:hAnsi="宋体" w:cs="宋体"/>
                <w:color w:val="000000"/>
                <w:kern w:val="0"/>
              </w:rPr>
            </w:pPr>
          </w:p>
        </w:tc>
        <w:tc>
          <w:tcPr>
            <w:tcW w:w="2741" w:type="dxa"/>
            <w:tcBorders>
              <w:top w:val="nil"/>
              <w:left w:val="single" w:color="auto" w:sz="4" w:space="0"/>
              <w:bottom w:val="single" w:color="auto" w:sz="4" w:space="0"/>
              <w:right w:val="single" w:color="auto" w:sz="4" w:space="0"/>
            </w:tcBorders>
            <w:noWrap/>
            <w:vAlign w:val="center"/>
          </w:tcPr>
          <w:p>
            <w:pPr>
              <w:widowControl/>
              <w:rPr>
                <w:rFonts w:hint="default" w:ascii="宋体" w:hAnsi="宋体" w:cs="宋体" w:eastAsiaTheme="minorEastAsia"/>
                <w:color w:val="000000"/>
                <w:kern w:val="0"/>
                <w:lang w:val="en-US" w:eastAsia="zh-CN"/>
              </w:rPr>
            </w:pPr>
            <w:r>
              <w:rPr>
                <w:rFonts w:hint="eastAsia" w:ascii="宋体" w:hAnsi="宋体" w:cs="宋体"/>
                <w:color w:val="000000"/>
                <w:kern w:val="0"/>
                <w:lang w:val="en-US" w:eastAsia="zh-CN"/>
              </w:rPr>
              <w:t>最大扭矩</w:t>
            </w:r>
          </w:p>
        </w:tc>
        <w:tc>
          <w:tcPr>
            <w:tcW w:w="4418" w:type="dxa"/>
            <w:tcBorders>
              <w:top w:val="nil"/>
              <w:left w:val="nil"/>
              <w:bottom w:val="single" w:color="auto" w:sz="4" w:space="0"/>
              <w:right w:val="single" w:color="auto" w:sz="4" w:space="0"/>
            </w:tcBorders>
            <w:noWrap/>
            <w:vAlign w:val="center"/>
          </w:tcPr>
          <w:p>
            <w:pPr>
              <w:widowControl/>
              <w:rPr>
                <w:rFonts w:hint="eastAsia" w:ascii="宋体" w:hAnsi="宋体" w:cs="宋体"/>
                <w:color w:val="000000"/>
                <w:kern w:val="0"/>
                <w:sz w:val="22"/>
              </w:rPr>
            </w:pPr>
            <w:r>
              <w:rPr>
                <w:rFonts w:hint="eastAsia" w:cs="宋体"/>
                <w:i/>
                <w:iCs/>
                <w:color w:val="000000"/>
                <w:kern w:val="0"/>
                <w:u w:val="single"/>
              </w:rPr>
              <w:t>满足各分包要求</w:t>
            </w:r>
          </w:p>
        </w:tc>
      </w:tr>
      <w:tr>
        <w:tblPrEx>
          <w:tblCellMar>
            <w:top w:w="0" w:type="dxa"/>
            <w:left w:w="108" w:type="dxa"/>
            <w:bottom w:w="0" w:type="dxa"/>
            <w:right w:w="108" w:type="dxa"/>
          </w:tblCellMar>
        </w:tblPrEx>
        <w:trPr>
          <w:trHeight w:val="270" w:hRule="atLeast"/>
          <w:jc w:val="center"/>
        </w:trPr>
        <w:tc>
          <w:tcPr>
            <w:tcW w:w="1252" w:type="dxa"/>
            <w:vMerge w:val="continue"/>
            <w:tcBorders>
              <w:left w:val="single" w:color="auto" w:sz="4" w:space="0"/>
              <w:right w:val="single" w:color="auto" w:sz="4" w:space="0"/>
            </w:tcBorders>
            <w:noWrap/>
            <w:vAlign w:val="center"/>
          </w:tcPr>
          <w:p>
            <w:pPr>
              <w:widowControl/>
              <w:rPr>
                <w:rFonts w:ascii="宋体" w:hAnsi="宋体" w:cs="宋体"/>
                <w:color w:val="000000"/>
                <w:kern w:val="0"/>
              </w:rPr>
            </w:pPr>
          </w:p>
        </w:tc>
        <w:tc>
          <w:tcPr>
            <w:tcW w:w="2741" w:type="dxa"/>
            <w:tcBorders>
              <w:top w:val="nil"/>
              <w:left w:val="single" w:color="auto" w:sz="4" w:space="0"/>
              <w:bottom w:val="single" w:color="auto" w:sz="4" w:space="0"/>
              <w:right w:val="single" w:color="auto" w:sz="4" w:space="0"/>
            </w:tcBorders>
            <w:noWrap/>
            <w:vAlign w:val="center"/>
          </w:tcPr>
          <w:p>
            <w:pPr>
              <w:widowControl/>
              <w:rPr>
                <w:rFonts w:hint="default" w:ascii="宋体" w:hAnsi="宋体" w:cs="宋体" w:eastAsiaTheme="minorEastAsia"/>
                <w:color w:val="000000"/>
                <w:kern w:val="0"/>
                <w:lang w:val="en-US" w:eastAsia="zh-CN"/>
              </w:rPr>
            </w:pPr>
            <w:r>
              <w:rPr>
                <w:rFonts w:hint="eastAsia" w:ascii="宋体" w:hAnsi="宋体" w:cs="宋体"/>
                <w:color w:val="000000"/>
                <w:kern w:val="0"/>
                <w:lang w:val="en-US" w:eastAsia="zh-CN"/>
              </w:rPr>
              <w:t>燃料形式</w:t>
            </w:r>
          </w:p>
        </w:tc>
        <w:tc>
          <w:tcPr>
            <w:tcW w:w="4418" w:type="dxa"/>
            <w:tcBorders>
              <w:top w:val="nil"/>
              <w:left w:val="nil"/>
              <w:bottom w:val="single" w:color="auto" w:sz="4" w:space="0"/>
              <w:right w:val="single" w:color="auto" w:sz="4" w:space="0"/>
            </w:tcBorders>
            <w:noWrap/>
            <w:vAlign w:val="center"/>
          </w:tcPr>
          <w:p>
            <w:pPr>
              <w:widowControl/>
              <w:rPr>
                <w:rFonts w:ascii="宋体" w:hAnsi="宋体" w:cs="宋体"/>
                <w:color w:val="000000"/>
                <w:kern w:val="0"/>
              </w:rPr>
            </w:pPr>
            <w:r>
              <w:rPr>
                <w:rFonts w:hint="eastAsia" w:ascii="宋体" w:hAnsi="宋体" w:cs="宋体"/>
                <w:color w:val="000000"/>
                <w:kern w:val="0"/>
                <w:sz w:val="22"/>
              </w:rPr>
              <w:t>根据所响应的车型情况填报</w:t>
            </w:r>
          </w:p>
        </w:tc>
      </w:tr>
      <w:tr>
        <w:tblPrEx>
          <w:tblCellMar>
            <w:top w:w="0" w:type="dxa"/>
            <w:left w:w="108" w:type="dxa"/>
            <w:bottom w:w="0" w:type="dxa"/>
            <w:right w:w="108" w:type="dxa"/>
          </w:tblCellMar>
        </w:tblPrEx>
        <w:trPr>
          <w:trHeight w:val="270" w:hRule="atLeast"/>
          <w:jc w:val="center"/>
        </w:trPr>
        <w:tc>
          <w:tcPr>
            <w:tcW w:w="1252" w:type="dxa"/>
            <w:vMerge w:val="continue"/>
            <w:tcBorders>
              <w:left w:val="single" w:color="auto" w:sz="4" w:space="0"/>
              <w:right w:val="single" w:color="auto" w:sz="4" w:space="0"/>
            </w:tcBorders>
            <w:noWrap/>
            <w:vAlign w:val="center"/>
          </w:tcPr>
          <w:p>
            <w:pPr>
              <w:widowControl/>
              <w:rPr>
                <w:rFonts w:ascii="宋体" w:hAnsi="宋体" w:cs="宋体"/>
                <w:color w:val="000000"/>
                <w:kern w:val="0"/>
              </w:rPr>
            </w:pPr>
          </w:p>
        </w:tc>
        <w:tc>
          <w:tcPr>
            <w:tcW w:w="2741" w:type="dxa"/>
            <w:tcBorders>
              <w:top w:val="nil"/>
              <w:left w:val="single" w:color="auto" w:sz="4" w:space="0"/>
              <w:bottom w:val="single" w:color="auto" w:sz="4" w:space="0"/>
              <w:right w:val="single" w:color="auto" w:sz="4" w:space="0"/>
            </w:tcBorders>
            <w:noWrap/>
            <w:vAlign w:val="center"/>
          </w:tcPr>
          <w:p>
            <w:pPr>
              <w:widowControl/>
              <w:rPr>
                <w:rFonts w:hint="eastAsia" w:ascii="宋体" w:hAnsi="宋体" w:cs="宋体" w:eastAsiaTheme="minorEastAsia"/>
                <w:color w:val="000000"/>
                <w:kern w:val="0"/>
                <w:lang w:eastAsia="zh-CN"/>
              </w:rPr>
            </w:pPr>
            <w:r>
              <w:rPr>
                <w:rFonts w:hint="eastAsia" w:ascii="宋体" w:hAnsi="宋体" w:cs="宋体"/>
                <w:color w:val="000000"/>
                <w:kern w:val="0"/>
                <w:lang w:val="en-US" w:eastAsia="zh-CN"/>
              </w:rPr>
              <w:t>燃油标号</w:t>
            </w:r>
          </w:p>
        </w:tc>
        <w:tc>
          <w:tcPr>
            <w:tcW w:w="4418" w:type="dxa"/>
            <w:tcBorders>
              <w:top w:val="nil"/>
              <w:left w:val="nil"/>
              <w:bottom w:val="single" w:color="auto" w:sz="4" w:space="0"/>
              <w:right w:val="single" w:color="auto" w:sz="4" w:space="0"/>
            </w:tcBorders>
            <w:noWrap/>
            <w:vAlign w:val="center"/>
          </w:tcPr>
          <w:p>
            <w:pPr>
              <w:widowControl/>
              <w:rPr>
                <w:rFonts w:ascii="宋体" w:hAnsi="宋体" w:cs="宋体"/>
                <w:color w:val="000000"/>
                <w:kern w:val="0"/>
              </w:rPr>
            </w:pPr>
            <w:r>
              <w:rPr>
                <w:rFonts w:hint="eastAsia" w:ascii="宋体" w:hAnsi="宋体" w:cs="宋体"/>
                <w:color w:val="000000"/>
                <w:kern w:val="0"/>
                <w:sz w:val="22"/>
              </w:rPr>
              <w:t>根据所响应的车型情况填报</w:t>
            </w:r>
          </w:p>
        </w:tc>
      </w:tr>
      <w:tr>
        <w:tblPrEx>
          <w:tblCellMar>
            <w:top w:w="0" w:type="dxa"/>
            <w:left w:w="108" w:type="dxa"/>
            <w:bottom w:w="0" w:type="dxa"/>
            <w:right w:w="108" w:type="dxa"/>
          </w:tblCellMar>
        </w:tblPrEx>
        <w:trPr>
          <w:trHeight w:val="285" w:hRule="atLeast"/>
          <w:jc w:val="center"/>
        </w:trPr>
        <w:tc>
          <w:tcPr>
            <w:tcW w:w="1252" w:type="dxa"/>
            <w:vMerge w:val="continue"/>
            <w:tcBorders>
              <w:left w:val="single" w:color="auto" w:sz="4" w:space="0"/>
              <w:right w:val="single" w:color="auto" w:sz="4" w:space="0"/>
            </w:tcBorders>
            <w:noWrap/>
            <w:vAlign w:val="center"/>
          </w:tcPr>
          <w:p>
            <w:pPr>
              <w:widowControl/>
              <w:jc w:val="left"/>
              <w:rPr>
                <w:rFonts w:ascii="宋体" w:hAnsi="宋体" w:cs="宋体"/>
                <w:color w:val="000000"/>
                <w:kern w:val="0"/>
                <w:sz w:val="22"/>
              </w:rPr>
            </w:pPr>
          </w:p>
        </w:tc>
        <w:tc>
          <w:tcPr>
            <w:tcW w:w="2741" w:type="dxa"/>
            <w:tcBorders>
              <w:top w:val="nil"/>
              <w:left w:val="single" w:color="auto" w:sz="4" w:space="0"/>
              <w:bottom w:val="single" w:color="auto" w:sz="4" w:space="0"/>
              <w:right w:val="single" w:color="auto" w:sz="4" w:space="0"/>
            </w:tcBorders>
            <w:noWrap/>
            <w:vAlign w:val="center"/>
          </w:tcPr>
          <w:p>
            <w:pPr>
              <w:widowControl/>
              <w:jc w:val="left"/>
              <w:rPr>
                <w:rFonts w:hint="default" w:ascii="宋体" w:hAnsi="宋体" w:cs="宋体" w:eastAsiaTheme="minorEastAsia"/>
                <w:color w:val="000000"/>
                <w:kern w:val="0"/>
                <w:sz w:val="22"/>
                <w:lang w:val="en-US" w:eastAsia="zh-CN"/>
              </w:rPr>
            </w:pPr>
            <w:r>
              <w:rPr>
                <w:rFonts w:hint="eastAsia" w:ascii="宋体" w:hAnsi="宋体" w:cs="宋体"/>
                <w:color w:val="000000"/>
                <w:kern w:val="0"/>
                <w:lang w:val="en-US" w:eastAsia="zh-CN"/>
              </w:rPr>
              <w:t>环保标准</w:t>
            </w:r>
          </w:p>
        </w:tc>
        <w:tc>
          <w:tcPr>
            <w:tcW w:w="4418" w:type="dxa"/>
            <w:tcBorders>
              <w:top w:val="nil"/>
              <w:left w:val="nil"/>
              <w:bottom w:val="single" w:color="auto" w:sz="4" w:space="0"/>
              <w:right w:val="single" w:color="auto" w:sz="4" w:space="0"/>
            </w:tcBorders>
            <w:noWrap/>
            <w:vAlign w:val="center"/>
          </w:tcPr>
          <w:p>
            <w:pPr>
              <w:widowControl/>
              <w:rPr>
                <w:rFonts w:ascii="宋体" w:hAnsi="宋体" w:cs="宋体"/>
                <w:color w:val="000000"/>
                <w:kern w:val="0"/>
              </w:rPr>
            </w:pPr>
            <w:r>
              <w:rPr>
                <w:rFonts w:hint="eastAsia" w:ascii="宋体" w:hAnsi="宋体" w:cs="宋体"/>
                <w:color w:val="000000"/>
                <w:kern w:val="0"/>
                <w:sz w:val="22"/>
              </w:rPr>
              <w:t>根据所响应的车型情况填报</w:t>
            </w:r>
          </w:p>
        </w:tc>
      </w:tr>
      <w:tr>
        <w:tblPrEx>
          <w:tblCellMar>
            <w:top w:w="0" w:type="dxa"/>
            <w:left w:w="108" w:type="dxa"/>
            <w:bottom w:w="0" w:type="dxa"/>
            <w:right w:w="108" w:type="dxa"/>
          </w:tblCellMar>
        </w:tblPrEx>
        <w:trPr>
          <w:trHeight w:val="270" w:hRule="atLeast"/>
          <w:jc w:val="center"/>
        </w:trPr>
        <w:tc>
          <w:tcPr>
            <w:tcW w:w="1252" w:type="dxa"/>
            <w:vMerge w:val="continue"/>
            <w:tcBorders>
              <w:left w:val="single" w:color="auto" w:sz="4" w:space="0"/>
              <w:right w:val="single" w:color="auto" w:sz="4" w:space="0"/>
            </w:tcBorders>
            <w:noWrap/>
            <w:vAlign w:val="center"/>
          </w:tcPr>
          <w:p>
            <w:pPr>
              <w:widowControl/>
              <w:rPr>
                <w:rFonts w:ascii="宋体" w:hAnsi="宋体" w:cs="宋体"/>
                <w:color w:val="000000"/>
                <w:kern w:val="0"/>
              </w:rPr>
            </w:pPr>
          </w:p>
        </w:tc>
        <w:tc>
          <w:tcPr>
            <w:tcW w:w="2741" w:type="dxa"/>
            <w:tcBorders>
              <w:top w:val="nil"/>
              <w:left w:val="single" w:color="auto" w:sz="4" w:space="0"/>
              <w:bottom w:val="single" w:color="auto" w:sz="4" w:space="0"/>
              <w:right w:val="single" w:color="auto" w:sz="4" w:space="0"/>
            </w:tcBorders>
            <w:noWrap/>
            <w:vAlign w:val="center"/>
          </w:tcPr>
          <w:p>
            <w:pPr>
              <w:widowControl/>
              <w:rPr>
                <w:rFonts w:ascii="宋体" w:hAnsi="宋体" w:cs="宋体"/>
                <w:color w:val="000000"/>
                <w:kern w:val="0"/>
              </w:rPr>
            </w:pPr>
            <w:r>
              <w:rPr>
                <w:rFonts w:hint="eastAsia" w:ascii="宋体" w:hAnsi="宋体" w:cs="宋体"/>
                <w:color w:val="000000"/>
                <w:kern w:val="0"/>
              </w:rPr>
              <w:t>驻车制动类型</w:t>
            </w:r>
          </w:p>
        </w:tc>
        <w:tc>
          <w:tcPr>
            <w:tcW w:w="4418" w:type="dxa"/>
            <w:tcBorders>
              <w:top w:val="nil"/>
              <w:left w:val="nil"/>
              <w:bottom w:val="single" w:color="auto" w:sz="4" w:space="0"/>
              <w:right w:val="single" w:color="auto" w:sz="4" w:space="0"/>
            </w:tcBorders>
            <w:noWrap/>
            <w:vAlign w:val="center"/>
          </w:tcPr>
          <w:p>
            <w:pPr>
              <w:widowControl/>
              <w:rPr>
                <w:rFonts w:ascii="宋体" w:hAnsi="宋体" w:cs="宋体"/>
                <w:color w:val="000000"/>
                <w:kern w:val="0"/>
              </w:rPr>
            </w:pPr>
            <w:r>
              <w:rPr>
                <w:rFonts w:hint="eastAsia" w:ascii="宋体" w:hAnsi="宋体" w:cs="宋体"/>
                <w:color w:val="000000"/>
                <w:kern w:val="0"/>
                <w:sz w:val="22"/>
              </w:rPr>
              <w:t>根据所响应的车型情况填报</w:t>
            </w:r>
          </w:p>
        </w:tc>
      </w:tr>
      <w:tr>
        <w:tblPrEx>
          <w:tblCellMar>
            <w:top w:w="0" w:type="dxa"/>
            <w:left w:w="108" w:type="dxa"/>
            <w:bottom w:w="0" w:type="dxa"/>
            <w:right w:w="108" w:type="dxa"/>
          </w:tblCellMar>
        </w:tblPrEx>
        <w:trPr>
          <w:trHeight w:val="270" w:hRule="atLeast"/>
          <w:jc w:val="center"/>
        </w:trPr>
        <w:tc>
          <w:tcPr>
            <w:tcW w:w="1252" w:type="dxa"/>
            <w:vMerge w:val="restart"/>
            <w:tcBorders>
              <w:left w:val="single" w:color="auto" w:sz="4" w:space="0"/>
              <w:right w:val="single" w:color="auto" w:sz="4" w:space="0"/>
            </w:tcBorders>
            <w:noWrap/>
            <w:vAlign w:val="center"/>
          </w:tcPr>
          <w:p>
            <w:pPr>
              <w:widowControl/>
              <w:rPr>
                <w:rFonts w:hint="eastAsia" w:ascii="宋体" w:hAnsi="宋体" w:cs="宋体" w:eastAsiaTheme="minorEastAsia"/>
                <w:color w:val="000000"/>
                <w:kern w:val="0"/>
                <w:lang w:val="en-US" w:eastAsia="zh-CN"/>
              </w:rPr>
            </w:pPr>
            <w:r>
              <w:rPr>
                <w:rFonts w:hint="eastAsia" w:ascii="宋体" w:hAnsi="宋体" w:cs="宋体"/>
                <w:color w:val="000000"/>
                <w:kern w:val="0"/>
                <w:lang w:val="en-US" w:eastAsia="zh-CN"/>
              </w:rPr>
              <w:t>电动机（包11、包12需要填写）</w:t>
            </w:r>
          </w:p>
        </w:tc>
        <w:tc>
          <w:tcPr>
            <w:tcW w:w="2741" w:type="dxa"/>
            <w:tcBorders>
              <w:top w:val="nil"/>
              <w:left w:val="single" w:color="auto" w:sz="4" w:space="0"/>
              <w:bottom w:val="single" w:color="auto" w:sz="4" w:space="0"/>
              <w:right w:val="single" w:color="auto" w:sz="4" w:space="0"/>
            </w:tcBorders>
            <w:noWrap/>
            <w:vAlign w:val="center"/>
          </w:tcPr>
          <w:p>
            <w:pPr>
              <w:widowControl/>
              <w:rPr>
                <w:rFonts w:hint="default" w:ascii="宋体" w:hAnsi="宋体" w:cs="宋体" w:eastAsiaTheme="minorEastAsia"/>
                <w:color w:val="000000"/>
                <w:kern w:val="0"/>
                <w:lang w:val="en-US" w:eastAsia="zh-CN"/>
              </w:rPr>
            </w:pPr>
            <w:r>
              <w:rPr>
                <w:rFonts w:hint="eastAsia" w:ascii="宋体" w:hAnsi="宋体" w:cs="宋体"/>
                <w:color w:val="000000"/>
                <w:kern w:val="0"/>
                <w:lang w:val="en-US" w:eastAsia="zh-CN"/>
              </w:rPr>
              <w:t>电动机总功率（KW）</w:t>
            </w:r>
          </w:p>
        </w:tc>
        <w:tc>
          <w:tcPr>
            <w:tcW w:w="4418" w:type="dxa"/>
            <w:tcBorders>
              <w:top w:val="nil"/>
              <w:left w:val="nil"/>
              <w:bottom w:val="single" w:color="auto" w:sz="4" w:space="0"/>
              <w:right w:val="single" w:color="auto" w:sz="4" w:space="0"/>
            </w:tcBorders>
            <w:noWrap/>
            <w:vAlign w:val="center"/>
          </w:tcPr>
          <w:p>
            <w:pPr>
              <w:widowControl/>
              <w:rPr>
                <w:rFonts w:hint="eastAsia" w:ascii="宋体" w:hAnsi="宋体" w:cs="宋体"/>
                <w:color w:val="000000"/>
                <w:kern w:val="0"/>
                <w:sz w:val="22"/>
              </w:rPr>
            </w:pPr>
            <w:r>
              <w:rPr>
                <w:rFonts w:hint="eastAsia" w:ascii="宋体" w:hAnsi="宋体" w:cs="宋体"/>
                <w:color w:val="000000"/>
                <w:kern w:val="0"/>
                <w:sz w:val="22"/>
              </w:rPr>
              <w:t>根据所响应的车型情况填报</w:t>
            </w:r>
          </w:p>
        </w:tc>
      </w:tr>
      <w:tr>
        <w:tblPrEx>
          <w:tblCellMar>
            <w:top w:w="0" w:type="dxa"/>
            <w:left w:w="108" w:type="dxa"/>
            <w:bottom w:w="0" w:type="dxa"/>
            <w:right w:w="108" w:type="dxa"/>
          </w:tblCellMar>
        </w:tblPrEx>
        <w:trPr>
          <w:trHeight w:val="270" w:hRule="atLeast"/>
          <w:jc w:val="center"/>
        </w:trPr>
        <w:tc>
          <w:tcPr>
            <w:tcW w:w="1252" w:type="dxa"/>
            <w:vMerge w:val="continue"/>
            <w:tcBorders>
              <w:left w:val="single" w:color="auto" w:sz="4" w:space="0"/>
              <w:right w:val="single" w:color="auto" w:sz="4" w:space="0"/>
            </w:tcBorders>
            <w:noWrap/>
            <w:vAlign w:val="center"/>
          </w:tcPr>
          <w:p>
            <w:pPr>
              <w:widowControl/>
              <w:rPr>
                <w:rFonts w:ascii="宋体" w:hAnsi="宋体" w:cs="宋体"/>
                <w:color w:val="000000"/>
                <w:kern w:val="0"/>
              </w:rPr>
            </w:pPr>
          </w:p>
        </w:tc>
        <w:tc>
          <w:tcPr>
            <w:tcW w:w="2741" w:type="dxa"/>
            <w:tcBorders>
              <w:top w:val="nil"/>
              <w:left w:val="single" w:color="auto" w:sz="4" w:space="0"/>
              <w:bottom w:val="single" w:color="auto" w:sz="4" w:space="0"/>
              <w:right w:val="single" w:color="auto" w:sz="4" w:space="0"/>
            </w:tcBorders>
            <w:noWrap/>
            <w:vAlign w:val="center"/>
          </w:tcPr>
          <w:p>
            <w:pPr>
              <w:widowControl/>
              <w:rPr>
                <w:rFonts w:hint="default" w:ascii="宋体" w:hAnsi="宋体" w:cs="宋体" w:eastAsiaTheme="minorEastAsia"/>
                <w:color w:val="000000"/>
                <w:kern w:val="0"/>
                <w:lang w:val="en-US" w:eastAsia="zh-CN"/>
              </w:rPr>
            </w:pPr>
            <w:r>
              <w:rPr>
                <w:rFonts w:hint="eastAsia" w:ascii="宋体" w:hAnsi="宋体" w:cs="宋体"/>
                <w:color w:val="000000"/>
                <w:kern w:val="0"/>
                <w:lang w:val="en-US" w:eastAsia="zh-CN"/>
              </w:rPr>
              <w:t>电动机总扭矩（N•m）</w:t>
            </w:r>
          </w:p>
        </w:tc>
        <w:tc>
          <w:tcPr>
            <w:tcW w:w="4418" w:type="dxa"/>
            <w:tcBorders>
              <w:top w:val="nil"/>
              <w:left w:val="nil"/>
              <w:bottom w:val="single" w:color="auto" w:sz="4" w:space="0"/>
              <w:right w:val="single" w:color="auto" w:sz="4" w:space="0"/>
            </w:tcBorders>
            <w:noWrap/>
            <w:vAlign w:val="center"/>
          </w:tcPr>
          <w:p>
            <w:pPr>
              <w:widowControl/>
              <w:rPr>
                <w:rFonts w:hint="eastAsia" w:ascii="宋体" w:hAnsi="宋体" w:cs="宋体"/>
                <w:color w:val="000000"/>
                <w:kern w:val="0"/>
                <w:sz w:val="22"/>
              </w:rPr>
            </w:pPr>
            <w:r>
              <w:rPr>
                <w:rFonts w:hint="eastAsia" w:ascii="宋体" w:hAnsi="宋体" w:cs="宋体"/>
                <w:color w:val="000000"/>
                <w:kern w:val="0"/>
                <w:sz w:val="22"/>
              </w:rPr>
              <w:t>根据所响应的车型情况填报</w:t>
            </w:r>
          </w:p>
        </w:tc>
      </w:tr>
      <w:tr>
        <w:tblPrEx>
          <w:tblCellMar>
            <w:top w:w="0" w:type="dxa"/>
            <w:left w:w="108" w:type="dxa"/>
            <w:bottom w:w="0" w:type="dxa"/>
            <w:right w:w="108" w:type="dxa"/>
          </w:tblCellMar>
        </w:tblPrEx>
        <w:trPr>
          <w:trHeight w:val="270" w:hRule="atLeast"/>
          <w:jc w:val="center"/>
        </w:trPr>
        <w:tc>
          <w:tcPr>
            <w:tcW w:w="1252" w:type="dxa"/>
            <w:vMerge w:val="continue"/>
            <w:tcBorders>
              <w:left w:val="single" w:color="auto" w:sz="4" w:space="0"/>
              <w:right w:val="single" w:color="auto" w:sz="4" w:space="0"/>
            </w:tcBorders>
            <w:noWrap/>
            <w:vAlign w:val="center"/>
          </w:tcPr>
          <w:p>
            <w:pPr>
              <w:widowControl/>
              <w:rPr>
                <w:rFonts w:ascii="宋体" w:hAnsi="宋体" w:cs="宋体"/>
                <w:color w:val="000000"/>
                <w:kern w:val="0"/>
              </w:rPr>
            </w:pPr>
          </w:p>
        </w:tc>
        <w:tc>
          <w:tcPr>
            <w:tcW w:w="2741" w:type="dxa"/>
            <w:tcBorders>
              <w:top w:val="nil"/>
              <w:left w:val="single" w:color="auto" w:sz="4" w:space="0"/>
              <w:bottom w:val="single" w:color="auto" w:sz="4" w:space="0"/>
              <w:right w:val="single" w:color="auto" w:sz="4" w:space="0"/>
            </w:tcBorders>
            <w:noWrap/>
            <w:vAlign w:val="center"/>
          </w:tcPr>
          <w:p>
            <w:pPr>
              <w:widowControl/>
              <w:rPr>
                <w:rFonts w:hint="default" w:ascii="宋体" w:hAnsi="宋体" w:cs="宋体" w:eastAsiaTheme="minorEastAsia"/>
                <w:color w:val="000000"/>
                <w:kern w:val="0"/>
                <w:lang w:val="en-US" w:eastAsia="zh-CN"/>
              </w:rPr>
            </w:pPr>
            <w:r>
              <w:rPr>
                <w:rFonts w:hint="eastAsia" w:ascii="宋体" w:hAnsi="宋体" w:cs="宋体"/>
                <w:color w:val="000000"/>
                <w:kern w:val="0"/>
                <w:lang w:val="en-US" w:eastAsia="zh-CN"/>
              </w:rPr>
              <w:t>电池类型</w:t>
            </w:r>
          </w:p>
        </w:tc>
        <w:tc>
          <w:tcPr>
            <w:tcW w:w="4418" w:type="dxa"/>
            <w:tcBorders>
              <w:top w:val="nil"/>
              <w:left w:val="nil"/>
              <w:bottom w:val="single" w:color="auto" w:sz="4" w:space="0"/>
              <w:right w:val="single" w:color="auto" w:sz="4" w:space="0"/>
            </w:tcBorders>
            <w:noWrap/>
            <w:vAlign w:val="center"/>
          </w:tcPr>
          <w:p>
            <w:pPr>
              <w:widowControl/>
              <w:rPr>
                <w:rFonts w:hint="eastAsia" w:ascii="宋体" w:hAnsi="宋体" w:cs="宋体"/>
                <w:color w:val="000000"/>
                <w:kern w:val="0"/>
                <w:sz w:val="22"/>
              </w:rPr>
            </w:pPr>
            <w:r>
              <w:rPr>
                <w:rFonts w:hint="eastAsia" w:ascii="宋体" w:hAnsi="宋体" w:cs="宋体"/>
                <w:color w:val="000000"/>
                <w:kern w:val="0"/>
                <w:sz w:val="22"/>
              </w:rPr>
              <w:t>根据所响应的车型情况填报</w:t>
            </w:r>
          </w:p>
        </w:tc>
      </w:tr>
      <w:tr>
        <w:tblPrEx>
          <w:tblCellMar>
            <w:top w:w="0" w:type="dxa"/>
            <w:left w:w="108" w:type="dxa"/>
            <w:bottom w:w="0" w:type="dxa"/>
            <w:right w:w="108" w:type="dxa"/>
          </w:tblCellMar>
        </w:tblPrEx>
        <w:trPr>
          <w:trHeight w:val="270" w:hRule="atLeast"/>
          <w:jc w:val="center"/>
        </w:trPr>
        <w:tc>
          <w:tcPr>
            <w:tcW w:w="1252" w:type="dxa"/>
            <w:vMerge w:val="continue"/>
            <w:tcBorders>
              <w:left w:val="single" w:color="auto" w:sz="4" w:space="0"/>
              <w:right w:val="single" w:color="auto" w:sz="4" w:space="0"/>
            </w:tcBorders>
            <w:noWrap/>
            <w:vAlign w:val="center"/>
          </w:tcPr>
          <w:p>
            <w:pPr>
              <w:widowControl/>
              <w:rPr>
                <w:rFonts w:ascii="宋体" w:hAnsi="宋体" w:cs="宋体"/>
                <w:color w:val="000000"/>
                <w:kern w:val="0"/>
              </w:rPr>
            </w:pPr>
          </w:p>
        </w:tc>
        <w:tc>
          <w:tcPr>
            <w:tcW w:w="2741" w:type="dxa"/>
            <w:tcBorders>
              <w:top w:val="nil"/>
              <w:left w:val="single" w:color="auto" w:sz="4" w:space="0"/>
              <w:bottom w:val="single" w:color="auto" w:sz="4" w:space="0"/>
              <w:right w:val="single" w:color="auto" w:sz="4" w:space="0"/>
            </w:tcBorders>
            <w:noWrap/>
            <w:vAlign w:val="center"/>
          </w:tcPr>
          <w:p>
            <w:pPr>
              <w:widowControl/>
              <w:rPr>
                <w:rFonts w:hint="default" w:ascii="宋体" w:hAnsi="宋体" w:cs="宋体" w:eastAsiaTheme="minorEastAsia"/>
                <w:color w:val="000000"/>
                <w:kern w:val="0"/>
                <w:lang w:val="en-US" w:eastAsia="zh-CN"/>
              </w:rPr>
            </w:pPr>
            <w:r>
              <w:rPr>
                <w:rFonts w:hint="eastAsia" w:ascii="宋体" w:hAnsi="宋体" w:cs="宋体"/>
                <w:color w:val="000000"/>
                <w:kern w:val="0"/>
                <w:lang w:val="en-US" w:eastAsia="zh-CN"/>
              </w:rPr>
              <w:t>电池组质保</w:t>
            </w:r>
          </w:p>
        </w:tc>
        <w:tc>
          <w:tcPr>
            <w:tcW w:w="4418" w:type="dxa"/>
            <w:tcBorders>
              <w:top w:val="nil"/>
              <w:left w:val="nil"/>
              <w:bottom w:val="single" w:color="auto" w:sz="4" w:space="0"/>
              <w:right w:val="single" w:color="auto" w:sz="4" w:space="0"/>
            </w:tcBorders>
            <w:noWrap/>
            <w:vAlign w:val="center"/>
          </w:tcPr>
          <w:p>
            <w:pPr>
              <w:widowControl/>
              <w:rPr>
                <w:rFonts w:hint="eastAsia" w:ascii="宋体" w:hAnsi="宋体" w:cs="宋体"/>
                <w:color w:val="000000"/>
                <w:kern w:val="0"/>
                <w:sz w:val="22"/>
              </w:rPr>
            </w:pPr>
            <w:r>
              <w:rPr>
                <w:rFonts w:hint="eastAsia" w:ascii="宋体" w:hAnsi="宋体" w:cs="宋体"/>
                <w:color w:val="000000"/>
                <w:kern w:val="0"/>
                <w:sz w:val="22"/>
              </w:rPr>
              <w:t>根据所响应的车型情况填报</w:t>
            </w:r>
          </w:p>
        </w:tc>
      </w:tr>
      <w:tr>
        <w:tblPrEx>
          <w:tblCellMar>
            <w:top w:w="0" w:type="dxa"/>
            <w:left w:w="108" w:type="dxa"/>
            <w:bottom w:w="0" w:type="dxa"/>
            <w:right w:w="108" w:type="dxa"/>
          </w:tblCellMar>
        </w:tblPrEx>
        <w:trPr>
          <w:trHeight w:val="285" w:hRule="atLeast"/>
          <w:jc w:val="center"/>
        </w:trPr>
        <w:tc>
          <w:tcPr>
            <w:tcW w:w="1252" w:type="dxa"/>
            <w:vMerge w:val="restart"/>
            <w:tcBorders>
              <w:top w:val="nil"/>
              <w:left w:val="single" w:color="auto" w:sz="4" w:space="0"/>
              <w:right w:val="single" w:color="auto" w:sz="4" w:space="0"/>
            </w:tcBorders>
            <w:noWrap/>
            <w:vAlign w:val="center"/>
          </w:tcPr>
          <w:p>
            <w:pPr>
              <w:widowControl/>
              <w:rPr>
                <w:rFonts w:cs="宋体"/>
                <w:color w:val="000000"/>
                <w:kern w:val="0"/>
              </w:rPr>
            </w:pPr>
            <w:r>
              <w:rPr>
                <w:rFonts w:hint="eastAsia" w:ascii="宋体" w:hAnsi="宋体" w:cs="宋体"/>
                <w:color w:val="000000"/>
                <w:kern w:val="0"/>
              </w:rPr>
              <w:t>安全参数</w:t>
            </w:r>
          </w:p>
        </w:tc>
        <w:tc>
          <w:tcPr>
            <w:tcW w:w="2741" w:type="dxa"/>
            <w:tcBorders>
              <w:top w:val="nil"/>
              <w:left w:val="single" w:color="auto" w:sz="4" w:space="0"/>
              <w:bottom w:val="single" w:color="auto" w:sz="4" w:space="0"/>
              <w:right w:val="single" w:color="auto" w:sz="4" w:space="0"/>
            </w:tcBorders>
            <w:noWrap/>
            <w:vAlign w:val="center"/>
          </w:tcPr>
          <w:p>
            <w:pPr>
              <w:widowControl/>
              <w:rPr>
                <w:rFonts w:cs="宋体"/>
                <w:color w:val="000000"/>
                <w:kern w:val="0"/>
              </w:rPr>
            </w:pPr>
            <w:r>
              <w:rPr>
                <w:rFonts w:cs="宋体"/>
                <w:color w:val="000000"/>
                <w:kern w:val="0"/>
              </w:rPr>
              <w:t>ABS</w:t>
            </w:r>
            <w:r>
              <w:rPr>
                <w:rFonts w:hint="eastAsia" w:ascii="宋体" w:hAnsi="宋体" w:cs="宋体"/>
                <w:color w:val="000000"/>
                <w:kern w:val="0"/>
              </w:rPr>
              <w:t>防抱死</w:t>
            </w:r>
          </w:p>
        </w:tc>
        <w:tc>
          <w:tcPr>
            <w:tcW w:w="4418" w:type="dxa"/>
            <w:tcBorders>
              <w:top w:val="nil"/>
              <w:left w:val="nil"/>
              <w:bottom w:val="single" w:color="auto" w:sz="4" w:space="0"/>
              <w:right w:val="single" w:color="auto" w:sz="4" w:space="0"/>
            </w:tcBorders>
            <w:noWrap/>
            <w:vAlign w:val="center"/>
          </w:tcPr>
          <w:p>
            <w:pPr>
              <w:widowControl/>
              <w:jc w:val="left"/>
              <w:rPr>
                <w:rFonts w:ascii="宋体" w:hAnsi="宋体" w:cs="宋体"/>
                <w:color w:val="000000"/>
                <w:kern w:val="0"/>
                <w:sz w:val="22"/>
              </w:rPr>
            </w:pPr>
            <w:r>
              <w:rPr>
                <w:rFonts w:hint="eastAsia" w:ascii="宋体" w:hAnsi="宋体" w:cs="宋体"/>
                <w:color w:val="000000"/>
                <w:kern w:val="0"/>
                <w:sz w:val="22"/>
              </w:rPr>
              <w:t>根据所响应的车型情况填报</w:t>
            </w:r>
          </w:p>
        </w:tc>
      </w:tr>
      <w:tr>
        <w:tblPrEx>
          <w:tblCellMar>
            <w:top w:w="0" w:type="dxa"/>
            <w:left w:w="108" w:type="dxa"/>
            <w:bottom w:w="0" w:type="dxa"/>
            <w:right w:w="108" w:type="dxa"/>
          </w:tblCellMar>
        </w:tblPrEx>
        <w:trPr>
          <w:trHeight w:val="285" w:hRule="atLeast"/>
          <w:jc w:val="center"/>
        </w:trPr>
        <w:tc>
          <w:tcPr>
            <w:tcW w:w="1252" w:type="dxa"/>
            <w:vMerge w:val="continue"/>
            <w:tcBorders>
              <w:left w:val="single" w:color="auto" w:sz="4" w:space="0"/>
              <w:right w:val="single" w:color="auto" w:sz="4" w:space="0"/>
            </w:tcBorders>
            <w:noWrap/>
            <w:vAlign w:val="center"/>
          </w:tcPr>
          <w:p>
            <w:pPr>
              <w:widowControl/>
              <w:rPr>
                <w:rFonts w:ascii="宋体" w:hAnsi="宋体" w:cs="宋体"/>
                <w:color w:val="000000"/>
                <w:kern w:val="0"/>
              </w:rPr>
            </w:pPr>
          </w:p>
        </w:tc>
        <w:tc>
          <w:tcPr>
            <w:tcW w:w="2741" w:type="dxa"/>
            <w:tcBorders>
              <w:top w:val="nil"/>
              <w:left w:val="single" w:color="auto" w:sz="4" w:space="0"/>
              <w:bottom w:val="single" w:color="auto" w:sz="4" w:space="0"/>
              <w:right w:val="single" w:color="auto" w:sz="4" w:space="0"/>
            </w:tcBorders>
            <w:noWrap/>
            <w:vAlign w:val="center"/>
          </w:tcPr>
          <w:p>
            <w:pPr>
              <w:widowControl/>
              <w:rPr>
                <w:rFonts w:ascii="宋体" w:hAnsi="宋体" w:cs="宋体"/>
                <w:color w:val="000000"/>
                <w:kern w:val="0"/>
              </w:rPr>
            </w:pPr>
            <w:r>
              <w:rPr>
                <w:rFonts w:hint="eastAsia" w:ascii="宋体" w:hAnsi="宋体" w:cs="宋体"/>
                <w:color w:val="000000"/>
                <w:kern w:val="0"/>
              </w:rPr>
              <w:t>并线辅助</w:t>
            </w:r>
          </w:p>
        </w:tc>
        <w:tc>
          <w:tcPr>
            <w:tcW w:w="4418" w:type="dxa"/>
            <w:tcBorders>
              <w:top w:val="nil"/>
              <w:left w:val="nil"/>
              <w:bottom w:val="single" w:color="auto" w:sz="4" w:space="0"/>
              <w:right w:val="single" w:color="auto" w:sz="4" w:space="0"/>
            </w:tcBorders>
            <w:noWrap/>
            <w:vAlign w:val="center"/>
          </w:tcPr>
          <w:p>
            <w:pPr>
              <w:widowControl/>
              <w:rPr>
                <w:rFonts w:cs="宋体"/>
                <w:color w:val="000000"/>
                <w:kern w:val="0"/>
              </w:rPr>
            </w:pPr>
            <w:r>
              <w:rPr>
                <w:rFonts w:hint="eastAsia" w:ascii="宋体" w:hAnsi="宋体" w:cs="宋体"/>
                <w:color w:val="000000"/>
                <w:kern w:val="0"/>
                <w:sz w:val="22"/>
              </w:rPr>
              <w:t>根据所响应的车型情况填报</w:t>
            </w:r>
          </w:p>
        </w:tc>
      </w:tr>
      <w:tr>
        <w:tblPrEx>
          <w:tblCellMar>
            <w:top w:w="0" w:type="dxa"/>
            <w:left w:w="108" w:type="dxa"/>
            <w:bottom w:w="0" w:type="dxa"/>
            <w:right w:w="108" w:type="dxa"/>
          </w:tblCellMar>
        </w:tblPrEx>
        <w:trPr>
          <w:trHeight w:val="285" w:hRule="atLeast"/>
          <w:jc w:val="center"/>
        </w:trPr>
        <w:tc>
          <w:tcPr>
            <w:tcW w:w="1252" w:type="dxa"/>
            <w:vMerge w:val="continue"/>
            <w:tcBorders>
              <w:left w:val="single" w:color="auto" w:sz="4" w:space="0"/>
              <w:right w:val="single" w:color="auto" w:sz="4" w:space="0"/>
            </w:tcBorders>
            <w:noWrap/>
            <w:vAlign w:val="center"/>
          </w:tcPr>
          <w:p>
            <w:pPr>
              <w:widowControl/>
              <w:rPr>
                <w:rFonts w:ascii="宋体" w:hAnsi="宋体" w:cs="宋体"/>
                <w:color w:val="000000"/>
                <w:kern w:val="0"/>
              </w:rPr>
            </w:pPr>
          </w:p>
        </w:tc>
        <w:tc>
          <w:tcPr>
            <w:tcW w:w="2741" w:type="dxa"/>
            <w:tcBorders>
              <w:top w:val="nil"/>
              <w:left w:val="single" w:color="auto" w:sz="4" w:space="0"/>
              <w:bottom w:val="single" w:color="auto" w:sz="4" w:space="0"/>
              <w:right w:val="single" w:color="auto" w:sz="4" w:space="0"/>
            </w:tcBorders>
            <w:noWrap/>
            <w:vAlign w:val="center"/>
          </w:tcPr>
          <w:p>
            <w:pPr>
              <w:widowControl/>
              <w:rPr>
                <w:rFonts w:ascii="宋体" w:hAnsi="宋体" w:cs="宋体"/>
                <w:color w:val="000000"/>
                <w:kern w:val="0"/>
              </w:rPr>
            </w:pPr>
            <w:r>
              <w:rPr>
                <w:rFonts w:hint="eastAsia" w:ascii="宋体" w:hAnsi="宋体" w:cs="宋体"/>
                <w:color w:val="000000"/>
                <w:kern w:val="0"/>
              </w:rPr>
              <w:t>车道保持辅助系统</w:t>
            </w:r>
          </w:p>
        </w:tc>
        <w:tc>
          <w:tcPr>
            <w:tcW w:w="4418" w:type="dxa"/>
            <w:tcBorders>
              <w:top w:val="nil"/>
              <w:left w:val="nil"/>
              <w:bottom w:val="single" w:color="auto" w:sz="4" w:space="0"/>
              <w:right w:val="single" w:color="auto" w:sz="4" w:space="0"/>
            </w:tcBorders>
            <w:noWrap/>
            <w:vAlign w:val="center"/>
          </w:tcPr>
          <w:p>
            <w:pPr>
              <w:widowControl/>
              <w:rPr>
                <w:rFonts w:cs="宋体"/>
                <w:color w:val="000000"/>
                <w:kern w:val="0"/>
              </w:rPr>
            </w:pPr>
            <w:r>
              <w:rPr>
                <w:rFonts w:hint="eastAsia" w:ascii="宋体" w:hAnsi="宋体" w:cs="宋体"/>
                <w:color w:val="000000"/>
                <w:kern w:val="0"/>
                <w:sz w:val="22"/>
              </w:rPr>
              <w:t>根据所响应的车型情况填报</w:t>
            </w:r>
          </w:p>
        </w:tc>
      </w:tr>
      <w:tr>
        <w:tblPrEx>
          <w:tblCellMar>
            <w:top w:w="0" w:type="dxa"/>
            <w:left w:w="108" w:type="dxa"/>
            <w:bottom w:w="0" w:type="dxa"/>
            <w:right w:w="108" w:type="dxa"/>
          </w:tblCellMar>
        </w:tblPrEx>
        <w:trPr>
          <w:trHeight w:val="285" w:hRule="atLeast"/>
          <w:jc w:val="center"/>
        </w:trPr>
        <w:tc>
          <w:tcPr>
            <w:tcW w:w="1252" w:type="dxa"/>
            <w:vMerge w:val="continue"/>
            <w:tcBorders>
              <w:left w:val="single" w:color="auto" w:sz="4" w:space="0"/>
              <w:right w:val="single" w:color="auto" w:sz="4" w:space="0"/>
            </w:tcBorders>
            <w:noWrap/>
            <w:vAlign w:val="center"/>
          </w:tcPr>
          <w:p>
            <w:pPr>
              <w:widowControl/>
              <w:rPr>
                <w:rFonts w:ascii="宋体" w:hAnsi="宋体" w:cs="宋体"/>
                <w:color w:val="000000"/>
                <w:kern w:val="0"/>
              </w:rPr>
            </w:pPr>
          </w:p>
        </w:tc>
        <w:tc>
          <w:tcPr>
            <w:tcW w:w="2741" w:type="dxa"/>
            <w:tcBorders>
              <w:top w:val="nil"/>
              <w:left w:val="single" w:color="auto" w:sz="4" w:space="0"/>
              <w:bottom w:val="single" w:color="auto" w:sz="4" w:space="0"/>
              <w:right w:val="single" w:color="auto" w:sz="4" w:space="0"/>
            </w:tcBorders>
            <w:noWrap/>
            <w:vAlign w:val="center"/>
          </w:tcPr>
          <w:p>
            <w:pPr>
              <w:widowControl/>
              <w:rPr>
                <w:rFonts w:ascii="宋体" w:hAnsi="宋体" w:cs="宋体"/>
                <w:color w:val="000000"/>
                <w:kern w:val="0"/>
              </w:rPr>
            </w:pPr>
            <w:r>
              <w:rPr>
                <w:rFonts w:hint="eastAsia" w:ascii="宋体" w:hAnsi="宋体" w:cs="宋体"/>
                <w:color w:val="000000"/>
                <w:kern w:val="0"/>
              </w:rPr>
              <w:t>车道偏离预警</w:t>
            </w:r>
          </w:p>
        </w:tc>
        <w:tc>
          <w:tcPr>
            <w:tcW w:w="4418" w:type="dxa"/>
            <w:tcBorders>
              <w:top w:val="nil"/>
              <w:left w:val="nil"/>
              <w:bottom w:val="single" w:color="auto" w:sz="4" w:space="0"/>
              <w:right w:val="single" w:color="auto" w:sz="4" w:space="0"/>
            </w:tcBorders>
            <w:noWrap/>
            <w:vAlign w:val="center"/>
          </w:tcPr>
          <w:p>
            <w:pPr>
              <w:widowControl/>
              <w:rPr>
                <w:rFonts w:cs="宋体"/>
                <w:color w:val="000000"/>
                <w:kern w:val="0"/>
              </w:rPr>
            </w:pPr>
            <w:r>
              <w:rPr>
                <w:rFonts w:hint="eastAsia" w:ascii="宋体" w:hAnsi="宋体" w:cs="宋体"/>
                <w:color w:val="000000"/>
                <w:kern w:val="0"/>
                <w:sz w:val="22"/>
              </w:rPr>
              <w:t>根据所响应的车型情况填报</w:t>
            </w:r>
          </w:p>
        </w:tc>
      </w:tr>
      <w:tr>
        <w:tblPrEx>
          <w:tblCellMar>
            <w:top w:w="0" w:type="dxa"/>
            <w:left w:w="108" w:type="dxa"/>
            <w:bottom w:w="0" w:type="dxa"/>
            <w:right w:w="108" w:type="dxa"/>
          </w:tblCellMar>
        </w:tblPrEx>
        <w:trPr>
          <w:trHeight w:val="270" w:hRule="atLeast"/>
          <w:jc w:val="center"/>
        </w:trPr>
        <w:tc>
          <w:tcPr>
            <w:tcW w:w="1252" w:type="dxa"/>
            <w:vMerge w:val="continue"/>
            <w:tcBorders>
              <w:left w:val="single" w:color="auto" w:sz="4" w:space="0"/>
              <w:right w:val="single" w:color="auto" w:sz="4" w:space="0"/>
            </w:tcBorders>
            <w:noWrap/>
            <w:vAlign w:val="center"/>
          </w:tcPr>
          <w:p>
            <w:pPr>
              <w:widowControl/>
              <w:rPr>
                <w:rFonts w:ascii="宋体" w:hAnsi="宋体" w:cs="宋体"/>
                <w:color w:val="000000"/>
                <w:kern w:val="0"/>
              </w:rPr>
            </w:pPr>
          </w:p>
        </w:tc>
        <w:tc>
          <w:tcPr>
            <w:tcW w:w="2741" w:type="dxa"/>
            <w:tcBorders>
              <w:top w:val="nil"/>
              <w:left w:val="single" w:color="auto" w:sz="4" w:space="0"/>
              <w:bottom w:val="single" w:color="auto" w:sz="4" w:space="0"/>
              <w:right w:val="single" w:color="auto" w:sz="4" w:space="0"/>
            </w:tcBorders>
            <w:noWrap/>
            <w:vAlign w:val="center"/>
          </w:tcPr>
          <w:p>
            <w:pPr>
              <w:widowControl/>
              <w:rPr>
                <w:rFonts w:ascii="宋体" w:hAnsi="宋体" w:cs="宋体"/>
                <w:color w:val="000000"/>
                <w:kern w:val="0"/>
              </w:rPr>
            </w:pPr>
            <w:r>
              <w:rPr>
                <w:rFonts w:hint="eastAsia" w:ascii="宋体" w:hAnsi="宋体" w:cs="宋体"/>
                <w:color w:val="000000"/>
                <w:kern w:val="0"/>
              </w:rPr>
              <w:t>前排气囊</w:t>
            </w:r>
          </w:p>
        </w:tc>
        <w:tc>
          <w:tcPr>
            <w:tcW w:w="4418" w:type="dxa"/>
            <w:tcBorders>
              <w:top w:val="nil"/>
              <w:left w:val="nil"/>
              <w:bottom w:val="single" w:color="auto" w:sz="4" w:space="0"/>
              <w:right w:val="single" w:color="auto" w:sz="4" w:space="0"/>
            </w:tcBorders>
            <w:noWrap/>
            <w:vAlign w:val="center"/>
          </w:tcPr>
          <w:p>
            <w:pPr>
              <w:widowControl/>
              <w:rPr>
                <w:rFonts w:ascii="宋体" w:hAnsi="宋体" w:cs="宋体"/>
                <w:color w:val="000000"/>
                <w:kern w:val="0"/>
              </w:rPr>
            </w:pPr>
            <w:r>
              <w:rPr>
                <w:rFonts w:hint="eastAsia" w:ascii="宋体" w:hAnsi="宋体" w:cs="宋体"/>
                <w:color w:val="000000"/>
                <w:kern w:val="0"/>
                <w:sz w:val="22"/>
              </w:rPr>
              <w:t>根据所响应的车型情况填报</w:t>
            </w:r>
          </w:p>
        </w:tc>
      </w:tr>
      <w:tr>
        <w:tblPrEx>
          <w:tblCellMar>
            <w:top w:w="0" w:type="dxa"/>
            <w:left w:w="108" w:type="dxa"/>
            <w:bottom w:w="0" w:type="dxa"/>
            <w:right w:w="108" w:type="dxa"/>
          </w:tblCellMar>
        </w:tblPrEx>
        <w:trPr>
          <w:trHeight w:val="285" w:hRule="atLeast"/>
          <w:jc w:val="center"/>
        </w:trPr>
        <w:tc>
          <w:tcPr>
            <w:tcW w:w="1252" w:type="dxa"/>
            <w:vMerge w:val="continue"/>
            <w:tcBorders>
              <w:left w:val="single" w:color="auto" w:sz="4" w:space="0"/>
              <w:right w:val="single" w:color="auto" w:sz="4" w:space="0"/>
            </w:tcBorders>
            <w:noWrap/>
            <w:vAlign w:val="center"/>
          </w:tcPr>
          <w:p>
            <w:pPr>
              <w:widowControl/>
              <w:rPr>
                <w:rFonts w:ascii="宋体" w:hAnsi="宋体" w:cs="宋体"/>
                <w:color w:val="000000"/>
                <w:kern w:val="0"/>
              </w:rPr>
            </w:pPr>
          </w:p>
        </w:tc>
        <w:tc>
          <w:tcPr>
            <w:tcW w:w="2741" w:type="dxa"/>
            <w:tcBorders>
              <w:top w:val="nil"/>
              <w:left w:val="single" w:color="auto" w:sz="4" w:space="0"/>
              <w:bottom w:val="single" w:color="auto" w:sz="4" w:space="0"/>
              <w:right w:val="single" w:color="auto" w:sz="4" w:space="0"/>
            </w:tcBorders>
            <w:noWrap/>
            <w:vAlign w:val="center"/>
          </w:tcPr>
          <w:p>
            <w:pPr>
              <w:widowControl/>
              <w:rPr>
                <w:rFonts w:ascii="宋体" w:hAnsi="宋体" w:cs="宋体"/>
                <w:color w:val="000000"/>
                <w:kern w:val="0"/>
              </w:rPr>
            </w:pPr>
            <w:r>
              <w:rPr>
                <w:rFonts w:hint="eastAsia" w:ascii="宋体" w:hAnsi="宋体" w:cs="宋体"/>
                <w:color w:val="000000"/>
                <w:kern w:val="0"/>
              </w:rPr>
              <w:t>后排气囊</w:t>
            </w:r>
          </w:p>
        </w:tc>
        <w:tc>
          <w:tcPr>
            <w:tcW w:w="4418" w:type="dxa"/>
            <w:tcBorders>
              <w:top w:val="nil"/>
              <w:left w:val="nil"/>
              <w:bottom w:val="single" w:color="auto" w:sz="4" w:space="0"/>
              <w:right w:val="single" w:color="auto" w:sz="4" w:space="0"/>
            </w:tcBorders>
            <w:noWrap/>
            <w:vAlign w:val="center"/>
          </w:tcPr>
          <w:p>
            <w:pPr>
              <w:widowControl/>
              <w:rPr>
                <w:rFonts w:cs="宋体"/>
                <w:color w:val="000000"/>
                <w:kern w:val="0"/>
              </w:rPr>
            </w:pPr>
            <w:r>
              <w:rPr>
                <w:rFonts w:hint="eastAsia" w:ascii="宋体" w:hAnsi="宋体" w:cs="宋体"/>
                <w:color w:val="000000"/>
                <w:kern w:val="0"/>
                <w:sz w:val="22"/>
              </w:rPr>
              <w:t>根据所响应的车型情况填报</w:t>
            </w:r>
          </w:p>
        </w:tc>
      </w:tr>
      <w:tr>
        <w:tblPrEx>
          <w:tblCellMar>
            <w:top w:w="0" w:type="dxa"/>
            <w:left w:w="108" w:type="dxa"/>
            <w:bottom w:w="0" w:type="dxa"/>
            <w:right w:w="108" w:type="dxa"/>
          </w:tblCellMar>
        </w:tblPrEx>
        <w:trPr>
          <w:trHeight w:val="270" w:hRule="atLeast"/>
          <w:jc w:val="center"/>
        </w:trPr>
        <w:tc>
          <w:tcPr>
            <w:tcW w:w="1252" w:type="dxa"/>
            <w:vMerge w:val="continue"/>
            <w:tcBorders>
              <w:left w:val="single" w:color="auto" w:sz="4" w:space="0"/>
              <w:bottom w:val="single" w:color="auto" w:sz="4" w:space="0"/>
              <w:right w:val="single" w:color="auto" w:sz="4" w:space="0"/>
            </w:tcBorders>
            <w:noWrap/>
            <w:vAlign w:val="center"/>
          </w:tcPr>
          <w:p>
            <w:pPr>
              <w:widowControl/>
              <w:rPr>
                <w:rFonts w:ascii="宋体" w:hAnsi="宋体" w:cs="宋体"/>
                <w:color w:val="000000"/>
                <w:kern w:val="0"/>
              </w:rPr>
            </w:pPr>
          </w:p>
        </w:tc>
        <w:tc>
          <w:tcPr>
            <w:tcW w:w="2741" w:type="dxa"/>
            <w:tcBorders>
              <w:top w:val="nil"/>
              <w:left w:val="single" w:color="auto" w:sz="4" w:space="0"/>
              <w:bottom w:val="single" w:color="auto" w:sz="4" w:space="0"/>
              <w:right w:val="single" w:color="auto" w:sz="4" w:space="0"/>
            </w:tcBorders>
            <w:noWrap/>
            <w:vAlign w:val="center"/>
          </w:tcPr>
          <w:p>
            <w:pPr>
              <w:widowControl/>
              <w:rPr>
                <w:rFonts w:ascii="宋体" w:hAnsi="宋体" w:cs="宋体"/>
                <w:color w:val="000000"/>
                <w:kern w:val="0"/>
              </w:rPr>
            </w:pPr>
            <w:r>
              <w:rPr>
                <w:rFonts w:hint="eastAsia" w:ascii="宋体" w:hAnsi="宋体" w:cs="宋体"/>
                <w:color w:val="000000"/>
                <w:kern w:val="0"/>
              </w:rPr>
              <w:t>胎压检测装置</w:t>
            </w:r>
          </w:p>
        </w:tc>
        <w:tc>
          <w:tcPr>
            <w:tcW w:w="4418" w:type="dxa"/>
            <w:tcBorders>
              <w:top w:val="nil"/>
              <w:left w:val="nil"/>
              <w:bottom w:val="single" w:color="auto" w:sz="4" w:space="0"/>
              <w:right w:val="single" w:color="auto" w:sz="4" w:space="0"/>
            </w:tcBorders>
            <w:noWrap/>
            <w:vAlign w:val="center"/>
          </w:tcPr>
          <w:p>
            <w:pPr>
              <w:widowControl/>
              <w:rPr>
                <w:rFonts w:ascii="宋体" w:hAnsi="宋体" w:cs="宋体"/>
                <w:color w:val="000000"/>
                <w:kern w:val="0"/>
              </w:rPr>
            </w:pPr>
            <w:r>
              <w:rPr>
                <w:rFonts w:hint="eastAsia" w:ascii="宋体" w:hAnsi="宋体" w:cs="宋体"/>
                <w:color w:val="000000"/>
                <w:kern w:val="0"/>
                <w:sz w:val="22"/>
              </w:rPr>
              <w:t>根据所响应的车型情况填报</w:t>
            </w:r>
          </w:p>
        </w:tc>
      </w:tr>
      <w:tr>
        <w:tblPrEx>
          <w:tblCellMar>
            <w:top w:w="0" w:type="dxa"/>
            <w:left w:w="108" w:type="dxa"/>
            <w:bottom w:w="0" w:type="dxa"/>
            <w:right w:w="108" w:type="dxa"/>
          </w:tblCellMar>
        </w:tblPrEx>
        <w:trPr>
          <w:trHeight w:val="270" w:hRule="atLeast"/>
          <w:jc w:val="center"/>
        </w:trPr>
        <w:tc>
          <w:tcPr>
            <w:tcW w:w="1252" w:type="dxa"/>
            <w:vMerge w:val="restart"/>
            <w:tcBorders>
              <w:top w:val="nil"/>
              <w:left w:val="single" w:color="auto" w:sz="4" w:space="0"/>
              <w:right w:val="single" w:color="auto" w:sz="4" w:space="0"/>
            </w:tcBorders>
            <w:noWrap/>
            <w:vAlign w:val="center"/>
          </w:tcPr>
          <w:p>
            <w:pPr>
              <w:rPr>
                <w:rFonts w:ascii="宋体" w:hAnsi="宋体" w:cs="宋体"/>
                <w:color w:val="000000"/>
                <w:kern w:val="0"/>
              </w:rPr>
            </w:pPr>
            <w:r>
              <w:rPr>
                <w:rFonts w:hint="eastAsia" w:ascii="宋体" w:hAnsi="宋体" w:cs="宋体"/>
                <w:color w:val="000000"/>
                <w:kern w:val="0"/>
              </w:rPr>
              <w:t>智慧科技参数</w:t>
            </w:r>
          </w:p>
        </w:tc>
        <w:tc>
          <w:tcPr>
            <w:tcW w:w="2741" w:type="dxa"/>
            <w:tcBorders>
              <w:top w:val="nil"/>
              <w:left w:val="single" w:color="auto" w:sz="4" w:space="0"/>
              <w:bottom w:val="single" w:color="auto" w:sz="4" w:space="0"/>
              <w:right w:val="single" w:color="auto" w:sz="4" w:space="0"/>
            </w:tcBorders>
            <w:noWrap/>
            <w:vAlign w:val="center"/>
          </w:tcPr>
          <w:p>
            <w:pPr>
              <w:widowControl/>
              <w:rPr>
                <w:rFonts w:ascii="宋体" w:hAnsi="宋体" w:cs="宋体"/>
                <w:color w:val="000000"/>
                <w:kern w:val="0"/>
              </w:rPr>
            </w:pPr>
            <w:r>
              <w:rPr>
                <w:rFonts w:hint="eastAsia" w:ascii="宋体" w:hAnsi="宋体" w:cs="宋体"/>
                <w:color w:val="000000"/>
                <w:kern w:val="0"/>
              </w:rPr>
              <w:t>驻车雷达</w:t>
            </w:r>
          </w:p>
        </w:tc>
        <w:tc>
          <w:tcPr>
            <w:tcW w:w="4418" w:type="dxa"/>
            <w:tcBorders>
              <w:top w:val="nil"/>
              <w:left w:val="nil"/>
              <w:bottom w:val="single" w:color="auto" w:sz="4" w:space="0"/>
              <w:right w:val="single" w:color="auto" w:sz="4" w:space="0"/>
            </w:tcBorders>
            <w:noWrap/>
            <w:vAlign w:val="center"/>
          </w:tcPr>
          <w:p>
            <w:pPr>
              <w:widowControl/>
              <w:rPr>
                <w:rFonts w:ascii="宋体" w:hAnsi="宋体" w:cs="宋体"/>
                <w:color w:val="000000"/>
                <w:kern w:val="0"/>
              </w:rPr>
            </w:pPr>
            <w:r>
              <w:rPr>
                <w:rFonts w:hint="eastAsia" w:ascii="宋体" w:hAnsi="宋体" w:cs="宋体"/>
                <w:color w:val="000000"/>
                <w:kern w:val="0"/>
                <w:sz w:val="22"/>
              </w:rPr>
              <w:t>根据所响应的车型情况填报</w:t>
            </w:r>
          </w:p>
        </w:tc>
      </w:tr>
      <w:tr>
        <w:tblPrEx>
          <w:tblCellMar>
            <w:top w:w="0" w:type="dxa"/>
            <w:left w:w="108" w:type="dxa"/>
            <w:bottom w:w="0" w:type="dxa"/>
            <w:right w:w="108" w:type="dxa"/>
          </w:tblCellMar>
        </w:tblPrEx>
        <w:trPr>
          <w:trHeight w:val="285" w:hRule="atLeast"/>
          <w:jc w:val="center"/>
        </w:trPr>
        <w:tc>
          <w:tcPr>
            <w:tcW w:w="1252" w:type="dxa"/>
            <w:vMerge w:val="continue"/>
            <w:tcBorders>
              <w:left w:val="single" w:color="auto" w:sz="4" w:space="0"/>
              <w:right w:val="single" w:color="auto" w:sz="4" w:space="0"/>
            </w:tcBorders>
            <w:noWrap/>
            <w:vAlign w:val="center"/>
          </w:tcPr>
          <w:p>
            <w:pPr>
              <w:rPr>
                <w:rFonts w:ascii="宋体" w:hAnsi="宋体" w:cs="宋体"/>
                <w:color w:val="000000"/>
                <w:kern w:val="0"/>
              </w:rPr>
            </w:pPr>
          </w:p>
        </w:tc>
        <w:tc>
          <w:tcPr>
            <w:tcW w:w="2741" w:type="dxa"/>
            <w:tcBorders>
              <w:top w:val="nil"/>
              <w:left w:val="single" w:color="auto" w:sz="4" w:space="0"/>
              <w:bottom w:val="single" w:color="auto" w:sz="4" w:space="0"/>
              <w:right w:val="single" w:color="auto" w:sz="4" w:space="0"/>
            </w:tcBorders>
            <w:noWrap/>
            <w:vAlign w:val="center"/>
          </w:tcPr>
          <w:p>
            <w:pPr>
              <w:widowControl/>
              <w:rPr>
                <w:rFonts w:ascii="宋体" w:hAnsi="宋体" w:cs="宋体"/>
                <w:color w:val="000000"/>
                <w:kern w:val="0"/>
              </w:rPr>
            </w:pPr>
            <w:r>
              <w:rPr>
                <w:rFonts w:hint="eastAsia" w:ascii="宋体" w:hAnsi="宋体" w:cs="宋体"/>
                <w:color w:val="000000"/>
                <w:kern w:val="0"/>
              </w:rPr>
              <w:t>驾驶辅助影像</w:t>
            </w:r>
          </w:p>
        </w:tc>
        <w:tc>
          <w:tcPr>
            <w:tcW w:w="4418" w:type="dxa"/>
            <w:tcBorders>
              <w:top w:val="nil"/>
              <w:left w:val="nil"/>
              <w:bottom w:val="single" w:color="auto" w:sz="4" w:space="0"/>
              <w:right w:val="single" w:color="auto" w:sz="4" w:space="0"/>
            </w:tcBorders>
            <w:noWrap/>
            <w:vAlign w:val="center"/>
          </w:tcPr>
          <w:p>
            <w:pPr>
              <w:widowControl/>
              <w:rPr>
                <w:rFonts w:ascii="宋体" w:hAnsi="宋体" w:cs="宋体"/>
                <w:color w:val="000000"/>
                <w:kern w:val="0"/>
              </w:rPr>
            </w:pPr>
            <w:r>
              <w:rPr>
                <w:rFonts w:hint="eastAsia" w:ascii="宋体" w:hAnsi="宋体" w:cs="宋体"/>
                <w:color w:val="000000"/>
                <w:kern w:val="0"/>
                <w:sz w:val="22"/>
              </w:rPr>
              <w:t>根据所响应的车型情况填报</w:t>
            </w:r>
          </w:p>
        </w:tc>
      </w:tr>
      <w:tr>
        <w:tblPrEx>
          <w:tblCellMar>
            <w:top w:w="0" w:type="dxa"/>
            <w:left w:w="108" w:type="dxa"/>
            <w:bottom w:w="0" w:type="dxa"/>
            <w:right w:w="108" w:type="dxa"/>
          </w:tblCellMar>
        </w:tblPrEx>
        <w:trPr>
          <w:trHeight w:val="270" w:hRule="atLeast"/>
          <w:jc w:val="center"/>
        </w:trPr>
        <w:tc>
          <w:tcPr>
            <w:tcW w:w="1252" w:type="dxa"/>
            <w:vMerge w:val="continue"/>
            <w:tcBorders>
              <w:left w:val="single" w:color="auto" w:sz="4" w:space="0"/>
              <w:right w:val="single" w:color="auto" w:sz="4" w:space="0"/>
            </w:tcBorders>
            <w:noWrap/>
            <w:vAlign w:val="center"/>
          </w:tcPr>
          <w:p>
            <w:pPr>
              <w:rPr>
                <w:rFonts w:ascii="宋体" w:hAnsi="宋体" w:cs="宋体"/>
                <w:color w:val="000000"/>
                <w:kern w:val="0"/>
              </w:rPr>
            </w:pPr>
          </w:p>
        </w:tc>
        <w:tc>
          <w:tcPr>
            <w:tcW w:w="2741" w:type="dxa"/>
            <w:tcBorders>
              <w:top w:val="nil"/>
              <w:left w:val="single" w:color="auto" w:sz="4" w:space="0"/>
              <w:bottom w:val="single" w:color="auto" w:sz="4" w:space="0"/>
              <w:right w:val="single" w:color="auto" w:sz="4" w:space="0"/>
            </w:tcBorders>
            <w:noWrap/>
            <w:vAlign w:val="center"/>
          </w:tcPr>
          <w:p>
            <w:pPr>
              <w:widowControl/>
              <w:rPr>
                <w:rFonts w:ascii="宋体" w:hAnsi="宋体" w:cs="宋体"/>
                <w:color w:val="000000"/>
                <w:kern w:val="0"/>
              </w:rPr>
            </w:pPr>
            <w:r>
              <w:rPr>
                <w:rFonts w:hint="eastAsia" w:ascii="宋体" w:hAnsi="宋体" w:cs="宋体"/>
                <w:color w:val="000000"/>
                <w:kern w:val="0"/>
              </w:rPr>
              <w:t>巡航系统</w:t>
            </w:r>
          </w:p>
        </w:tc>
        <w:tc>
          <w:tcPr>
            <w:tcW w:w="4418" w:type="dxa"/>
            <w:tcBorders>
              <w:top w:val="nil"/>
              <w:left w:val="nil"/>
              <w:bottom w:val="single" w:color="auto" w:sz="4" w:space="0"/>
              <w:right w:val="single" w:color="auto" w:sz="4" w:space="0"/>
            </w:tcBorders>
            <w:noWrap/>
            <w:vAlign w:val="center"/>
          </w:tcPr>
          <w:p>
            <w:pPr>
              <w:widowControl/>
              <w:rPr>
                <w:rFonts w:ascii="宋体" w:hAnsi="宋体" w:cs="宋体"/>
                <w:color w:val="000000"/>
                <w:kern w:val="0"/>
              </w:rPr>
            </w:pPr>
            <w:r>
              <w:rPr>
                <w:rFonts w:hint="eastAsia" w:ascii="宋体" w:hAnsi="宋体" w:cs="宋体"/>
                <w:color w:val="000000"/>
                <w:kern w:val="0"/>
                <w:sz w:val="22"/>
              </w:rPr>
              <w:t>根据所响应的车型情况填报</w:t>
            </w:r>
          </w:p>
        </w:tc>
      </w:tr>
      <w:tr>
        <w:tblPrEx>
          <w:tblCellMar>
            <w:top w:w="0" w:type="dxa"/>
            <w:left w:w="108" w:type="dxa"/>
            <w:bottom w:w="0" w:type="dxa"/>
            <w:right w:w="108" w:type="dxa"/>
          </w:tblCellMar>
        </w:tblPrEx>
        <w:trPr>
          <w:trHeight w:val="270" w:hRule="atLeast"/>
          <w:jc w:val="center"/>
        </w:trPr>
        <w:tc>
          <w:tcPr>
            <w:tcW w:w="1252" w:type="dxa"/>
            <w:vMerge w:val="continue"/>
            <w:tcBorders>
              <w:left w:val="single" w:color="auto" w:sz="4" w:space="0"/>
              <w:right w:val="single" w:color="auto" w:sz="4" w:space="0"/>
            </w:tcBorders>
            <w:noWrap/>
            <w:vAlign w:val="center"/>
          </w:tcPr>
          <w:p>
            <w:pPr>
              <w:widowControl/>
              <w:rPr>
                <w:rFonts w:ascii="宋体" w:hAnsi="宋体" w:cs="宋体"/>
                <w:color w:val="000000"/>
                <w:kern w:val="0"/>
              </w:rPr>
            </w:pPr>
          </w:p>
        </w:tc>
        <w:tc>
          <w:tcPr>
            <w:tcW w:w="2741" w:type="dxa"/>
            <w:tcBorders>
              <w:top w:val="nil"/>
              <w:left w:val="single" w:color="auto" w:sz="4" w:space="0"/>
              <w:bottom w:val="single" w:color="auto" w:sz="4" w:space="0"/>
              <w:right w:val="single" w:color="auto" w:sz="4" w:space="0"/>
            </w:tcBorders>
            <w:noWrap/>
            <w:vAlign w:val="center"/>
          </w:tcPr>
          <w:p>
            <w:pPr>
              <w:widowControl/>
              <w:rPr>
                <w:rFonts w:ascii="宋体" w:hAnsi="宋体" w:cs="宋体"/>
                <w:color w:val="000000"/>
                <w:kern w:val="0"/>
              </w:rPr>
            </w:pPr>
            <w:r>
              <w:rPr>
                <w:rFonts w:hint="eastAsia" w:ascii="宋体" w:hAnsi="宋体" w:cs="宋体"/>
                <w:color w:val="000000"/>
                <w:kern w:val="0"/>
              </w:rPr>
              <w:t>中控台彩色大屏</w:t>
            </w:r>
          </w:p>
        </w:tc>
        <w:tc>
          <w:tcPr>
            <w:tcW w:w="4418" w:type="dxa"/>
            <w:tcBorders>
              <w:top w:val="nil"/>
              <w:left w:val="nil"/>
              <w:bottom w:val="single" w:color="auto" w:sz="4" w:space="0"/>
              <w:right w:val="single" w:color="auto" w:sz="4" w:space="0"/>
            </w:tcBorders>
            <w:noWrap/>
            <w:vAlign w:val="center"/>
          </w:tcPr>
          <w:p>
            <w:pPr>
              <w:widowControl/>
              <w:jc w:val="left"/>
              <w:rPr>
                <w:rFonts w:ascii="宋体" w:hAnsi="宋体" w:cs="宋体"/>
                <w:color w:val="000000"/>
                <w:kern w:val="0"/>
                <w:sz w:val="22"/>
              </w:rPr>
            </w:pPr>
            <w:r>
              <w:rPr>
                <w:rFonts w:hint="eastAsia" w:ascii="宋体" w:hAnsi="宋体" w:cs="宋体"/>
                <w:color w:val="000000"/>
                <w:kern w:val="0"/>
                <w:sz w:val="22"/>
              </w:rPr>
              <w:t>根据所响应的车型情况填报</w:t>
            </w:r>
          </w:p>
        </w:tc>
      </w:tr>
      <w:tr>
        <w:tblPrEx>
          <w:tblCellMar>
            <w:top w:w="0" w:type="dxa"/>
            <w:left w:w="108" w:type="dxa"/>
            <w:bottom w:w="0" w:type="dxa"/>
            <w:right w:w="108" w:type="dxa"/>
          </w:tblCellMar>
        </w:tblPrEx>
        <w:trPr>
          <w:trHeight w:val="285" w:hRule="atLeast"/>
          <w:jc w:val="center"/>
        </w:trPr>
        <w:tc>
          <w:tcPr>
            <w:tcW w:w="1252" w:type="dxa"/>
            <w:vMerge w:val="continue"/>
            <w:tcBorders>
              <w:left w:val="single" w:color="auto" w:sz="4" w:space="0"/>
              <w:right w:val="single" w:color="auto" w:sz="4" w:space="0"/>
            </w:tcBorders>
            <w:noWrap/>
            <w:vAlign w:val="center"/>
          </w:tcPr>
          <w:p>
            <w:pPr>
              <w:widowControl/>
              <w:rPr>
                <w:rFonts w:cs="宋体"/>
                <w:color w:val="000000"/>
                <w:kern w:val="0"/>
              </w:rPr>
            </w:pPr>
          </w:p>
        </w:tc>
        <w:tc>
          <w:tcPr>
            <w:tcW w:w="2741" w:type="dxa"/>
            <w:tcBorders>
              <w:top w:val="nil"/>
              <w:left w:val="single" w:color="auto" w:sz="4" w:space="0"/>
              <w:bottom w:val="single" w:color="auto" w:sz="4" w:space="0"/>
              <w:right w:val="single" w:color="auto" w:sz="4" w:space="0"/>
            </w:tcBorders>
            <w:noWrap/>
            <w:vAlign w:val="center"/>
          </w:tcPr>
          <w:p>
            <w:pPr>
              <w:widowControl/>
              <w:rPr>
                <w:rFonts w:cs="宋体"/>
                <w:color w:val="000000"/>
                <w:kern w:val="0"/>
              </w:rPr>
            </w:pPr>
            <w:r>
              <w:rPr>
                <w:rFonts w:cs="宋体"/>
                <w:color w:val="000000"/>
                <w:kern w:val="0"/>
              </w:rPr>
              <w:t>GPS</w:t>
            </w:r>
            <w:r>
              <w:rPr>
                <w:rFonts w:hint="eastAsia" w:ascii="宋体" w:hAnsi="宋体" w:cs="宋体"/>
                <w:color w:val="000000"/>
                <w:kern w:val="0"/>
              </w:rPr>
              <w:t>导航</w:t>
            </w:r>
          </w:p>
        </w:tc>
        <w:tc>
          <w:tcPr>
            <w:tcW w:w="4418" w:type="dxa"/>
            <w:tcBorders>
              <w:top w:val="nil"/>
              <w:left w:val="nil"/>
              <w:bottom w:val="single" w:color="auto" w:sz="4" w:space="0"/>
              <w:right w:val="single" w:color="auto" w:sz="4" w:space="0"/>
            </w:tcBorders>
            <w:noWrap/>
            <w:vAlign w:val="center"/>
          </w:tcPr>
          <w:p>
            <w:pPr>
              <w:widowControl/>
              <w:jc w:val="left"/>
              <w:rPr>
                <w:rFonts w:ascii="宋体" w:hAnsi="宋体" w:cs="宋体"/>
                <w:color w:val="000000"/>
                <w:kern w:val="0"/>
                <w:sz w:val="22"/>
              </w:rPr>
            </w:pPr>
            <w:r>
              <w:rPr>
                <w:rFonts w:hint="eastAsia" w:ascii="宋体" w:hAnsi="宋体" w:cs="宋体"/>
                <w:color w:val="000000"/>
                <w:kern w:val="0"/>
                <w:sz w:val="22"/>
              </w:rPr>
              <w:t>根据所响应的车型情况填报</w:t>
            </w:r>
          </w:p>
        </w:tc>
      </w:tr>
      <w:tr>
        <w:tblPrEx>
          <w:tblCellMar>
            <w:top w:w="0" w:type="dxa"/>
            <w:left w:w="108" w:type="dxa"/>
            <w:bottom w:w="0" w:type="dxa"/>
            <w:right w:w="108" w:type="dxa"/>
          </w:tblCellMar>
        </w:tblPrEx>
        <w:trPr>
          <w:trHeight w:val="270" w:hRule="atLeast"/>
          <w:jc w:val="center"/>
        </w:trPr>
        <w:tc>
          <w:tcPr>
            <w:tcW w:w="1252" w:type="dxa"/>
            <w:vMerge w:val="continue"/>
            <w:tcBorders>
              <w:left w:val="single" w:color="auto" w:sz="4" w:space="0"/>
              <w:right w:val="single" w:color="auto" w:sz="4" w:space="0"/>
            </w:tcBorders>
            <w:noWrap/>
            <w:vAlign w:val="center"/>
          </w:tcPr>
          <w:p>
            <w:pPr>
              <w:widowControl/>
              <w:rPr>
                <w:rFonts w:ascii="宋体" w:hAnsi="宋体" w:cs="宋体"/>
                <w:color w:val="000000"/>
                <w:kern w:val="0"/>
              </w:rPr>
            </w:pPr>
          </w:p>
        </w:tc>
        <w:tc>
          <w:tcPr>
            <w:tcW w:w="2741" w:type="dxa"/>
            <w:tcBorders>
              <w:top w:val="nil"/>
              <w:left w:val="single" w:color="auto" w:sz="4" w:space="0"/>
              <w:bottom w:val="single" w:color="auto" w:sz="4" w:space="0"/>
              <w:right w:val="single" w:color="auto" w:sz="4" w:space="0"/>
            </w:tcBorders>
            <w:noWrap/>
            <w:vAlign w:val="center"/>
          </w:tcPr>
          <w:p>
            <w:pPr>
              <w:widowControl/>
              <w:rPr>
                <w:rFonts w:ascii="宋体" w:hAnsi="宋体" w:cs="宋体"/>
                <w:color w:val="000000"/>
                <w:kern w:val="0"/>
              </w:rPr>
            </w:pPr>
            <w:r>
              <w:rPr>
                <w:rFonts w:hint="eastAsia" w:ascii="宋体" w:hAnsi="宋体" w:cs="宋体"/>
                <w:color w:val="000000"/>
                <w:kern w:val="0"/>
              </w:rPr>
              <w:t>导航路况信息显示</w:t>
            </w:r>
          </w:p>
        </w:tc>
        <w:tc>
          <w:tcPr>
            <w:tcW w:w="4418" w:type="dxa"/>
            <w:tcBorders>
              <w:top w:val="nil"/>
              <w:left w:val="nil"/>
              <w:bottom w:val="single" w:color="auto" w:sz="4" w:space="0"/>
              <w:right w:val="single" w:color="auto" w:sz="4" w:space="0"/>
            </w:tcBorders>
            <w:noWrap/>
            <w:vAlign w:val="center"/>
          </w:tcPr>
          <w:p>
            <w:pPr>
              <w:widowControl/>
              <w:jc w:val="left"/>
              <w:rPr>
                <w:rFonts w:ascii="宋体" w:hAnsi="宋体" w:cs="宋体"/>
                <w:color w:val="000000"/>
                <w:kern w:val="0"/>
                <w:sz w:val="22"/>
              </w:rPr>
            </w:pPr>
            <w:r>
              <w:rPr>
                <w:rFonts w:hint="eastAsia" w:ascii="宋体" w:hAnsi="宋体" w:cs="宋体"/>
                <w:color w:val="000000"/>
                <w:kern w:val="0"/>
                <w:sz w:val="22"/>
              </w:rPr>
              <w:t>根据所响应的车型情况填报</w:t>
            </w:r>
          </w:p>
        </w:tc>
      </w:tr>
      <w:tr>
        <w:tblPrEx>
          <w:tblCellMar>
            <w:top w:w="0" w:type="dxa"/>
            <w:left w:w="108" w:type="dxa"/>
            <w:bottom w:w="0" w:type="dxa"/>
            <w:right w:w="108" w:type="dxa"/>
          </w:tblCellMar>
        </w:tblPrEx>
        <w:trPr>
          <w:trHeight w:val="270" w:hRule="atLeast"/>
          <w:jc w:val="center"/>
        </w:trPr>
        <w:tc>
          <w:tcPr>
            <w:tcW w:w="1252" w:type="dxa"/>
            <w:vMerge w:val="continue"/>
            <w:tcBorders>
              <w:left w:val="single" w:color="auto" w:sz="4" w:space="0"/>
              <w:bottom w:val="single" w:color="auto" w:sz="4" w:space="0"/>
              <w:right w:val="single" w:color="auto" w:sz="4" w:space="0"/>
            </w:tcBorders>
            <w:noWrap/>
            <w:vAlign w:val="center"/>
          </w:tcPr>
          <w:p>
            <w:pPr>
              <w:widowControl/>
              <w:rPr>
                <w:rFonts w:ascii="宋体" w:hAnsi="宋体" w:cs="宋体"/>
                <w:color w:val="000000"/>
                <w:kern w:val="0"/>
              </w:rPr>
            </w:pPr>
          </w:p>
        </w:tc>
        <w:tc>
          <w:tcPr>
            <w:tcW w:w="2741" w:type="dxa"/>
            <w:tcBorders>
              <w:top w:val="nil"/>
              <w:left w:val="single" w:color="auto" w:sz="4" w:space="0"/>
              <w:bottom w:val="single" w:color="auto" w:sz="4" w:space="0"/>
              <w:right w:val="single" w:color="auto" w:sz="4" w:space="0"/>
            </w:tcBorders>
            <w:noWrap/>
            <w:vAlign w:val="center"/>
          </w:tcPr>
          <w:p>
            <w:pPr>
              <w:widowControl/>
              <w:rPr>
                <w:rFonts w:ascii="宋体" w:hAnsi="宋体" w:cs="宋体"/>
                <w:color w:val="000000"/>
                <w:kern w:val="0"/>
              </w:rPr>
            </w:pPr>
            <w:r>
              <w:rPr>
                <w:rFonts w:hint="eastAsia" w:ascii="宋体" w:hAnsi="宋体" w:cs="宋体"/>
                <w:color w:val="000000"/>
                <w:kern w:val="0"/>
              </w:rPr>
              <w:t>语音识别控制系统</w:t>
            </w:r>
          </w:p>
        </w:tc>
        <w:tc>
          <w:tcPr>
            <w:tcW w:w="4418" w:type="dxa"/>
            <w:tcBorders>
              <w:top w:val="nil"/>
              <w:left w:val="nil"/>
              <w:bottom w:val="single" w:color="auto" w:sz="4" w:space="0"/>
              <w:right w:val="single" w:color="auto" w:sz="4" w:space="0"/>
            </w:tcBorders>
            <w:noWrap/>
            <w:vAlign w:val="center"/>
          </w:tcPr>
          <w:p>
            <w:pPr>
              <w:widowControl/>
              <w:rPr>
                <w:rFonts w:ascii="宋体" w:hAnsi="宋体" w:cs="宋体"/>
                <w:color w:val="000000"/>
                <w:kern w:val="0"/>
              </w:rPr>
            </w:pPr>
            <w:r>
              <w:rPr>
                <w:rFonts w:hint="eastAsia" w:ascii="宋体" w:hAnsi="宋体" w:cs="宋体"/>
                <w:color w:val="000000"/>
                <w:kern w:val="0"/>
                <w:sz w:val="22"/>
              </w:rPr>
              <w:t>根据所响应的车型情况填报</w:t>
            </w:r>
          </w:p>
        </w:tc>
      </w:tr>
      <w:tr>
        <w:tblPrEx>
          <w:tblCellMar>
            <w:top w:w="0" w:type="dxa"/>
            <w:left w:w="108" w:type="dxa"/>
            <w:bottom w:w="0" w:type="dxa"/>
            <w:right w:w="108" w:type="dxa"/>
          </w:tblCellMar>
        </w:tblPrEx>
        <w:trPr>
          <w:trHeight w:val="383" w:hRule="atLeast"/>
          <w:jc w:val="center"/>
        </w:trPr>
        <w:tc>
          <w:tcPr>
            <w:tcW w:w="1252" w:type="dxa"/>
            <w:tcBorders>
              <w:top w:val="nil"/>
              <w:left w:val="single" w:color="auto" w:sz="4" w:space="0"/>
              <w:bottom w:val="nil"/>
              <w:right w:val="single" w:color="auto" w:sz="4" w:space="0"/>
            </w:tcBorders>
            <w:noWrap/>
            <w:vAlign w:val="center"/>
          </w:tcPr>
          <w:p>
            <w:pPr>
              <w:widowControl/>
              <w:rPr>
                <w:rFonts w:ascii="宋体" w:hAnsi="宋体" w:cs="宋体"/>
                <w:color w:val="000000"/>
                <w:kern w:val="0"/>
              </w:rPr>
            </w:pPr>
            <w:r>
              <w:rPr>
                <w:rFonts w:hint="eastAsia" w:ascii="宋体" w:hAnsi="宋体" w:cs="宋体"/>
                <w:color w:val="000000"/>
                <w:kern w:val="0"/>
              </w:rPr>
              <w:t>空调</w:t>
            </w:r>
          </w:p>
        </w:tc>
        <w:tc>
          <w:tcPr>
            <w:tcW w:w="2741" w:type="dxa"/>
            <w:tcBorders>
              <w:top w:val="nil"/>
              <w:left w:val="single" w:color="auto" w:sz="4" w:space="0"/>
              <w:bottom w:val="nil"/>
              <w:right w:val="single" w:color="auto" w:sz="4" w:space="0"/>
            </w:tcBorders>
            <w:noWrap/>
            <w:vAlign w:val="center"/>
          </w:tcPr>
          <w:p>
            <w:pPr>
              <w:widowControl/>
              <w:rPr>
                <w:rFonts w:ascii="宋体" w:hAnsi="宋体" w:cs="宋体"/>
                <w:color w:val="000000"/>
                <w:kern w:val="0"/>
              </w:rPr>
            </w:pPr>
            <w:r>
              <w:rPr>
                <w:rFonts w:hint="eastAsia" w:ascii="宋体" w:hAnsi="宋体" w:cs="宋体"/>
                <w:color w:val="000000"/>
                <w:kern w:val="0"/>
              </w:rPr>
              <w:t>空调控制方式</w:t>
            </w:r>
          </w:p>
        </w:tc>
        <w:tc>
          <w:tcPr>
            <w:tcW w:w="4418" w:type="dxa"/>
            <w:tcBorders>
              <w:top w:val="nil"/>
              <w:left w:val="nil"/>
              <w:bottom w:val="nil"/>
              <w:right w:val="single" w:color="auto" w:sz="4" w:space="0"/>
            </w:tcBorders>
            <w:noWrap/>
            <w:vAlign w:val="center"/>
          </w:tcPr>
          <w:p>
            <w:pPr>
              <w:widowControl/>
              <w:rPr>
                <w:rFonts w:ascii="宋体" w:hAnsi="宋体" w:cs="宋体"/>
                <w:color w:val="000000"/>
                <w:kern w:val="0"/>
              </w:rPr>
            </w:pPr>
            <w:r>
              <w:rPr>
                <w:rFonts w:hint="eastAsia" w:ascii="宋体" w:hAnsi="宋体" w:cs="宋体"/>
                <w:color w:val="000000"/>
                <w:kern w:val="0"/>
                <w:sz w:val="22"/>
              </w:rPr>
              <w:t>根据所响应的车型情况填报</w:t>
            </w:r>
          </w:p>
        </w:tc>
      </w:tr>
    </w:tbl>
    <w:p>
      <w:pPr>
        <w:pStyle w:val="9"/>
        <w:numPr>
          <w:ilvl w:val="0"/>
          <w:numId w:val="0"/>
        </w:numPr>
        <w:ind w:firstLine="480"/>
        <w:rPr>
          <w:rFonts w:hint="default" w:ascii="仿宋" w:hAnsi="仿宋" w:eastAsia="仿宋"/>
          <w:bCs/>
          <w:sz w:val="24"/>
          <w:szCs w:val="24"/>
          <w:lang w:val="en-US" w:eastAsia="zh-CN"/>
        </w:rPr>
      </w:pPr>
    </w:p>
    <w:p>
      <w:pPr>
        <w:pStyle w:val="9"/>
        <w:numPr>
          <w:ilvl w:val="0"/>
          <w:numId w:val="0"/>
        </w:numPr>
        <w:ind w:firstLine="480"/>
        <w:rPr>
          <w:rFonts w:hint="default" w:ascii="仿宋" w:hAnsi="仿宋" w:eastAsia="仿宋"/>
          <w:bCs/>
          <w:sz w:val="24"/>
          <w:szCs w:val="24"/>
          <w:lang w:val="en-US" w:eastAsia="zh-CN"/>
        </w:rPr>
      </w:pPr>
      <w:r>
        <w:rPr>
          <w:rFonts w:hint="eastAsia" w:ascii="仿宋" w:hAnsi="仿宋" w:eastAsia="仿宋"/>
          <w:bCs/>
          <w:sz w:val="24"/>
          <w:szCs w:val="24"/>
          <w:lang w:val="en-US" w:eastAsia="zh-CN"/>
        </w:rPr>
        <w:t>第46-55包按下表填写</w:t>
      </w:r>
    </w:p>
    <w:tbl>
      <w:tblPr>
        <w:tblStyle w:val="10"/>
        <w:tblW w:w="8411" w:type="dxa"/>
        <w:jc w:val="center"/>
        <w:tblLayout w:type="fixed"/>
        <w:tblCellMar>
          <w:top w:w="0" w:type="dxa"/>
          <w:left w:w="108" w:type="dxa"/>
          <w:bottom w:w="0" w:type="dxa"/>
          <w:right w:w="108" w:type="dxa"/>
        </w:tblCellMar>
      </w:tblPr>
      <w:tblGrid>
        <w:gridCol w:w="1252"/>
        <w:gridCol w:w="2741"/>
        <w:gridCol w:w="4418"/>
      </w:tblGrid>
      <w:tr>
        <w:tblPrEx>
          <w:tblCellMar>
            <w:top w:w="0" w:type="dxa"/>
            <w:left w:w="108" w:type="dxa"/>
            <w:bottom w:w="0" w:type="dxa"/>
            <w:right w:w="108" w:type="dxa"/>
          </w:tblCellMar>
        </w:tblPrEx>
        <w:trPr>
          <w:trHeight w:val="270" w:hRule="atLeast"/>
          <w:jc w:val="center"/>
        </w:trPr>
        <w:tc>
          <w:tcPr>
            <w:tcW w:w="1252" w:type="dxa"/>
            <w:tcBorders>
              <w:top w:val="single" w:color="auto" w:sz="4" w:space="0"/>
              <w:left w:val="single" w:color="auto" w:sz="4" w:space="0"/>
              <w:bottom w:val="single" w:color="auto" w:sz="4" w:space="0"/>
              <w:right w:val="single" w:color="auto" w:sz="4" w:space="0"/>
            </w:tcBorders>
            <w:noWrap/>
            <w:vAlign w:val="center"/>
          </w:tcPr>
          <w:p>
            <w:pPr>
              <w:widowControl/>
              <w:jc w:val="center"/>
              <w:rPr>
                <w:rFonts w:ascii="宋体" w:hAnsi="宋体" w:cs="宋体"/>
                <w:color w:val="000000"/>
                <w:kern w:val="0"/>
              </w:rPr>
            </w:pPr>
            <w:r>
              <w:rPr>
                <w:rFonts w:hint="eastAsia" w:ascii="宋体" w:hAnsi="宋体" w:cs="宋体"/>
                <w:color w:val="000000"/>
                <w:kern w:val="0"/>
              </w:rPr>
              <w:t>参数类别</w:t>
            </w:r>
          </w:p>
        </w:tc>
        <w:tc>
          <w:tcPr>
            <w:tcW w:w="2741" w:type="dxa"/>
            <w:tcBorders>
              <w:top w:val="single" w:color="auto" w:sz="4" w:space="0"/>
              <w:left w:val="single" w:color="auto" w:sz="4" w:space="0"/>
              <w:bottom w:val="single" w:color="auto" w:sz="4" w:space="0"/>
              <w:right w:val="single" w:color="auto" w:sz="4" w:space="0"/>
            </w:tcBorders>
            <w:noWrap/>
            <w:vAlign w:val="center"/>
          </w:tcPr>
          <w:p>
            <w:pPr>
              <w:widowControl/>
              <w:jc w:val="center"/>
              <w:rPr>
                <w:rFonts w:ascii="宋体" w:hAnsi="宋体" w:cs="宋体"/>
                <w:color w:val="000000"/>
                <w:kern w:val="0"/>
              </w:rPr>
            </w:pPr>
            <w:r>
              <w:rPr>
                <w:rFonts w:hint="eastAsia" w:ascii="宋体" w:hAnsi="宋体" w:cs="宋体"/>
                <w:color w:val="000000"/>
                <w:kern w:val="0"/>
              </w:rPr>
              <w:t>技术参数名称</w:t>
            </w:r>
          </w:p>
        </w:tc>
        <w:tc>
          <w:tcPr>
            <w:tcW w:w="4418"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cs="宋体"/>
                <w:color w:val="000000"/>
                <w:kern w:val="0"/>
                <w:sz w:val="22"/>
              </w:rPr>
            </w:pPr>
            <w:r>
              <w:rPr>
                <w:rFonts w:hint="eastAsia" w:ascii="宋体" w:hAnsi="宋体" w:cs="宋体"/>
                <w:color w:val="000000"/>
                <w:kern w:val="0"/>
                <w:sz w:val="22"/>
              </w:rPr>
              <w:t>响应要求</w:t>
            </w:r>
          </w:p>
        </w:tc>
      </w:tr>
      <w:tr>
        <w:tblPrEx>
          <w:tblCellMar>
            <w:top w:w="0" w:type="dxa"/>
            <w:left w:w="108" w:type="dxa"/>
            <w:bottom w:w="0" w:type="dxa"/>
            <w:right w:w="108" w:type="dxa"/>
          </w:tblCellMar>
        </w:tblPrEx>
        <w:trPr>
          <w:trHeight w:val="285" w:hRule="atLeast"/>
          <w:jc w:val="center"/>
        </w:trPr>
        <w:tc>
          <w:tcPr>
            <w:tcW w:w="1252" w:type="dxa"/>
            <w:vMerge w:val="restart"/>
            <w:tcBorders>
              <w:top w:val="nil"/>
              <w:left w:val="single" w:color="auto" w:sz="4" w:space="0"/>
              <w:right w:val="single" w:color="auto" w:sz="4" w:space="0"/>
            </w:tcBorders>
            <w:noWrap/>
            <w:vAlign w:val="center"/>
          </w:tcPr>
          <w:p>
            <w:pPr>
              <w:widowControl/>
              <w:rPr>
                <w:rFonts w:ascii="宋体" w:hAnsi="宋体" w:cs="宋体"/>
                <w:color w:val="000000"/>
                <w:kern w:val="0"/>
              </w:rPr>
            </w:pPr>
            <w:r>
              <w:rPr>
                <w:rFonts w:hint="eastAsia" w:ascii="宋体" w:hAnsi="宋体" w:cs="宋体"/>
                <w:color w:val="000000"/>
                <w:kern w:val="0"/>
              </w:rPr>
              <w:t>基本参数</w:t>
            </w:r>
          </w:p>
        </w:tc>
        <w:tc>
          <w:tcPr>
            <w:tcW w:w="2741" w:type="dxa"/>
            <w:tcBorders>
              <w:top w:val="nil"/>
              <w:left w:val="single" w:color="auto" w:sz="4" w:space="0"/>
              <w:bottom w:val="single" w:color="auto" w:sz="4" w:space="0"/>
              <w:right w:val="single" w:color="auto" w:sz="4" w:space="0"/>
            </w:tcBorders>
            <w:noWrap/>
            <w:vAlign w:val="center"/>
          </w:tcPr>
          <w:p>
            <w:pPr>
              <w:widowControl/>
              <w:rPr>
                <w:rFonts w:hint="eastAsia" w:ascii="宋体" w:hAnsi="宋体" w:cs="宋体" w:eastAsiaTheme="minorEastAsia"/>
                <w:color w:val="000000"/>
                <w:kern w:val="0"/>
                <w:lang w:val="en-US" w:eastAsia="zh-CN"/>
              </w:rPr>
            </w:pPr>
            <w:r>
              <w:rPr>
                <w:rFonts w:hint="eastAsia" w:ascii="宋体" w:hAnsi="宋体" w:cs="宋体"/>
                <w:color w:val="000000"/>
                <w:kern w:val="0"/>
                <w:lang w:val="en-US" w:eastAsia="zh-CN"/>
              </w:rPr>
              <w:t>型号</w:t>
            </w:r>
          </w:p>
        </w:tc>
        <w:tc>
          <w:tcPr>
            <w:tcW w:w="4418" w:type="dxa"/>
            <w:tcBorders>
              <w:top w:val="nil"/>
              <w:left w:val="nil"/>
              <w:bottom w:val="single" w:color="auto" w:sz="4" w:space="0"/>
              <w:right w:val="single" w:color="auto" w:sz="4" w:space="0"/>
            </w:tcBorders>
            <w:noWrap/>
            <w:vAlign w:val="center"/>
          </w:tcPr>
          <w:p>
            <w:pPr>
              <w:widowControl/>
              <w:rPr>
                <w:rFonts w:cs="宋体"/>
                <w:i/>
                <w:iCs/>
                <w:color w:val="000000"/>
                <w:kern w:val="0"/>
                <w:u w:val="single"/>
              </w:rPr>
            </w:pPr>
            <w:r>
              <w:rPr>
                <w:rFonts w:hint="eastAsia" w:ascii="宋体" w:hAnsi="宋体" w:cs="宋体"/>
                <w:color w:val="000000"/>
                <w:kern w:val="0"/>
                <w:sz w:val="22"/>
              </w:rPr>
              <w:t>根据所响应的车型情况填报</w:t>
            </w:r>
          </w:p>
        </w:tc>
      </w:tr>
      <w:tr>
        <w:tblPrEx>
          <w:tblCellMar>
            <w:top w:w="0" w:type="dxa"/>
            <w:left w:w="108" w:type="dxa"/>
            <w:bottom w:w="0" w:type="dxa"/>
            <w:right w:w="108" w:type="dxa"/>
          </w:tblCellMar>
        </w:tblPrEx>
        <w:trPr>
          <w:trHeight w:val="285" w:hRule="atLeast"/>
          <w:jc w:val="center"/>
        </w:trPr>
        <w:tc>
          <w:tcPr>
            <w:tcW w:w="1252" w:type="dxa"/>
            <w:vMerge w:val="continue"/>
            <w:tcBorders>
              <w:left w:val="single" w:color="auto" w:sz="4" w:space="0"/>
              <w:right w:val="single" w:color="auto" w:sz="4" w:space="0"/>
            </w:tcBorders>
            <w:noWrap/>
            <w:vAlign w:val="center"/>
          </w:tcPr>
          <w:p>
            <w:pPr>
              <w:widowControl/>
              <w:rPr>
                <w:rFonts w:hint="eastAsia" w:ascii="宋体" w:hAnsi="宋体" w:cs="宋体"/>
                <w:color w:val="000000"/>
                <w:kern w:val="0"/>
              </w:rPr>
            </w:pPr>
          </w:p>
        </w:tc>
        <w:tc>
          <w:tcPr>
            <w:tcW w:w="2741" w:type="dxa"/>
            <w:tcBorders>
              <w:top w:val="nil"/>
              <w:left w:val="single" w:color="auto" w:sz="4" w:space="0"/>
              <w:bottom w:val="single" w:color="auto" w:sz="4" w:space="0"/>
              <w:right w:val="single" w:color="auto" w:sz="4" w:space="0"/>
            </w:tcBorders>
            <w:noWrap/>
            <w:vAlign w:val="center"/>
          </w:tcPr>
          <w:p>
            <w:pPr>
              <w:widowControl/>
              <w:rPr>
                <w:rFonts w:hint="eastAsia" w:ascii="宋体" w:hAnsi="宋体" w:cs="宋体" w:eastAsiaTheme="minorEastAsia"/>
                <w:color w:val="000000"/>
                <w:kern w:val="0"/>
                <w:sz w:val="21"/>
                <w:szCs w:val="22"/>
                <w:lang w:val="en-US" w:eastAsia="zh-CN" w:bidi="ar-SA"/>
              </w:rPr>
            </w:pPr>
            <w:r>
              <w:rPr>
                <w:rFonts w:hint="eastAsia" w:ascii="宋体" w:hAnsi="宋体" w:cs="宋体"/>
                <w:color w:val="000000"/>
                <w:kern w:val="0"/>
              </w:rPr>
              <w:t>车身级别</w:t>
            </w:r>
          </w:p>
        </w:tc>
        <w:tc>
          <w:tcPr>
            <w:tcW w:w="4418" w:type="dxa"/>
            <w:tcBorders>
              <w:top w:val="nil"/>
              <w:left w:val="nil"/>
              <w:bottom w:val="single" w:color="auto" w:sz="4" w:space="0"/>
              <w:right w:val="single" w:color="auto" w:sz="4" w:space="0"/>
            </w:tcBorders>
            <w:noWrap/>
            <w:vAlign w:val="center"/>
          </w:tcPr>
          <w:p>
            <w:pPr>
              <w:widowControl/>
              <w:rPr>
                <w:rFonts w:hint="eastAsia" w:cs="宋体" w:asciiTheme="minorHAnsi" w:hAnsiTheme="minorHAnsi" w:eastAsiaTheme="minorEastAsia"/>
                <w:i/>
                <w:iCs/>
                <w:color w:val="000000"/>
                <w:kern w:val="0"/>
                <w:sz w:val="21"/>
                <w:szCs w:val="22"/>
                <w:u w:val="single"/>
                <w:lang w:val="en-US" w:eastAsia="zh-CN" w:bidi="ar-SA"/>
              </w:rPr>
            </w:pPr>
            <w:r>
              <w:rPr>
                <w:rFonts w:hint="eastAsia" w:ascii="宋体" w:hAnsi="宋体" w:cs="宋体"/>
                <w:color w:val="000000"/>
                <w:kern w:val="0"/>
                <w:sz w:val="22"/>
              </w:rPr>
              <w:t>根据所响应的车型情况填报</w:t>
            </w:r>
          </w:p>
        </w:tc>
      </w:tr>
      <w:tr>
        <w:tblPrEx>
          <w:tblCellMar>
            <w:top w:w="0" w:type="dxa"/>
            <w:left w:w="108" w:type="dxa"/>
            <w:bottom w:w="0" w:type="dxa"/>
            <w:right w:w="108" w:type="dxa"/>
          </w:tblCellMar>
        </w:tblPrEx>
        <w:trPr>
          <w:trHeight w:val="285" w:hRule="atLeast"/>
          <w:jc w:val="center"/>
        </w:trPr>
        <w:tc>
          <w:tcPr>
            <w:tcW w:w="1252" w:type="dxa"/>
            <w:vMerge w:val="continue"/>
            <w:tcBorders>
              <w:left w:val="single" w:color="auto" w:sz="4" w:space="0"/>
              <w:right w:val="single" w:color="auto" w:sz="4" w:space="0"/>
            </w:tcBorders>
            <w:noWrap/>
            <w:vAlign w:val="center"/>
          </w:tcPr>
          <w:p>
            <w:pPr>
              <w:widowControl/>
              <w:rPr>
                <w:rFonts w:ascii="宋体" w:hAnsi="宋体" w:cs="宋体"/>
                <w:color w:val="000000"/>
                <w:kern w:val="0"/>
              </w:rPr>
            </w:pPr>
          </w:p>
        </w:tc>
        <w:tc>
          <w:tcPr>
            <w:tcW w:w="2741" w:type="dxa"/>
            <w:tcBorders>
              <w:top w:val="nil"/>
              <w:left w:val="single" w:color="auto" w:sz="4" w:space="0"/>
              <w:bottom w:val="single" w:color="auto" w:sz="4" w:space="0"/>
              <w:right w:val="single" w:color="auto" w:sz="4" w:space="0"/>
            </w:tcBorders>
            <w:noWrap/>
            <w:vAlign w:val="center"/>
          </w:tcPr>
          <w:p>
            <w:pPr>
              <w:widowControl/>
              <w:rPr>
                <w:rFonts w:ascii="宋体" w:hAnsi="宋体" w:cs="宋体"/>
                <w:color w:val="000000"/>
                <w:kern w:val="0"/>
              </w:rPr>
            </w:pPr>
            <w:r>
              <w:rPr>
                <w:rFonts w:hint="eastAsia" w:ascii="宋体" w:hAnsi="宋体" w:cs="宋体"/>
                <w:color w:val="000000"/>
                <w:kern w:val="0"/>
              </w:rPr>
              <w:t>长</w:t>
            </w:r>
            <w:r>
              <w:rPr>
                <w:rFonts w:cs="宋体"/>
                <w:color w:val="000000"/>
                <w:kern w:val="0"/>
              </w:rPr>
              <w:t>*</w:t>
            </w:r>
            <w:r>
              <w:rPr>
                <w:rFonts w:hint="eastAsia" w:ascii="宋体" w:hAnsi="宋体" w:cs="宋体"/>
                <w:color w:val="000000"/>
                <w:kern w:val="0"/>
              </w:rPr>
              <w:t>宽</w:t>
            </w:r>
            <w:r>
              <w:rPr>
                <w:rFonts w:cs="宋体"/>
                <w:color w:val="000000"/>
                <w:kern w:val="0"/>
              </w:rPr>
              <w:t>*</w:t>
            </w:r>
            <w:r>
              <w:rPr>
                <w:rFonts w:hint="eastAsia" w:ascii="宋体" w:hAnsi="宋体" w:cs="宋体"/>
                <w:color w:val="000000"/>
                <w:kern w:val="0"/>
              </w:rPr>
              <w:t>高</w:t>
            </w:r>
            <w:r>
              <w:rPr>
                <w:rFonts w:cs="宋体"/>
                <w:color w:val="000000"/>
                <w:kern w:val="0"/>
              </w:rPr>
              <w:t>(mm)</w:t>
            </w:r>
          </w:p>
        </w:tc>
        <w:tc>
          <w:tcPr>
            <w:tcW w:w="4418" w:type="dxa"/>
            <w:tcBorders>
              <w:top w:val="nil"/>
              <w:left w:val="nil"/>
              <w:bottom w:val="single" w:color="auto" w:sz="4" w:space="0"/>
              <w:right w:val="single" w:color="auto" w:sz="4" w:space="0"/>
            </w:tcBorders>
            <w:noWrap/>
            <w:vAlign w:val="center"/>
          </w:tcPr>
          <w:p>
            <w:pPr>
              <w:widowControl/>
              <w:rPr>
                <w:rFonts w:cs="宋体"/>
                <w:color w:val="000000"/>
                <w:kern w:val="0"/>
              </w:rPr>
            </w:pPr>
            <w:r>
              <w:rPr>
                <w:rFonts w:hint="eastAsia" w:ascii="宋体" w:hAnsi="宋体" w:cs="宋体"/>
                <w:color w:val="000000"/>
                <w:kern w:val="0"/>
                <w:sz w:val="22"/>
              </w:rPr>
              <w:t>根据所响应的车型情况填报</w:t>
            </w:r>
          </w:p>
        </w:tc>
      </w:tr>
      <w:tr>
        <w:tblPrEx>
          <w:tblCellMar>
            <w:top w:w="0" w:type="dxa"/>
            <w:left w:w="108" w:type="dxa"/>
            <w:bottom w:w="0" w:type="dxa"/>
            <w:right w:w="108" w:type="dxa"/>
          </w:tblCellMar>
        </w:tblPrEx>
        <w:trPr>
          <w:trHeight w:val="301" w:hRule="atLeast"/>
          <w:jc w:val="center"/>
        </w:trPr>
        <w:tc>
          <w:tcPr>
            <w:tcW w:w="1252" w:type="dxa"/>
            <w:vMerge w:val="continue"/>
            <w:tcBorders>
              <w:left w:val="single" w:color="auto" w:sz="4" w:space="0"/>
              <w:right w:val="single" w:color="auto" w:sz="4" w:space="0"/>
            </w:tcBorders>
            <w:noWrap/>
            <w:vAlign w:val="center"/>
          </w:tcPr>
          <w:p>
            <w:pPr>
              <w:widowControl/>
              <w:rPr>
                <w:rFonts w:ascii="宋体" w:hAnsi="宋体" w:cs="宋体"/>
                <w:i/>
                <w:iCs/>
                <w:color w:val="000000"/>
                <w:kern w:val="0"/>
                <w:u w:val="single"/>
              </w:rPr>
            </w:pPr>
          </w:p>
        </w:tc>
        <w:tc>
          <w:tcPr>
            <w:tcW w:w="2741" w:type="dxa"/>
            <w:tcBorders>
              <w:top w:val="nil"/>
              <w:left w:val="single" w:color="auto" w:sz="4" w:space="0"/>
              <w:bottom w:val="single" w:color="auto" w:sz="4" w:space="0"/>
              <w:right w:val="single" w:color="auto" w:sz="4" w:space="0"/>
            </w:tcBorders>
            <w:noWrap/>
            <w:vAlign w:val="center"/>
          </w:tcPr>
          <w:p>
            <w:pPr>
              <w:widowControl/>
              <w:rPr>
                <w:rFonts w:ascii="宋体" w:hAnsi="宋体" w:cs="宋体"/>
                <w:i/>
                <w:iCs/>
                <w:color w:val="000000"/>
                <w:kern w:val="0"/>
                <w:u w:val="single"/>
              </w:rPr>
            </w:pPr>
            <w:r>
              <w:rPr>
                <w:rFonts w:hint="eastAsia" w:ascii="宋体" w:hAnsi="宋体" w:cs="宋体"/>
                <w:i/>
                <w:iCs/>
                <w:color w:val="000000"/>
                <w:kern w:val="0"/>
                <w:u w:val="single"/>
              </w:rPr>
              <w:t>能源类型</w:t>
            </w:r>
          </w:p>
        </w:tc>
        <w:tc>
          <w:tcPr>
            <w:tcW w:w="4418" w:type="dxa"/>
            <w:tcBorders>
              <w:top w:val="nil"/>
              <w:left w:val="nil"/>
              <w:bottom w:val="single" w:color="auto" w:sz="4" w:space="0"/>
              <w:right w:val="single" w:color="auto" w:sz="4" w:space="0"/>
            </w:tcBorders>
            <w:noWrap/>
            <w:vAlign w:val="center"/>
          </w:tcPr>
          <w:p>
            <w:pPr>
              <w:widowControl/>
              <w:rPr>
                <w:rFonts w:ascii="宋体" w:hAnsi="宋体" w:cs="宋体"/>
                <w:i/>
                <w:iCs/>
                <w:color w:val="000000"/>
                <w:kern w:val="0"/>
                <w:u w:val="single"/>
              </w:rPr>
            </w:pPr>
            <w:r>
              <w:rPr>
                <w:rFonts w:hint="eastAsia" w:cs="宋体"/>
                <w:i/>
                <w:iCs/>
                <w:color w:val="000000"/>
                <w:kern w:val="0"/>
                <w:u w:val="single"/>
              </w:rPr>
              <w:t>满足各分包要求</w:t>
            </w:r>
          </w:p>
        </w:tc>
      </w:tr>
      <w:tr>
        <w:tblPrEx>
          <w:tblCellMar>
            <w:top w:w="0" w:type="dxa"/>
            <w:left w:w="108" w:type="dxa"/>
            <w:bottom w:w="0" w:type="dxa"/>
            <w:right w:w="108" w:type="dxa"/>
          </w:tblCellMar>
        </w:tblPrEx>
        <w:trPr>
          <w:trHeight w:val="90" w:hRule="atLeast"/>
          <w:jc w:val="center"/>
        </w:trPr>
        <w:tc>
          <w:tcPr>
            <w:tcW w:w="1252" w:type="dxa"/>
            <w:vMerge w:val="continue"/>
            <w:tcBorders>
              <w:left w:val="single" w:color="auto" w:sz="4" w:space="0"/>
              <w:right w:val="single" w:color="auto" w:sz="4" w:space="0"/>
            </w:tcBorders>
            <w:noWrap/>
            <w:vAlign w:val="center"/>
          </w:tcPr>
          <w:p>
            <w:pPr>
              <w:widowControl/>
              <w:rPr>
                <w:rFonts w:ascii="宋体" w:hAnsi="宋体" w:cs="宋体"/>
                <w:color w:val="000000"/>
                <w:kern w:val="0"/>
              </w:rPr>
            </w:pPr>
          </w:p>
        </w:tc>
        <w:tc>
          <w:tcPr>
            <w:tcW w:w="2741" w:type="dxa"/>
            <w:tcBorders>
              <w:top w:val="nil"/>
              <w:left w:val="single" w:color="auto" w:sz="4" w:space="0"/>
              <w:bottom w:val="single" w:color="auto" w:sz="4" w:space="0"/>
              <w:right w:val="single" w:color="auto" w:sz="4" w:space="0"/>
            </w:tcBorders>
            <w:noWrap/>
            <w:vAlign w:val="center"/>
          </w:tcPr>
          <w:p>
            <w:pPr>
              <w:widowControl/>
              <w:rPr>
                <w:rFonts w:ascii="宋体" w:hAnsi="宋体" w:cs="宋体"/>
                <w:color w:val="000000"/>
                <w:kern w:val="0"/>
              </w:rPr>
            </w:pPr>
            <w:r>
              <w:rPr>
                <w:rFonts w:hint="eastAsia" w:ascii="宋体" w:hAnsi="宋体" w:cs="宋体"/>
                <w:color w:val="000000"/>
                <w:kern w:val="0"/>
              </w:rPr>
              <w:t>轴距</w:t>
            </w:r>
            <w:r>
              <w:rPr>
                <w:rFonts w:cs="宋体"/>
                <w:color w:val="000000"/>
                <w:kern w:val="0"/>
              </w:rPr>
              <w:t>(mm)</w:t>
            </w:r>
          </w:p>
        </w:tc>
        <w:tc>
          <w:tcPr>
            <w:tcW w:w="4418" w:type="dxa"/>
            <w:tcBorders>
              <w:top w:val="nil"/>
              <w:left w:val="nil"/>
              <w:bottom w:val="single" w:color="auto" w:sz="4" w:space="0"/>
              <w:right w:val="single" w:color="auto" w:sz="4" w:space="0"/>
            </w:tcBorders>
            <w:noWrap/>
            <w:vAlign w:val="center"/>
          </w:tcPr>
          <w:p>
            <w:pPr>
              <w:widowControl/>
              <w:rPr>
                <w:rFonts w:cs="宋体"/>
                <w:i/>
                <w:iCs/>
                <w:color w:val="000000"/>
                <w:kern w:val="0"/>
                <w:u w:val="single"/>
              </w:rPr>
            </w:pPr>
            <w:r>
              <w:rPr>
                <w:rFonts w:hint="eastAsia" w:ascii="宋体" w:hAnsi="宋体" w:cs="宋体"/>
                <w:color w:val="000000"/>
                <w:kern w:val="0"/>
                <w:sz w:val="22"/>
              </w:rPr>
              <w:t>根据所响应的车型情况填报</w:t>
            </w:r>
          </w:p>
        </w:tc>
      </w:tr>
      <w:tr>
        <w:tblPrEx>
          <w:tblCellMar>
            <w:top w:w="0" w:type="dxa"/>
            <w:left w:w="108" w:type="dxa"/>
            <w:bottom w:w="0" w:type="dxa"/>
            <w:right w:w="108" w:type="dxa"/>
          </w:tblCellMar>
        </w:tblPrEx>
        <w:trPr>
          <w:trHeight w:val="285" w:hRule="atLeast"/>
          <w:jc w:val="center"/>
        </w:trPr>
        <w:tc>
          <w:tcPr>
            <w:tcW w:w="1252" w:type="dxa"/>
            <w:vMerge w:val="continue"/>
            <w:tcBorders>
              <w:left w:val="single" w:color="auto" w:sz="4" w:space="0"/>
              <w:right w:val="single" w:color="auto" w:sz="4" w:space="0"/>
            </w:tcBorders>
            <w:noWrap/>
            <w:vAlign w:val="center"/>
          </w:tcPr>
          <w:p>
            <w:pPr>
              <w:widowControl/>
              <w:rPr>
                <w:rFonts w:ascii="宋体" w:hAnsi="宋体" w:cs="宋体"/>
                <w:color w:val="000000"/>
                <w:kern w:val="0"/>
              </w:rPr>
            </w:pPr>
          </w:p>
        </w:tc>
        <w:tc>
          <w:tcPr>
            <w:tcW w:w="2741" w:type="dxa"/>
            <w:tcBorders>
              <w:top w:val="nil"/>
              <w:left w:val="single" w:color="auto" w:sz="4" w:space="0"/>
              <w:bottom w:val="single" w:color="auto" w:sz="4" w:space="0"/>
              <w:right w:val="single" w:color="auto" w:sz="4" w:space="0"/>
            </w:tcBorders>
            <w:noWrap/>
            <w:vAlign w:val="center"/>
          </w:tcPr>
          <w:p>
            <w:pPr>
              <w:widowControl/>
              <w:rPr>
                <w:rFonts w:ascii="宋体" w:hAnsi="宋体" w:cs="宋体"/>
                <w:color w:val="000000"/>
                <w:kern w:val="0"/>
              </w:rPr>
            </w:pPr>
            <w:r>
              <w:rPr>
                <w:rFonts w:hint="eastAsia" w:ascii="宋体" w:hAnsi="宋体" w:cs="宋体"/>
                <w:color w:val="000000"/>
                <w:kern w:val="0"/>
              </w:rPr>
              <w:t>车门数</w:t>
            </w:r>
            <w:r>
              <w:rPr>
                <w:rFonts w:cs="宋体"/>
                <w:color w:val="000000"/>
                <w:kern w:val="0"/>
              </w:rPr>
              <w:t>(</w:t>
            </w:r>
            <w:r>
              <w:rPr>
                <w:rFonts w:hint="eastAsia" w:ascii="宋体" w:hAnsi="宋体" w:cs="宋体"/>
                <w:color w:val="000000"/>
                <w:kern w:val="0"/>
              </w:rPr>
              <w:t>个</w:t>
            </w:r>
            <w:r>
              <w:rPr>
                <w:rFonts w:cs="宋体"/>
                <w:color w:val="000000"/>
                <w:kern w:val="0"/>
              </w:rPr>
              <w:t>)</w:t>
            </w:r>
          </w:p>
        </w:tc>
        <w:tc>
          <w:tcPr>
            <w:tcW w:w="4418" w:type="dxa"/>
            <w:tcBorders>
              <w:top w:val="nil"/>
              <w:left w:val="nil"/>
              <w:bottom w:val="single" w:color="auto" w:sz="4" w:space="0"/>
              <w:right w:val="single" w:color="auto" w:sz="4" w:space="0"/>
            </w:tcBorders>
            <w:noWrap/>
            <w:vAlign w:val="center"/>
          </w:tcPr>
          <w:p>
            <w:pPr>
              <w:widowControl/>
              <w:rPr>
                <w:rFonts w:cs="宋体"/>
                <w:color w:val="000000"/>
                <w:kern w:val="0"/>
              </w:rPr>
            </w:pPr>
            <w:r>
              <w:rPr>
                <w:rFonts w:hint="eastAsia" w:ascii="宋体" w:hAnsi="宋体" w:cs="宋体"/>
                <w:color w:val="000000"/>
                <w:kern w:val="0"/>
                <w:sz w:val="22"/>
              </w:rPr>
              <w:t>根据所响应的车型情况填报</w:t>
            </w:r>
          </w:p>
        </w:tc>
      </w:tr>
      <w:tr>
        <w:tblPrEx>
          <w:tblCellMar>
            <w:top w:w="0" w:type="dxa"/>
            <w:left w:w="108" w:type="dxa"/>
            <w:bottom w:w="0" w:type="dxa"/>
            <w:right w:w="108" w:type="dxa"/>
          </w:tblCellMar>
        </w:tblPrEx>
        <w:trPr>
          <w:trHeight w:val="285" w:hRule="atLeast"/>
          <w:jc w:val="center"/>
        </w:trPr>
        <w:tc>
          <w:tcPr>
            <w:tcW w:w="1252" w:type="dxa"/>
            <w:vMerge w:val="continue"/>
            <w:tcBorders>
              <w:left w:val="single" w:color="auto" w:sz="4" w:space="0"/>
              <w:bottom w:val="single" w:color="auto" w:sz="4" w:space="0"/>
              <w:right w:val="single" w:color="auto" w:sz="4" w:space="0"/>
            </w:tcBorders>
            <w:noWrap/>
            <w:vAlign w:val="center"/>
          </w:tcPr>
          <w:p>
            <w:pPr>
              <w:widowControl/>
              <w:rPr>
                <w:rFonts w:ascii="宋体" w:hAnsi="宋体" w:cs="宋体"/>
                <w:color w:val="000000"/>
                <w:kern w:val="0"/>
              </w:rPr>
            </w:pPr>
          </w:p>
        </w:tc>
        <w:tc>
          <w:tcPr>
            <w:tcW w:w="2741" w:type="dxa"/>
            <w:tcBorders>
              <w:top w:val="nil"/>
              <w:left w:val="single" w:color="auto" w:sz="4" w:space="0"/>
              <w:bottom w:val="single" w:color="auto" w:sz="4" w:space="0"/>
              <w:right w:val="single" w:color="auto" w:sz="4" w:space="0"/>
            </w:tcBorders>
            <w:noWrap/>
            <w:vAlign w:val="center"/>
          </w:tcPr>
          <w:p>
            <w:pPr>
              <w:widowControl/>
              <w:rPr>
                <w:rFonts w:ascii="宋体" w:hAnsi="宋体" w:cs="宋体"/>
                <w:color w:val="000000"/>
                <w:kern w:val="0"/>
              </w:rPr>
            </w:pPr>
            <w:r>
              <w:rPr>
                <w:rFonts w:hint="eastAsia" w:ascii="宋体" w:hAnsi="宋体" w:cs="宋体"/>
                <w:color w:val="000000"/>
                <w:kern w:val="0"/>
              </w:rPr>
              <w:t>座位数</w:t>
            </w:r>
            <w:r>
              <w:rPr>
                <w:rFonts w:cs="宋体"/>
                <w:color w:val="000000"/>
                <w:kern w:val="0"/>
              </w:rPr>
              <w:t>(</w:t>
            </w:r>
            <w:r>
              <w:rPr>
                <w:rFonts w:hint="eastAsia" w:ascii="宋体" w:hAnsi="宋体" w:cs="宋体"/>
                <w:color w:val="000000"/>
                <w:kern w:val="0"/>
              </w:rPr>
              <w:t>个</w:t>
            </w:r>
            <w:r>
              <w:rPr>
                <w:rFonts w:cs="宋体"/>
                <w:color w:val="000000"/>
                <w:kern w:val="0"/>
              </w:rPr>
              <w:t>)</w:t>
            </w:r>
          </w:p>
        </w:tc>
        <w:tc>
          <w:tcPr>
            <w:tcW w:w="4418" w:type="dxa"/>
            <w:tcBorders>
              <w:top w:val="nil"/>
              <w:left w:val="nil"/>
              <w:bottom w:val="single" w:color="auto" w:sz="4" w:space="0"/>
              <w:right w:val="single" w:color="auto" w:sz="4" w:space="0"/>
            </w:tcBorders>
            <w:noWrap/>
            <w:vAlign w:val="center"/>
          </w:tcPr>
          <w:p>
            <w:pPr>
              <w:widowControl/>
              <w:rPr>
                <w:rFonts w:cs="宋体"/>
                <w:i/>
                <w:iCs/>
                <w:color w:val="000000"/>
                <w:kern w:val="0"/>
                <w:u w:val="single"/>
              </w:rPr>
            </w:pPr>
            <w:r>
              <w:rPr>
                <w:rFonts w:hint="eastAsia" w:cs="宋体"/>
                <w:i/>
                <w:iCs/>
                <w:color w:val="000000"/>
                <w:kern w:val="0"/>
                <w:u w:val="single"/>
              </w:rPr>
              <w:t>满足各分包要求</w:t>
            </w:r>
          </w:p>
        </w:tc>
      </w:tr>
      <w:tr>
        <w:tblPrEx>
          <w:tblCellMar>
            <w:top w:w="0" w:type="dxa"/>
            <w:left w:w="108" w:type="dxa"/>
            <w:bottom w:w="0" w:type="dxa"/>
            <w:right w:w="108" w:type="dxa"/>
          </w:tblCellMar>
        </w:tblPrEx>
        <w:trPr>
          <w:trHeight w:val="285" w:hRule="atLeast"/>
          <w:jc w:val="center"/>
        </w:trPr>
        <w:tc>
          <w:tcPr>
            <w:tcW w:w="1252" w:type="dxa"/>
            <w:vMerge w:val="restart"/>
            <w:tcBorders>
              <w:top w:val="nil"/>
              <w:left w:val="single" w:color="auto" w:sz="4" w:space="0"/>
              <w:right w:val="single" w:color="auto" w:sz="4" w:space="0"/>
            </w:tcBorders>
            <w:noWrap/>
            <w:vAlign w:val="center"/>
          </w:tcPr>
          <w:p>
            <w:pPr>
              <w:widowControl/>
              <w:rPr>
                <w:rFonts w:hint="eastAsia" w:ascii="宋体" w:hAnsi="宋体" w:cs="宋体"/>
                <w:color w:val="000000"/>
                <w:kern w:val="0"/>
              </w:rPr>
            </w:pPr>
            <w:r>
              <w:rPr>
                <w:rFonts w:ascii="宋体" w:hAnsi="宋体" w:cs="宋体"/>
                <w:color w:val="000000"/>
                <w:kern w:val="0"/>
              </w:rPr>
              <w:t>电池、电机数</w:t>
            </w:r>
          </w:p>
          <w:p>
            <w:pPr>
              <w:widowControl/>
              <w:rPr>
                <w:rFonts w:hint="eastAsia" w:ascii="宋体" w:hAnsi="宋体" w:cs="宋体"/>
                <w:color w:val="000000"/>
                <w:kern w:val="0"/>
              </w:rPr>
            </w:pPr>
          </w:p>
          <w:p>
            <w:pPr>
              <w:widowControl/>
              <w:rPr>
                <w:rFonts w:hint="eastAsia" w:ascii="宋体" w:hAnsi="宋体" w:cs="宋体"/>
                <w:color w:val="000000"/>
                <w:kern w:val="0"/>
              </w:rPr>
            </w:pPr>
          </w:p>
          <w:p>
            <w:pPr>
              <w:widowControl/>
              <w:rPr>
                <w:rFonts w:cs="宋体"/>
                <w:color w:val="000000"/>
                <w:kern w:val="0"/>
              </w:rPr>
            </w:pPr>
          </w:p>
        </w:tc>
        <w:tc>
          <w:tcPr>
            <w:tcW w:w="2741" w:type="dxa"/>
            <w:tcBorders>
              <w:top w:val="nil"/>
              <w:left w:val="single" w:color="auto" w:sz="4" w:space="0"/>
              <w:bottom w:val="single" w:color="auto" w:sz="4" w:space="0"/>
              <w:right w:val="single" w:color="auto" w:sz="4" w:space="0"/>
            </w:tcBorders>
            <w:noWrap/>
            <w:vAlign w:val="center"/>
          </w:tcPr>
          <w:p>
            <w:pPr>
              <w:widowControl/>
              <w:rPr>
                <w:rFonts w:cs="宋体"/>
                <w:color w:val="000000"/>
                <w:kern w:val="0"/>
              </w:rPr>
            </w:pPr>
            <w:r>
              <w:rPr>
                <w:rFonts w:cs="宋体"/>
                <w:color w:val="000000"/>
                <w:kern w:val="0"/>
              </w:rPr>
              <w:t>NEDC</w:t>
            </w:r>
            <w:r>
              <w:rPr>
                <w:rFonts w:hint="eastAsia" w:ascii="宋体" w:hAnsi="宋体" w:cs="宋体"/>
                <w:color w:val="000000"/>
                <w:kern w:val="0"/>
              </w:rPr>
              <w:t>纯电续航里程</w:t>
            </w:r>
            <w:r>
              <w:rPr>
                <w:rFonts w:cs="宋体"/>
                <w:color w:val="000000"/>
                <w:kern w:val="0"/>
              </w:rPr>
              <w:t>(km)</w:t>
            </w:r>
          </w:p>
        </w:tc>
        <w:tc>
          <w:tcPr>
            <w:tcW w:w="4418" w:type="dxa"/>
            <w:tcBorders>
              <w:top w:val="nil"/>
              <w:left w:val="nil"/>
              <w:bottom w:val="single" w:color="auto" w:sz="4" w:space="0"/>
              <w:right w:val="single" w:color="auto" w:sz="4" w:space="0"/>
            </w:tcBorders>
            <w:noWrap/>
            <w:vAlign w:val="center"/>
          </w:tcPr>
          <w:p>
            <w:pPr>
              <w:widowControl/>
              <w:rPr>
                <w:rFonts w:cs="宋体"/>
                <w:i/>
                <w:iCs/>
                <w:color w:val="000000"/>
                <w:kern w:val="0"/>
                <w:u w:val="single"/>
              </w:rPr>
            </w:pPr>
            <w:r>
              <w:rPr>
                <w:rFonts w:hint="eastAsia" w:cs="宋体"/>
                <w:i/>
                <w:iCs/>
                <w:color w:val="000000"/>
                <w:kern w:val="0"/>
                <w:u w:val="single"/>
              </w:rPr>
              <w:t>满足各分包要求</w:t>
            </w:r>
          </w:p>
        </w:tc>
      </w:tr>
      <w:tr>
        <w:tblPrEx>
          <w:tblCellMar>
            <w:top w:w="0" w:type="dxa"/>
            <w:left w:w="108" w:type="dxa"/>
            <w:bottom w:w="0" w:type="dxa"/>
            <w:right w:w="108" w:type="dxa"/>
          </w:tblCellMar>
        </w:tblPrEx>
        <w:trPr>
          <w:trHeight w:val="285" w:hRule="atLeast"/>
          <w:jc w:val="center"/>
        </w:trPr>
        <w:tc>
          <w:tcPr>
            <w:tcW w:w="1252" w:type="dxa"/>
            <w:vMerge w:val="continue"/>
            <w:tcBorders>
              <w:left w:val="single" w:color="auto" w:sz="4" w:space="0"/>
              <w:right w:val="single" w:color="auto" w:sz="4" w:space="0"/>
            </w:tcBorders>
            <w:noWrap/>
            <w:vAlign w:val="center"/>
          </w:tcPr>
          <w:p>
            <w:pPr>
              <w:widowControl/>
              <w:rPr>
                <w:rFonts w:ascii="宋体" w:hAnsi="宋体" w:cs="宋体"/>
                <w:color w:val="000000"/>
                <w:kern w:val="0"/>
              </w:rPr>
            </w:pPr>
          </w:p>
        </w:tc>
        <w:tc>
          <w:tcPr>
            <w:tcW w:w="2741" w:type="dxa"/>
            <w:tcBorders>
              <w:top w:val="nil"/>
              <w:left w:val="single" w:color="auto" w:sz="4" w:space="0"/>
              <w:bottom w:val="single" w:color="auto" w:sz="4" w:space="0"/>
              <w:right w:val="single" w:color="auto" w:sz="4" w:space="0"/>
            </w:tcBorders>
            <w:noWrap/>
            <w:vAlign w:val="center"/>
          </w:tcPr>
          <w:p>
            <w:pPr>
              <w:widowControl/>
              <w:rPr>
                <w:rFonts w:ascii="宋体" w:hAnsi="宋体" w:cs="宋体"/>
                <w:color w:val="000000"/>
                <w:kern w:val="0"/>
              </w:rPr>
            </w:pPr>
            <w:r>
              <w:rPr>
                <w:rFonts w:hint="eastAsia" w:ascii="宋体" w:hAnsi="宋体" w:cs="宋体"/>
                <w:color w:val="000000"/>
                <w:kern w:val="0"/>
              </w:rPr>
              <w:t>电池容量</w:t>
            </w:r>
            <w:r>
              <w:rPr>
                <w:rFonts w:cs="宋体"/>
                <w:color w:val="000000"/>
                <w:kern w:val="0"/>
              </w:rPr>
              <w:t>(kWh)</w:t>
            </w:r>
          </w:p>
        </w:tc>
        <w:tc>
          <w:tcPr>
            <w:tcW w:w="4418" w:type="dxa"/>
            <w:tcBorders>
              <w:top w:val="nil"/>
              <w:left w:val="nil"/>
              <w:bottom w:val="single" w:color="auto" w:sz="4" w:space="0"/>
              <w:right w:val="single" w:color="auto" w:sz="4" w:space="0"/>
            </w:tcBorders>
            <w:noWrap/>
            <w:vAlign w:val="center"/>
          </w:tcPr>
          <w:p>
            <w:pPr>
              <w:widowControl/>
              <w:rPr>
                <w:rFonts w:cs="宋体"/>
                <w:color w:val="000000"/>
                <w:kern w:val="0"/>
              </w:rPr>
            </w:pPr>
            <w:r>
              <w:rPr>
                <w:rFonts w:hint="eastAsia" w:ascii="宋体" w:hAnsi="宋体" w:cs="宋体"/>
                <w:color w:val="000000"/>
                <w:kern w:val="0"/>
                <w:sz w:val="22"/>
              </w:rPr>
              <w:t>根据所响应的车型情况填报</w:t>
            </w:r>
          </w:p>
        </w:tc>
      </w:tr>
      <w:tr>
        <w:tblPrEx>
          <w:tblCellMar>
            <w:top w:w="0" w:type="dxa"/>
            <w:left w:w="108" w:type="dxa"/>
            <w:bottom w:w="0" w:type="dxa"/>
            <w:right w:w="108" w:type="dxa"/>
          </w:tblCellMar>
        </w:tblPrEx>
        <w:trPr>
          <w:trHeight w:val="285" w:hRule="atLeast"/>
          <w:jc w:val="center"/>
        </w:trPr>
        <w:tc>
          <w:tcPr>
            <w:tcW w:w="1252" w:type="dxa"/>
            <w:vMerge w:val="continue"/>
            <w:tcBorders>
              <w:left w:val="single" w:color="auto" w:sz="4" w:space="0"/>
              <w:right w:val="single" w:color="auto" w:sz="4" w:space="0"/>
            </w:tcBorders>
            <w:noWrap/>
            <w:vAlign w:val="center"/>
          </w:tcPr>
          <w:p>
            <w:pPr>
              <w:widowControl/>
              <w:rPr>
                <w:rFonts w:ascii="宋体" w:hAnsi="宋体" w:cs="宋体"/>
                <w:color w:val="000000"/>
                <w:kern w:val="0"/>
              </w:rPr>
            </w:pPr>
          </w:p>
        </w:tc>
        <w:tc>
          <w:tcPr>
            <w:tcW w:w="2741" w:type="dxa"/>
            <w:tcBorders>
              <w:top w:val="nil"/>
              <w:left w:val="single" w:color="auto" w:sz="4" w:space="0"/>
              <w:bottom w:val="single" w:color="auto" w:sz="4" w:space="0"/>
              <w:right w:val="single" w:color="auto" w:sz="4" w:space="0"/>
            </w:tcBorders>
            <w:noWrap/>
            <w:vAlign w:val="center"/>
          </w:tcPr>
          <w:p>
            <w:pPr>
              <w:widowControl/>
              <w:rPr>
                <w:rFonts w:ascii="宋体" w:hAnsi="宋体" w:cs="宋体"/>
                <w:color w:val="000000"/>
                <w:kern w:val="0"/>
              </w:rPr>
            </w:pPr>
            <w:r>
              <w:rPr>
                <w:rFonts w:hint="eastAsia" w:ascii="宋体" w:hAnsi="宋体" w:cs="宋体"/>
                <w:color w:val="000000"/>
                <w:kern w:val="0"/>
              </w:rPr>
              <w:t>快充时间</w:t>
            </w:r>
            <w:r>
              <w:rPr>
                <w:rFonts w:cs="宋体"/>
                <w:color w:val="000000"/>
                <w:kern w:val="0"/>
              </w:rPr>
              <w:t>(h)</w:t>
            </w:r>
          </w:p>
        </w:tc>
        <w:tc>
          <w:tcPr>
            <w:tcW w:w="4418" w:type="dxa"/>
            <w:tcBorders>
              <w:top w:val="nil"/>
              <w:left w:val="nil"/>
              <w:bottom w:val="single" w:color="auto" w:sz="4" w:space="0"/>
              <w:right w:val="single" w:color="auto" w:sz="4" w:space="0"/>
            </w:tcBorders>
            <w:noWrap/>
            <w:vAlign w:val="center"/>
          </w:tcPr>
          <w:p>
            <w:pPr>
              <w:widowControl/>
              <w:rPr>
                <w:rFonts w:cs="宋体"/>
                <w:color w:val="000000"/>
                <w:kern w:val="0"/>
              </w:rPr>
            </w:pPr>
            <w:r>
              <w:rPr>
                <w:rFonts w:hint="eastAsia" w:cs="宋体"/>
                <w:i/>
                <w:iCs/>
                <w:color w:val="000000"/>
                <w:kern w:val="0"/>
                <w:u w:val="single"/>
              </w:rPr>
              <w:t>满足各分包要求</w:t>
            </w:r>
          </w:p>
        </w:tc>
      </w:tr>
      <w:tr>
        <w:tblPrEx>
          <w:tblCellMar>
            <w:top w:w="0" w:type="dxa"/>
            <w:left w:w="108" w:type="dxa"/>
            <w:bottom w:w="0" w:type="dxa"/>
            <w:right w:w="108" w:type="dxa"/>
          </w:tblCellMar>
        </w:tblPrEx>
        <w:trPr>
          <w:trHeight w:val="310" w:hRule="atLeast"/>
          <w:jc w:val="center"/>
        </w:trPr>
        <w:tc>
          <w:tcPr>
            <w:tcW w:w="1252" w:type="dxa"/>
            <w:vMerge w:val="continue"/>
            <w:tcBorders>
              <w:left w:val="single" w:color="auto" w:sz="4" w:space="0"/>
              <w:right w:val="single" w:color="auto" w:sz="4" w:space="0"/>
            </w:tcBorders>
            <w:noWrap/>
            <w:vAlign w:val="center"/>
          </w:tcPr>
          <w:p>
            <w:pPr>
              <w:widowControl/>
              <w:rPr>
                <w:rFonts w:ascii="宋体" w:hAnsi="宋体" w:cs="宋体"/>
                <w:color w:val="000000"/>
                <w:kern w:val="0"/>
              </w:rPr>
            </w:pPr>
          </w:p>
        </w:tc>
        <w:tc>
          <w:tcPr>
            <w:tcW w:w="2741" w:type="dxa"/>
            <w:tcBorders>
              <w:top w:val="nil"/>
              <w:left w:val="single" w:color="auto" w:sz="4" w:space="0"/>
              <w:bottom w:val="single" w:color="auto" w:sz="4" w:space="0"/>
              <w:right w:val="single" w:color="auto" w:sz="4" w:space="0"/>
            </w:tcBorders>
            <w:noWrap/>
            <w:vAlign w:val="center"/>
          </w:tcPr>
          <w:p>
            <w:pPr>
              <w:widowControl/>
              <w:rPr>
                <w:rFonts w:ascii="宋体" w:hAnsi="宋体" w:cs="宋体"/>
                <w:color w:val="000000"/>
                <w:kern w:val="0"/>
              </w:rPr>
            </w:pPr>
            <w:r>
              <w:rPr>
                <w:rFonts w:hint="eastAsia" w:ascii="宋体" w:hAnsi="宋体" w:cs="宋体"/>
                <w:color w:val="000000"/>
                <w:kern w:val="0"/>
              </w:rPr>
              <w:t>快充电量</w:t>
            </w:r>
            <w:r>
              <w:rPr>
                <w:rFonts w:cs="宋体"/>
                <w:color w:val="000000"/>
                <w:kern w:val="0"/>
              </w:rPr>
              <w:t>(%)</w:t>
            </w:r>
          </w:p>
        </w:tc>
        <w:tc>
          <w:tcPr>
            <w:tcW w:w="4418" w:type="dxa"/>
            <w:tcBorders>
              <w:top w:val="nil"/>
              <w:left w:val="nil"/>
              <w:bottom w:val="single" w:color="auto" w:sz="4" w:space="0"/>
              <w:right w:val="single" w:color="auto" w:sz="4" w:space="0"/>
            </w:tcBorders>
            <w:noWrap/>
            <w:vAlign w:val="center"/>
          </w:tcPr>
          <w:p>
            <w:pPr>
              <w:widowControl/>
              <w:rPr>
                <w:rFonts w:cs="宋体"/>
                <w:color w:val="000000"/>
                <w:kern w:val="0"/>
              </w:rPr>
            </w:pPr>
            <w:r>
              <w:rPr>
                <w:rFonts w:hint="eastAsia" w:cs="宋体"/>
                <w:i/>
                <w:iCs/>
                <w:color w:val="000000"/>
                <w:kern w:val="0"/>
                <w:u w:val="single"/>
              </w:rPr>
              <w:t>满足各分包要求</w:t>
            </w:r>
          </w:p>
        </w:tc>
      </w:tr>
      <w:tr>
        <w:tblPrEx>
          <w:tblCellMar>
            <w:top w:w="0" w:type="dxa"/>
            <w:left w:w="108" w:type="dxa"/>
            <w:bottom w:w="0" w:type="dxa"/>
            <w:right w:w="108" w:type="dxa"/>
          </w:tblCellMar>
        </w:tblPrEx>
        <w:trPr>
          <w:trHeight w:val="161" w:hRule="atLeast"/>
          <w:jc w:val="center"/>
        </w:trPr>
        <w:tc>
          <w:tcPr>
            <w:tcW w:w="1252" w:type="dxa"/>
            <w:vMerge w:val="continue"/>
            <w:tcBorders>
              <w:left w:val="single" w:color="auto" w:sz="4" w:space="0"/>
              <w:bottom w:val="single" w:color="auto" w:sz="4" w:space="0"/>
              <w:right w:val="single" w:color="auto" w:sz="4" w:space="0"/>
            </w:tcBorders>
            <w:noWrap/>
            <w:vAlign w:val="center"/>
          </w:tcPr>
          <w:p>
            <w:pPr>
              <w:widowControl/>
              <w:rPr>
                <w:rFonts w:ascii="宋体" w:hAnsi="宋体" w:cs="宋体"/>
                <w:color w:val="000000"/>
                <w:kern w:val="0"/>
              </w:rPr>
            </w:pPr>
          </w:p>
        </w:tc>
        <w:tc>
          <w:tcPr>
            <w:tcW w:w="2741" w:type="dxa"/>
            <w:tcBorders>
              <w:top w:val="nil"/>
              <w:left w:val="single" w:color="auto" w:sz="4" w:space="0"/>
              <w:bottom w:val="single" w:color="auto" w:sz="4" w:space="0"/>
              <w:right w:val="single" w:color="auto" w:sz="4" w:space="0"/>
            </w:tcBorders>
            <w:noWrap/>
            <w:vAlign w:val="center"/>
          </w:tcPr>
          <w:p>
            <w:pPr>
              <w:widowControl/>
              <w:rPr>
                <w:rFonts w:ascii="宋体" w:hAnsi="宋体" w:cs="宋体"/>
                <w:color w:val="000000"/>
                <w:kern w:val="0"/>
              </w:rPr>
            </w:pPr>
            <w:r>
              <w:rPr>
                <w:rFonts w:hint="eastAsia" w:ascii="宋体" w:hAnsi="宋体" w:cs="宋体"/>
                <w:color w:val="000000"/>
                <w:kern w:val="0"/>
              </w:rPr>
              <w:t>电池组质保</w:t>
            </w:r>
          </w:p>
        </w:tc>
        <w:tc>
          <w:tcPr>
            <w:tcW w:w="4418" w:type="dxa"/>
            <w:tcBorders>
              <w:top w:val="nil"/>
              <w:left w:val="nil"/>
              <w:bottom w:val="single" w:color="auto" w:sz="4" w:space="0"/>
              <w:right w:val="single" w:color="auto" w:sz="4" w:space="0"/>
            </w:tcBorders>
            <w:noWrap/>
            <w:vAlign w:val="center"/>
          </w:tcPr>
          <w:p>
            <w:pPr>
              <w:widowControl/>
              <w:rPr>
                <w:rFonts w:ascii="宋体" w:hAnsi="宋体" w:cs="宋体"/>
                <w:color w:val="000000"/>
                <w:kern w:val="0"/>
              </w:rPr>
            </w:pPr>
            <w:r>
              <w:rPr>
                <w:rFonts w:hint="eastAsia" w:ascii="宋体" w:hAnsi="宋体" w:cs="宋体"/>
                <w:color w:val="000000"/>
                <w:kern w:val="0"/>
                <w:sz w:val="22"/>
              </w:rPr>
              <w:t>根据所响应的车型情况填报</w:t>
            </w:r>
          </w:p>
        </w:tc>
      </w:tr>
      <w:tr>
        <w:tblPrEx>
          <w:tblCellMar>
            <w:top w:w="0" w:type="dxa"/>
            <w:left w:w="108" w:type="dxa"/>
            <w:bottom w:w="0" w:type="dxa"/>
            <w:right w:w="108" w:type="dxa"/>
          </w:tblCellMar>
        </w:tblPrEx>
        <w:trPr>
          <w:trHeight w:val="161" w:hRule="atLeast"/>
          <w:jc w:val="center"/>
        </w:trPr>
        <w:tc>
          <w:tcPr>
            <w:tcW w:w="1252" w:type="dxa"/>
            <w:vMerge w:val="continue"/>
            <w:tcBorders>
              <w:left w:val="single" w:color="auto" w:sz="4" w:space="0"/>
              <w:bottom w:val="single" w:color="auto" w:sz="4" w:space="0"/>
              <w:right w:val="single" w:color="auto" w:sz="4" w:space="0"/>
            </w:tcBorders>
            <w:noWrap/>
            <w:vAlign w:val="center"/>
          </w:tcPr>
          <w:p>
            <w:pPr>
              <w:widowControl/>
              <w:rPr>
                <w:rFonts w:ascii="宋体" w:hAnsi="宋体" w:cs="宋体"/>
                <w:color w:val="000000"/>
                <w:kern w:val="0"/>
              </w:rPr>
            </w:pPr>
          </w:p>
        </w:tc>
        <w:tc>
          <w:tcPr>
            <w:tcW w:w="2741" w:type="dxa"/>
            <w:tcBorders>
              <w:top w:val="nil"/>
              <w:left w:val="single" w:color="auto" w:sz="4" w:space="0"/>
              <w:bottom w:val="single" w:color="auto" w:sz="4" w:space="0"/>
              <w:right w:val="single" w:color="auto" w:sz="4" w:space="0"/>
            </w:tcBorders>
            <w:noWrap/>
            <w:vAlign w:val="center"/>
          </w:tcPr>
          <w:p>
            <w:pPr>
              <w:widowControl/>
              <w:rPr>
                <w:rFonts w:hint="eastAsia" w:ascii="宋体" w:hAnsi="宋体" w:cs="宋体"/>
                <w:color w:val="000000"/>
                <w:kern w:val="0"/>
              </w:rPr>
            </w:pPr>
            <w:r>
              <w:rPr>
                <w:rFonts w:hint="eastAsia" w:ascii="宋体" w:hAnsi="宋体" w:cs="宋体"/>
                <w:color w:val="000000"/>
                <w:kern w:val="0"/>
              </w:rPr>
              <w:t>过保后更换电池价格</w:t>
            </w:r>
          </w:p>
        </w:tc>
        <w:tc>
          <w:tcPr>
            <w:tcW w:w="4418" w:type="dxa"/>
            <w:tcBorders>
              <w:top w:val="nil"/>
              <w:left w:val="nil"/>
              <w:bottom w:val="single" w:color="auto" w:sz="4" w:space="0"/>
              <w:right w:val="single" w:color="auto" w:sz="4" w:space="0"/>
            </w:tcBorders>
            <w:noWrap/>
            <w:vAlign w:val="center"/>
          </w:tcPr>
          <w:p>
            <w:pPr>
              <w:widowControl/>
              <w:rPr>
                <w:rFonts w:hint="eastAsia" w:ascii="宋体" w:hAnsi="宋体" w:cs="宋体"/>
                <w:color w:val="000000"/>
                <w:kern w:val="0"/>
                <w:sz w:val="22"/>
              </w:rPr>
            </w:pPr>
            <w:r>
              <w:rPr>
                <w:rFonts w:hint="eastAsia" w:ascii="宋体" w:hAnsi="宋体" w:cs="宋体"/>
                <w:color w:val="000000"/>
                <w:kern w:val="0"/>
                <w:sz w:val="22"/>
              </w:rPr>
              <w:t>根据所响应的车型情况填报</w:t>
            </w:r>
          </w:p>
        </w:tc>
      </w:tr>
      <w:tr>
        <w:tblPrEx>
          <w:tblCellMar>
            <w:top w:w="0" w:type="dxa"/>
            <w:left w:w="108" w:type="dxa"/>
            <w:bottom w:w="0" w:type="dxa"/>
            <w:right w:w="108" w:type="dxa"/>
          </w:tblCellMar>
        </w:tblPrEx>
        <w:trPr>
          <w:trHeight w:val="270" w:hRule="atLeast"/>
          <w:jc w:val="center"/>
        </w:trPr>
        <w:tc>
          <w:tcPr>
            <w:tcW w:w="1252" w:type="dxa"/>
            <w:vMerge w:val="continue"/>
            <w:tcBorders>
              <w:left w:val="single" w:color="auto" w:sz="4" w:space="0"/>
              <w:right w:val="single" w:color="auto" w:sz="4" w:space="0"/>
            </w:tcBorders>
            <w:noWrap/>
            <w:vAlign w:val="center"/>
          </w:tcPr>
          <w:p>
            <w:pPr>
              <w:widowControl/>
              <w:rPr>
                <w:rFonts w:ascii="宋体" w:hAnsi="宋体" w:cs="宋体"/>
                <w:color w:val="000000"/>
                <w:kern w:val="0"/>
              </w:rPr>
            </w:pPr>
          </w:p>
        </w:tc>
        <w:tc>
          <w:tcPr>
            <w:tcW w:w="2741" w:type="dxa"/>
            <w:tcBorders>
              <w:top w:val="nil"/>
              <w:left w:val="single" w:color="auto" w:sz="4" w:space="0"/>
              <w:bottom w:val="single" w:color="auto" w:sz="4" w:space="0"/>
              <w:right w:val="single" w:color="auto" w:sz="4" w:space="0"/>
            </w:tcBorders>
            <w:noWrap/>
            <w:vAlign w:val="center"/>
          </w:tcPr>
          <w:p>
            <w:pPr>
              <w:widowControl/>
              <w:rPr>
                <w:rFonts w:ascii="宋体" w:hAnsi="宋体" w:cs="宋体"/>
                <w:color w:val="000000"/>
                <w:kern w:val="0"/>
              </w:rPr>
            </w:pPr>
            <w:r>
              <w:rPr>
                <w:rFonts w:hint="eastAsia" w:ascii="宋体" w:hAnsi="宋体" w:cs="宋体"/>
                <w:color w:val="000000"/>
                <w:kern w:val="0"/>
              </w:rPr>
              <w:t>驱动形式</w:t>
            </w:r>
          </w:p>
        </w:tc>
        <w:tc>
          <w:tcPr>
            <w:tcW w:w="4418" w:type="dxa"/>
            <w:tcBorders>
              <w:top w:val="nil"/>
              <w:left w:val="nil"/>
              <w:bottom w:val="single" w:color="auto" w:sz="4" w:space="0"/>
              <w:right w:val="single" w:color="auto" w:sz="4" w:space="0"/>
            </w:tcBorders>
            <w:noWrap/>
            <w:vAlign w:val="center"/>
          </w:tcPr>
          <w:p>
            <w:pPr>
              <w:widowControl/>
              <w:rPr>
                <w:rFonts w:ascii="宋体" w:hAnsi="宋体" w:cs="宋体"/>
                <w:color w:val="000000"/>
                <w:kern w:val="0"/>
              </w:rPr>
            </w:pPr>
            <w:r>
              <w:rPr>
                <w:rFonts w:hint="eastAsia" w:ascii="宋体" w:hAnsi="宋体" w:cs="宋体"/>
                <w:color w:val="000000"/>
                <w:kern w:val="0"/>
                <w:sz w:val="22"/>
              </w:rPr>
              <w:t>根据所响应的车型情况填报</w:t>
            </w:r>
          </w:p>
        </w:tc>
      </w:tr>
      <w:tr>
        <w:tblPrEx>
          <w:tblCellMar>
            <w:top w:w="0" w:type="dxa"/>
            <w:left w:w="108" w:type="dxa"/>
            <w:bottom w:w="0" w:type="dxa"/>
            <w:right w:w="108" w:type="dxa"/>
          </w:tblCellMar>
        </w:tblPrEx>
        <w:trPr>
          <w:trHeight w:val="270" w:hRule="atLeast"/>
          <w:jc w:val="center"/>
        </w:trPr>
        <w:tc>
          <w:tcPr>
            <w:tcW w:w="1252" w:type="dxa"/>
            <w:vMerge w:val="continue"/>
            <w:tcBorders>
              <w:left w:val="single" w:color="auto" w:sz="4" w:space="0"/>
              <w:right w:val="single" w:color="auto" w:sz="4" w:space="0"/>
            </w:tcBorders>
            <w:noWrap/>
            <w:vAlign w:val="center"/>
          </w:tcPr>
          <w:p>
            <w:pPr>
              <w:widowControl/>
              <w:rPr>
                <w:rFonts w:ascii="宋体" w:hAnsi="宋体" w:cs="宋体"/>
                <w:color w:val="000000"/>
                <w:kern w:val="0"/>
              </w:rPr>
            </w:pPr>
          </w:p>
        </w:tc>
        <w:tc>
          <w:tcPr>
            <w:tcW w:w="2741" w:type="dxa"/>
            <w:tcBorders>
              <w:top w:val="nil"/>
              <w:left w:val="single" w:color="auto" w:sz="4" w:space="0"/>
              <w:bottom w:val="single" w:color="auto" w:sz="4" w:space="0"/>
              <w:right w:val="single" w:color="auto" w:sz="4" w:space="0"/>
            </w:tcBorders>
            <w:noWrap/>
            <w:vAlign w:val="center"/>
          </w:tcPr>
          <w:p>
            <w:pPr>
              <w:widowControl/>
              <w:rPr>
                <w:rFonts w:ascii="宋体" w:hAnsi="宋体" w:cs="宋体"/>
                <w:color w:val="000000"/>
                <w:kern w:val="0"/>
              </w:rPr>
            </w:pPr>
            <w:r>
              <w:rPr>
                <w:rFonts w:hint="eastAsia" w:ascii="宋体" w:hAnsi="宋体" w:cs="宋体"/>
                <w:color w:val="000000"/>
                <w:kern w:val="0"/>
              </w:rPr>
              <w:t>转向助力形式</w:t>
            </w:r>
          </w:p>
        </w:tc>
        <w:tc>
          <w:tcPr>
            <w:tcW w:w="4418" w:type="dxa"/>
            <w:tcBorders>
              <w:top w:val="nil"/>
              <w:left w:val="nil"/>
              <w:bottom w:val="single" w:color="auto" w:sz="4" w:space="0"/>
              <w:right w:val="single" w:color="auto" w:sz="4" w:space="0"/>
            </w:tcBorders>
            <w:noWrap/>
            <w:vAlign w:val="center"/>
          </w:tcPr>
          <w:p>
            <w:pPr>
              <w:widowControl/>
              <w:rPr>
                <w:rFonts w:ascii="宋体" w:hAnsi="宋体" w:cs="宋体"/>
                <w:color w:val="000000"/>
                <w:kern w:val="0"/>
              </w:rPr>
            </w:pPr>
            <w:r>
              <w:rPr>
                <w:rFonts w:hint="eastAsia" w:ascii="宋体" w:hAnsi="宋体" w:cs="宋体"/>
                <w:color w:val="000000"/>
                <w:kern w:val="0"/>
                <w:sz w:val="22"/>
              </w:rPr>
              <w:t>根据所响应的车型情况填报</w:t>
            </w:r>
          </w:p>
        </w:tc>
      </w:tr>
      <w:tr>
        <w:tblPrEx>
          <w:tblCellMar>
            <w:top w:w="0" w:type="dxa"/>
            <w:left w:w="108" w:type="dxa"/>
            <w:bottom w:w="0" w:type="dxa"/>
            <w:right w:w="108" w:type="dxa"/>
          </w:tblCellMar>
        </w:tblPrEx>
        <w:trPr>
          <w:trHeight w:val="285" w:hRule="atLeast"/>
          <w:jc w:val="center"/>
        </w:trPr>
        <w:tc>
          <w:tcPr>
            <w:tcW w:w="1252" w:type="dxa"/>
            <w:vMerge w:val="continue"/>
            <w:tcBorders>
              <w:left w:val="single" w:color="auto" w:sz="4" w:space="0"/>
              <w:right w:val="single" w:color="auto" w:sz="4" w:space="0"/>
            </w:tcBorders>
            <w:noWrap/>
            <w:vAlign w:val="center"/>
          </w:tcPr>
          <w:p>
            <w:pPr>
              <w:widowControl/>
              <w:jc w:val="left"/>
              <w:rPr>
                <w:rFonts w:ascii="宋体" w:hAnsi="宋体" w:cs="宋体"/>
                <w:color w:val="000000"/>
                <w:kern w:val="0"/>
                <w:sz w:val="22"/>
              </w:rPr>
            </w:pPr>
          </w:p>
        </w:tc>
        <w:tc>
          <w:tcPr>
            <w:tcW w:w="2741" w:type="dxa"/>
            <w:tcBorders>
              <w:top w:val="nil"/>
              <w:left w:val="single" w:color="auto" w:sz="4" w:space="0"/>
              <w:bottom w:val="single" w:color="auto" w:sz="4" w:space="0"/>
              <w:right w:val="single" w:color="auto" w:sz="4" w:space="0"/>
            </w:tcBorders>
            <w:noWrap/>
            <w:vAlign w:val="center"/>
          </w:tcPr>
          <w:p>
            <w:pPr>
              <w:widowControl/>
              <w:jc w:val="left"/>
              <w:rPr>
                <w:rFonts w:ascii="宋体" w:hAnsi="宋体" w:cs="宋体"/>
                <w:color w:val="000000"/>
                <w:kern w:val="0"/>
                <w:sz w:val="22"/>
              </w:rPr>
            </w:pPr>
            <w:r>
              <w:rPr>
                <w:rFonts w:hint="eastAsia" w:ascii="宋体" w:hAnsi="宋体" w:cs="宋体"/>
                <w:color w:val="000000"/>
                <w:kern w:val="0"/>
              </w:rPr>
              <w:t>车轮</w:t>
            </w:r>
            <w:r>
              <w:rPr>
                <w:rFonts w:cs="宋体"/>
                <w:color w:val="000000"/>
                <w:kern w:val="0"/>
              </w:rPr>
              <w:t>/</w:t>
            </w:r>
            <w:r>
              <w:rPr>
                <w:rFonts w:hint="eastAsia" w:ascii="宋体" w:hAnsi="宋体" w:cs="宋体"/>
                <w:color w:val="000000"/>
                <w:kern w:val="0"/>
              </w:rPr>
              <w:t>制动</w:t>
            </w:r>
          </w:p>
        </w:tc>
        <w:tc>
          <w:tcPr>
            <w:tcW w:w="4418" w:type="dxa"/>
            <w:tcBorders>
              <w:top w:val="nil"/>
              <w:left w:val="nil"/>
              <w:bottom w:val="single" w:color="auto" w:sz="4" w:space="0"/>
              <w:right w:val="single" w:color="auto" w:sz="4" w:space="0"/>
            </w:tcBorders>
            <w:noWrap/>
            <w:vAlign w:val="center"/>
          </w:tcPr>
          <w:p>
            <w:pPr>
              <w:widowControl/>
              <w:rPr>
                <w:rFonts w:ascii="宋体" w:hAnsi="宋体" w:cs="宋体"/>
                <w:color w:val="000000"/>
                <w:kern w:val="0"/>
              </w:rPr>
            </w:pPr>
            <w:r>
              <w:rPr>
                <w:rFonts w:hint="eastAsia" w:ascii="宋体" w:hAnsi="宋体" w:cs="宋体"/>
                <w:color w:val="000000"/>
                <w:kern w:val="0"/>
                <w:sz w:val="22"/>
              </w:rPr>
              <w:t>根据所响应的车型情况填报</w:t>
            </w:r>
          </w:p>
        </w:tc>
      </w:tr>
      <w:tr>
        <w:tblPrEx>
          <w:tblCellMar>
            <w:top w:w="0" w:type="dxa"/>
            <w:left w:w="108" w:type="dxa"/>
            <w:bottom w:w="0" w:type="dxa"/>
            <w:right w:w="108" w:type="dxa"/>
          </w:tblCellMar>
        </w:tblPrEx>
        <w:trPr>
          <w:trHeight w:val="270" w:hRule="atLeast"/>
          <w:jc w:val="center"/>
        </w:trPr>
        <w:tc>
          <w:tcPr>
            <w:tcW w:w="1252" w:type="dxa"/>
            <w:vMerge w:val="continue"/>
            <w:tcBorders>
              <w:left w:val="single" w:color="auto" w:sz="4" w:space="0"/>
              <w:right w:val="single" w:color="auto" w:sz="4" w:space="0"/>
            </w:tcBorders>
            <w:noWrap/>
            <w:vAlign w:val="center"/>
          </w:tcPr>
          <w:p>
            <w:pPr>
              <w:widowControl/>
              <w:rPr>
                <w:rFonts w:ascii="宋体" w:hAnsi="宋体" w:cs="宋体"/>
                <w:color w:val="000000"/>
                <w:kern w:val="0"/>
              </w:rPr>
            </w:pPr>
          </w:p>
        </w:tc>
        <w:tc>
          <w:tcPr>
            <w:tcW w:w="2741" w:type="dxa"/>
            <w:tcBorders>
              <w:top w:val="nil"/>
              <w:left w:val="single" w:color="auto" w:sz="4" w:space="0"/>
              <w:bottom w:val="single" w:color="auto" w:sz="4" w:space="0"/>
              <w:right w:val="single" w:color="auto" w:sz="4" w:space="0"/>
            </w:tcBorders>
            <w:noWrap/>
            <w:vAlign w:val="center"/>
          </w:tcPr>
          <w:p>
            <w:pPr>
              <w:widowControl/>
              <w:rPr>
                <w:rFonts w:ascii="宋体" w:hAnsi="宋体" w:cs="宋体"/>
                <w:color w:val="000000"/>
                <w:kern w:val="0"/>
              </w:rPr>
            </w:pPr>
            <w:r>
              <w:rPr>
                <w:rFonts w:hint="eastAsia" w:ascii="宋体" w:hAnsi="宋体" w:cs="宋体"/>
                <w:color w:val="000000"/>
                <w:kern w:val="0"/>
              </w:rPr>
              <w:t>驻车制动类型</w:t>
            </w:r>
          </w:p>
        </w:tc>
        <w:tc>
          <w:tcPr>
            <w:tcW w:w="4418" w:type="dxa"/>
            <w:tcBorders>
              <w:top w:val="nil"/>
              <w:left w:val="nil"/>
              <w:bottom w:val="single" w:color="auto" w:sz="4" w:space="0"/>
              <w:right w:val="single" w:color="auto" w:sz="4" w:space="0"/>
            </w:tcBorders>
            <w:noWrap/>
            <w:vAlign w:val="center"/>
          </w:tcPr>
          <w:p>
            <w:pPr>
              <w:widowControl/>
              <w:rPr>
                <w:rFonts w:ascii="宋体" w:hAnsi="宋体" w:cs="宋体"/>
                <w:color w:val="000000"/>
                <w:kern w:val="0"/>
              </w:rPr>
            </w:pPr>
            <w:r>
              <w:rPr>
                <w:rFonts w:hint="eastAsia" w:ascii="宋体" w:hAnsi="宋体" w:cs="宋体"/>
                <w:color w:val="000000"/>
                <w:kern w:val="0"/>
                <w:sz w:val="22"/>
              </w:rPr>
              <w:t>根据所响应的车型情况填报</w:t>
            </w:r>
          </w:p>
        </w:tc>
      </w:tr>
      <w:tr>
        <w:tblPrEx>
          <w:tblCellMar>
            <w:top w:w="0" w:type="dxa"/>
            <w:left w:w="108" w:type="dxa"/>
            <w:bottom w:w="0" w:type="dxa"/>
            <w:right w:w="108" w:type="dxa"/>
          </w:tblCellMar>
        </w:tblPrEx>
        <w:trPr>
          <w:trHeight w:val="285" w:hRule="atLeast"/>
          <w:jc w:val="center"/>
        </w:trPr>
        <w:tc>
          <w:tcPr>
            <w:tcW w:w="1252" w:type="dxa"/>
            <w:vMerge w:val="restart"/>
            <w:tcBorders>
              <w:top w:val="nil"/>
              <w:left w:val="single" w:color="auto" w:sz="4" w:space="0"/>
              <w:right w:val="single" w:color="auto" w:sz="4" w:space="0"/>
            </w:tcBorders>
            <w:noWrap/>
            <w:vAlign w:val="center"/>
          </w:tcPr>
          <w:p>
            <w:pPr>
              <w:widowControl/>
              <w:rPr>
                <w:rFonts w:cs="宋体"/>
                <w:color w:val="000000"/>
                <w:kern w:val="0"/>
              </w:rPr>
            </w:pPr>
            <w:r>
              <w:rPr>
                <w:rFonts w:hint="eastAsia" w:ascii="宋体" w:hAnsi="宋体" w:cs="宋体"/>
                <w:color w:val="000000"/>
                <w:kern w:val="0"/>
              </w:rPr>
              <w:t>安全参数</w:t>
            </w:r>
          </w:p>
        </w:tc>
        <w:tc>
          <w:tcPr>
            <w:tcW w:w="2741" w:type="dxa"/>
            <w:tcBorders>
              <w:top w:val="nil"/>
              <w:left w:val="single" w:color="auto" w:sz="4" w:space="0"/>
              <w:bottom w:val="single" w:color="auto" w:sz="4" w:space="0"/>
              <w:right w:val="single" w:color="auto" w:sz="4" w:space="0"/>
            </w:tcBorders>
            <w:noWrap/>
            <w:vAlign w:val="center"/>
          </w:tcPr>
          <w:p>
            <w:pPr>
              <w:widowControl/>
              <w:rPr>
                <w:rFonts w:cs="宋体"/>
                <w:color w:val="000000"/>
                <w:kern w:val="0"/>
              </w:rPr>
            </w:pPr>
            <w:r>
              <w:rPr>
                <w:rFonts w:cs="宋体"/>
                <w:color w:val="000000"/>
                <w:kern w:val="0"/>
              </w:rPr>
              <w:t>ABS</w:t>
            </w:r>
            <w:r>
              <w:rPr>
                <w:rFonts w:hint="eastAsia" w:ascii="宋体" w:hAnsi="宋体" w:cs="宋体"/>
                <w:color w:val="000000"/>
                <w:kern w:val="0"/>
              </w:rPr>
              <w:t>防抱死</w:t>
            </w:r>
          </w:p>
        </w:tc>
        <w:tc>
          <w:tcPr>
            <w:tcW w:w="4418" w:type="dxa"/>
            <w:tcBorders>
              <w:top w:val="nil"/>
              <w:left w:val="nil"/>
              <w:bottom w:val="single" w:color="auto" w:sz="4" w:space="0"/>
              <w:right w:val="single" w:color="auto" w:sz="4" w:space="0"/>
            </w:tcBorders>
            <w:noWrap/>
            <w:vAlign w:val="center"/>
          </w:tcPr>
          <w:p>
            <w:pPr>
              <w:widowControl/>
              <w:jc w:val="left"/>
              <w:rPr>
                <w:rFonts w:ascii="宋体" w:hAnsi="宋体" w:cs="宋体"/>
                <w:color w:val="000000"/>
                <w:kern w:val="0"/>
                <w:sz w:val="22"/>
              </w:rPr>
            </w:pPr>
            <w:r>
              <w:rPr>
                <w:rFonts w:hint="eastAsia" w:ascii="宋体" w:hAnsi="宋体" w:cs="宋体"/>
                <w:color w:val="000000"/>
                <w:kern w:val="0"/>
                <w:sz w:val="22"/>
              </w:rPr>
              <w:t>根据所响应的车型情况填报</w:t>
            </w:r>
          </w:p>
        </w:tc>
      </w:tr>
      <w:tr>
        <w:tblPrEx>
          <w:tblCellMar>
            <w:top w:w="0" w:type="dxa"/>
            <w:left w:w="108" w:type="dxa"/>
            <w:bottom w:w="0" w:type="dxa"/>
            <w:right w:w="108" w:type="dxa"/>
          </w:tblCellMar>
        </w:tblPrEx>
        <w:trPr>
          <w:trHeight w:val="285" w:hRule="atLeast"/>
          <w:jc w:val="center"/>
        </w:trPr>
        <w:tc>
          <w:tcPr>
            <w:tcW w:w="1252" w:type="dxa"/>
            <w:vMerge w:val="continue"/>
            <w:tcBorders>
              <w:left w:val="single" w:color="auto" w:sz="4" w:space="0"/>
              <w:right w:val="single" w:color="auto" w:sz="4" w:space="0"/>
            </w:tcBorders>
            <w:noWrap/>
            <w:vAlign w:val="center"/>
          </w:tcPr>
          <w:p>
            <w:pPr>
              <w:widowControl/>
              <w:rPr>
                <w:rFonts w:ascii="宋体" w:hAnsi="宋体" w:cs="宋体"/>
                <w:color w:val="000000"/>
                <w:kern w:val="0"/>
              </w:rPr>
            </w:pPr>
          </w:p>
        </w:tc>
        <w:tc>
          <w:tcPr>
            <w:tcW w:w="2741" w:type="dxa"/>
            <w:tcBorders>
              <w:top w:val="nil"/>
              <w:left w:val="single" w:color="auto" w:sz="4" w:space="0"/>
              <w:bottom w:val="single" w:color="auto" w:sz="4" w:space="0"/>
              <w:right w:val="single" w:color="auto" w:sz="4" w:space="0"/>
            </w:tcBorders>
            <w:noWrap/>
            <w:vAlign w:val="center"/>
          </w:tcPr>
          <w:p>
            <w:pPr>
              <w:widowControl/>
              <w:rPr>
                <w:rFonts w:ascii="宋体" w:hAnsi="宋体" w:cs="宋体"/>
                <w:color w:val="000000"/>
                <w:kern w:val="0"/>
              </w:rPr>
            </w:pPr>
            <w:r>
              <w:rPr>
                <w:rFonts w:hint="eastAsia" w:ascii="宋体" w:hAnsi="宋体" w:cs="宋体"/>
                <w:color w:val="000000"/>
                <w:kern w:val="0"/>
              </w:rPr>
              <w:t>并线辅助</w:t>
            </w:r>
          </w:p>
        </w:tc>
        <w:tc>
          <w:tcPr>
            <w:tcW w:w="4418" w:type="dxa"/>
            <w:tcBorders>
              <w:top w:val="nil"/>
              <w:left w:val="nil"/>
              <w:bottom w:val="single" w:color="auto" w:sz="4" w:space="0"/>
              <w:right w:val="single" w:color="auto" w:sz="4" w:space="0"/>
            </w:tcBorders>
            <w:noWrap/>
            <w:vAlign w:val="center"/>
          </w:tcPr>
          <w:p>
            <w:pPr>
              <w:widowControl/>
              <w:rPr>
                <w:rFonts w:cs="宋体"/>
                <w:color w:val="000000"/>
                <w:kern w:val="0"/>
              </w:rPr>
            </w:pPr>
            <w:r>
              <w:rPr>
                <w:rFonts w:hint="eastAsia" w:ascii="宋体" w:hAnsi="宋体" w:cs="宋体"/>
                <w:color w:val="000000"/>
                <w:kern w:val="0"/>
                <w:sz w:val="22"/>
              </w:rPr>
              <w:t>根据所响应的车型情况填报</w:t>
            </w:r>
          </w:p>
        </w:tc>
      </w:tr>
      <w:tr>
        <w:tblPrEx>
          <w:tblCellMar>
            <w:top w:w="0" w:type="dxa"/>
            <w:left w:w="108" w:type="dxa"/>
            <w:bottom w:w="0" w:type="dxa"/>
            <w:right w:w="108" w:type="dxa"/>
          </w:tblCellMar>
        </w:tblPrEx>
        <w:trPr>
          <w:trHeight w:val="285" w:hRule="atLeast"/>
          <w:jc w:val="center"/>
        </w:trPr>
        <w:tc>
          <w:tcPr>
            <w:tcW w:w="1252" w:type="dxa"/>
            <w:vMerge w:val="continue"/>
            <w:tcBorders>
              <w:left w:val="single" w:color="auto" w:sz="4" w:space="0"/>
              <w:right w:val="single" w:color="auto" w:sz="4" w:space="0"/>
            </w:tcBorders>
            <w:noWrap/>
            <w:vAlign w:val="center"/>
          </w:tcPr>
          <w:p>
            <w:pPr>
              <w:widowControl/>
              <w:rPr>
                <w:rFonts w:ascii="宋体" w:hAnsi="宋体" w:cs="宋体"/>
                <w:color w:val="000000"/>
                <w:kern w:val="0"/>
              </w:rPr>
            </w:pPr>
          </w:p>
        </w:tc>
        <w:tc>
          <w:tcPr>
            <w:tcW w:w="2741" w:type="dxa"/>
            <w:tcBorders>
              <w:top w:val="nil"/>
              <w:left w:val="single" w:color="auto" w:sz="4" w:space="0"/>
              <w:bottom w:val="single" w:color="auto" w:sz="4" w:space="0"/>
              <w:right w:val="single" w:color="auto" w:sz="4" w:space="0"/>
            </w:tcBorders>
            <w:noWrap/>
            <w:vAlign w:val="center"/>
          </w:tcPr>
          <w:p>
            <w:pPr>
              <w:widowControl/>
              <w:rPr>
                <w:rFonts w:ascii="宋体" w:hAnsi="宋体" w:cs="宋体"/>
                <w:color w:val="000000"/>
                <w:kern w:val="0"/>
              </w:rPr>
            </w:pPr>
            <w:r>
              <w:rPr>
                <w:rFonts w:hint="eastAsia" w:ascii="宋体" w:hAnsi="宋体" w:cs="宋体"/>
                <w:color w:val="000000"/>
                <w:kern w:val="0"/>
              </w:rPr>
              <w:t>车道保持辅助系统</w:t>
            </w:r>
          </w:p>
        </w:tc>
        <w:tc>
          <w:tcPr>
            <w:tcW w:w="4418" w:type="dxa"/>
            <w:tcBorders>
              <w:top w:val="nil"/>
              <w:left w:val="nil"/>
              <w:bottom w:val="single" w:color="auto" w:sz="4" w:space="0"/>
              <w:right w:val="single" w:color="auto" w:sz="4" w:space="0"/>
            </w:tcBorders>
            <w:noWrap/>
            <w:vAlign w:val="center"/>
          </w:tcPr>
          <w:p>
            <w:pPr>
              <w:widowControl/>
              <w:rPr>
                <w:rFonts w:cs="宋体"/>
                <w:color w:val="000000"/>
                <w:kern w:val="0"/>
              </w:rPr>
            </w:pPr>
            <w:r>
              <w:rPr>
                <w:rFonts w:hint="eastAsia" w:ascii="宋体" w:hAnsi="宋体" w:cs="宋体"/>
                <w:color w:val="000000"/>
                <w:kern w:val="0"/>
                <w:sz w:val="22"/>
              </w:rPr>
              <w:t>根据所响应的车型情况填报</w:t>
            </w:r>
          </w:p>
        </w:tc>
      </w:tr>
      <w:tr>
        <w:tblPrEx>
          <w:tblCellMar>
            <w:top w:w="0" w:type="dxa"/>
            <w:left w:w="108" w:type="dxa"/>
            <w:bottom w:w="0" w:type="dxa"/>
            <w:right w:w="108" w:type="dxa"/>
          </w:tblCellMar>
        </w:tblPrEx>
        <w:trPr>
          <w:trHeight w:val="285" w:hRule="atLeast"/>
          <w:jc w:val="center"/>
        </w:trPr>
        <w:tc>
          <w:tcPr>
            <w:tcW w:w="1252" w:type="dxa"/>
            <w:vMerge w:val="continue"/>
            <w:tcBorders>
              <w:left w:val="single" w:color="auto" w:sz="4" w:space="0"/>
              <w:right w:val="single" w:color="auto" w:sz="4" w:space="0"/>
            </w:tcBorders>
            <w:noWrap/>
            <w:vAlign w:val="center"/>
          </w:tcPr>
          <w:p>
            <w:pPr>
              <w:widowControl/>
              <w:rPr>
                <w:rFonts w:ascii="宋体" w:hAnsi="宋体" w:cs="宋体"/>
                <w:color w:val="000000"/>
                <w:kern w:val="0"/>
              </w:rPr>
            </w:pPr>
          </w:p>
        </w:tc>
        <w:tc>
          <w:tcPr>
            <w:tcW w:w="2741" w:type="dxa"/>
            <w:tcBorders>
              <w:top w:val="nil"/>
              <w:left w:val="single" w:color="auto" w:sz="4" w:space="0"/>
              <w:bottom w:val="single" w:color="auto" w:sz="4" w:space="0"/>
              <w:right w:val="single" w:color="auto" w:sz="4" w:space="0"/>
            </w:tcBorders>
            <w:noWrap/>
            <w:vAlign w:val="center"/>
          </w:tcPr>
          <w:p>
            <w:pPr>
              <w:widowControl/>
              <w:rPr>
                <w:rFonts w:ascii="宋体" w:hAnsi="宋体" w:cs="宋体"/>
                <w:color w:val="000000"/>
                <w:kern w:val="0"/>
              </w:rPr>
            </w:pPr>
            <w:r>
              <w:rPr>
                <w:rFonts w:hint="eastAsia" w:ascii="宋体" w:hAnsi="宋体" w:cs="宋体"/>
                <w:color w:val="000000"/>
                <w:kern w:val="0"/>
              </w:rPr>
              <w:t>车道偏离预警</w:t>
            </w:r>
          </w:p>
        </w:tc>
        <w:tc>
          <w:tcPr>
            <w:tcW w:w="4418" w:type="dxa"/>
            <w:tcBorders>
              <w:top w:val="nil"/>
              <w:left w:val="nil"/>
              <w:bottom w:val="single" w:color="auto" w:sz="4" w:space="0"/>
              <w:right w:val="single" w:color="auto" w:sz="4" w:space="0"/>
            </w:tcBorders>
            <w:noWrap/>
            <w:vAlign w:val="center"/>
          </w:tcPr>
          <w:p>
            <w:pPr>
              <w:widowControl/>
              <w:rPr>
                <w:rFonts w:cs="宋体"/>
                <w:color w:val="000000"/>
                <w:kern w:val="0"/>
              </w:rPr>
            </w:pPr>
            <w:r>
              <w:rPr>
                <w:rFonts w:hint="eastAsia" w:ascii="宋体" w:hAnsi="宋体" w:cs="宋体"/>
                <w:color w:val="000000"/>
                <w:kern w:val="0"/>
                <w:sz w:val="22"/>
              </w:rPr>
              <w:t>根据所响应的车型情况填报</w:t>
            </w:r>
          </w:p>
        </w:tc>
      </w:tr>
      <w:tr>
        <w:tblPrEx>
          <w:tblCellMar>
            <w:top w:w="0" w:type="dxa"/>
            <w:left w:w="108" w:type="dxa"/>
            <w:bottom w:w="0" w:type="dxa"/>
            <w:right w:w="108" w:type="dxa"/>
          </w:tblCellMar>
        </w:tblPrEx>
        <w:trPr>
          <w:trHeight w:val="270" w:hRule="atLeast"/>
          <w:jc w:val="center"/>
        </w:trPr>
        <w:tc>
          <w:tcPr>
            <w:tcW w:w="1252" w:type="dxa"/>
            <w:vMerge w:val="continue"/>
            <w:tcBorders>
              <w:left w:val="single" w:color="auto" w:sz="4" w:space="0"/>
              <w:right w:val="single" w:color="auto" w:sz="4" w:space="0"/>
            </w:tcBorders>
            <w:noWrap/>
            <w:vAlign w:val="center"/>
          </w:tcPr>
          <w:p>
            <w:pPr>
              <w:widowControl/>
              <w:rPr>
                <w:rFonts w:ascii="宋体" w:hAnsi="宋体" w:cs="宋体"/>
                <w:color w:val="000000"/>
                <w:kern w:val="0"/>
              </w:rPr>
            </w:pPr>
          </w:p>
        </w:tc>
        <w:tc>
          <w:tcPr>
            <w:tcW w:w="2741" w:type="dxa"/>
            <w:tcBorders>
              <w:top w:val="nil"/>
              <w:left w:val="single" w:color="auto" w:sz="4" w:space="0"/>
              <w:bottom w:val="single" w:color="auto" w:sz="4" w:space="0"/>
              <w:right w:val="single" w:color="auto" w:sz="4" w:space="0"/>
            </w:tcBorders>
            <w:noWrap/>
            <w:vAlign w:val="center"/>
          </w:tcPr>
          <w:p>
            <w:pPr>
              <w:widowControl/>
              <w:rPr>
                <w:rFonts w:ascii="宋体" w:hAnsi="宋体" w:cs="宋体"/>
                <w:color w:val="000000"/>
                <w:kern w:val="0"/>
              </w:rPr>
            </w:pPr>
            <w:r>
              <w:rPr>
                <w:rFonts w:hint="eastAsia" w:ascii="宋体" w:hAnsi="宋体" w:cs="宋体"/>
                <w:color w:val="000000"/>
                <w:kern w:val="0"/>
              </w:rPr>
              <w:t>前排气囊</w:t>
            </w:r>
          </w:p>
        </w:tc>
        <w:tc>
          <w:tcPr>
            <w:tcW w:w="4418" w:type="dxa"/>
            <w:tcBorders>
              <w:top w:val="nil"/>
              <w:left w:val="nil"/>
              <w:bottom w:val="single" w:color="auto" w:sz="4" w:space="0"/>
              <w:right w:val="single" w:color="auto" w:sz="4" w:space="0"/>
            </w:tcBorders>
            <w:noWrap/>
            <w:vAlign w:val="center"/>
          </w:tcPr>
          <w:p>
            <w:pPr>
              <w:widowControl/>
              <w:rPr>
                <w:rFonts w:ascii="宋体" w:hAnsi="宋体" w:cs="宋体"/>
                <w:color w:val="000000"/>
                <w:kern w:val="0"/>
              </w:rPr>
            </w:pPr>
            <w:r>
              <w:rPr>
                <w:rFonts w:hint="eastAsia" w:ascii="宋体" w:hAnsi="宋体" w:cs="宋体"/>
                <w:color w:val="000000"/>
                <w:kern w:val="0"/>
                <w:sz w:val="22"/>
              </w:rPr>
              <w:t>根据所响应的车型情况填报</w:t>
            </w:r>
          </w:p>
        </w:tc>
      </w:tr>
      <w:tr>
        <w:tblPrEx>
          <w:tblCellMar>
            <w:top w:w="0" w:type="dxa"/>
            <w:left w:w="108" w:type="dxa"/>
            <w:bottom w:w="0" w:type="dxa"/>
            <w:right w:w="108" w:type="dxa"/>
          </w:tblCellMar>
        </w:tblPrEx>
        <w:trPr>
          <w:trHeight w:val="285" w:hRule="atLeast"/>
          <w:jc w:val="center"/>
        </w:trPr>
        <w:tc>
          <w:tcPr>
            <w:tcW w:w="1252" w:type="dxa"/>
            <w:vMerge w:val="continue"/>
            <w:tcBorders>
              <w:left w:val="single" w:color="auto" w:sz="4" w:space="0"/>
              <w:right w:val="single" w:color="auto" w:sz="4" w:space="0"/>
            </w:tcBorders>
            <w:noWrap/>
            <w:vAlign w:val="center"/>
          </w:tcPr>
          <w:p>
            <w:pPr>
              <w:widowControl/>
              <w:rPr>
                <w:rFonts w:ascii="宋体" w:hAnsi="宋体" w:cs="宋体"/>
                <w:color w:val="000000"/>
                <w:kern w:val="0"/>
              </w:rPr>
            </w:pPr>
          </w:p>
        </w:tc>
        <w:tc>
          <w:tcPr>
            <w:tcW w:w="2741" w:type="dxa"/>
            <w:tcBorders>
              <w:top w:val="nil"/>
              <w:left w:val="single" w:color="auto" w:sz="4" w:space="0"/>
              <w:bottom w:val="single" w:color="auto" w:sz="4" w:space="0"/>
              <w:right w:val="single" w:color="auto" w:sz="4" w:space="0"/>
            </w:tcBorders>
            <w:noWrap/>
            <w:vAlign w:val="center"/>
          </w:tcPr>
          <w:p>
            <w:pPr>
              <w:widowControl/>
              <w:rPr>
                <w:rFonts w:ascii="宋体" w:hAnsi="宋体" w:cs="宋体"/>
                <w:color w:val="000000"/>
                <w:kern w:val="0"/>
              </w:rPr>
            </w:pPr>
            <w:r>
              <w:rPr>
                <w:rFonts w:hint="eastAsia" w:ascii="宋体" w:hAnsi="宋体" w:cs="宋体"/>
                <w:color w:val="000000"/>
                <w:kern w:val="0"/>
              </w:rPr>
              <w:t>后排气囊</w:t>
            </w:r>
          </w:p>
        </w:tc>
        <w:tc>
          <w:tcPr>
            <w:tcW w:w="4418" w:type="dxa"/>
            <w:tcBorders>
              <w:top w:val="nil"/>
              <w:left w:val="nil"/>
              <w:bottom w:val="single" w:color="auto" w:sz="4" w:space="0"/>
              <w:right w:val="single" w:color="auto" w:sz="4" w:space="0"/>
            </w:tcBorders>
            <w:noWrap/>
            <w:vAlign w:val="center"/>
          </w:tcPr>
          <w:p>
            <w:pPr>
              <w:widowControl/>
              <w:rPr>
                <w:rFonts w:cs="宋体"/>
                <w:color w:val="000000"/>
                <w:kern w:val="0"/>
              </w:rPr>
            </w:pPr>
            <w:r>
              <w:rPr>
                <w:rFonts w:hint="eastAsia" w:ascii="宋体" w:hAnsi="宋体" w:cs="宋体"/>
                <w:color w:val="000000"/>
                <w:kern w:val="0"/>
                <w:sz w:val="22"/>
              </w:rPr>
              <w:t>根据所响应的车型情况填报</w:t>
            </w:r>
          </w:p>
        </w:tc>
      </w:tr>
      <w:tr>
        <w:tblPrEx>
          <w:tblCellMar>
            <w:top w:w="0" w:type="dxa"/>
            <w:left w:w="108" w:type="dxa"/>
            <w:bottom w:w="0" w:type="dxa"/>
            <w:right w:w="108" w:type="dxa"/>
          </w:tblCellMar>
        </w:tblPrEx>
        <w:trPr>
          <w:trHeight w:val="270" w:hRule="atLeast"/>
          <w:jc w:val="center"/>
        </w:trPr>
        <w:tc>
          <w:tcPr>
            <w:tcW w:w="1252" w:type="dxa"/>
            <w:vMerge w:val="continue"/>
            <w:tcBorders>
              <w:left w:val="single" w:color="auto" w:sz="4" w:space="0"/>
              <w:bottom w:val="single" w:color="auto" w:sz="4" w:space="0"/>
              <w:right w:val="single" w:color="auto" w:sz="4" w:space="0"/>
            </w:tcBorders>
            <w:noWrap/>
            <w:vAlign w:val="center"/>
          </w:tcPr>
          <w:p>
            <w:pPr>
              <w:widowControl/>
              <w:rPr>
                <w:rFonts w:ascii="宋体" w:hAnsi="宋体" w:cs="宋体"/>
                <w:color w:val="000000"/>
                <w:kern w:val="0"/>
              </w:rPr>
            </w:pPr>
          </w:p>
        </w:tc>
        <w:tc>
          <w:tcPr>
            <w:tcW w:w="2741" w:type="dxa"/>
            <w:tcBorders>
              <w:top w:val="nil"/>
              <w:left w:val="single" w:color="auto" w:sz="4" w:space="0"/>
              <w:bottom w:val="single" w:color="auto" w:sz="4" w:space="0"/>
              <w:right w:val="single" w:color="auto" w:sz="4" w:space="0"/>
            </w:tcBorders>
            <w:noWrap/>
            <w:vAlign w:val="center"/>
          </w:tcPr>
          <w:p>
            <w:pPr>
              <w:widowControl/>
              <w:rPr>
                <w:rFonts w:ascii="宋体" w:hAnsi="宋体" w:cs="宋体"/>
                <w:color w:val="000000"/>
                <w:kern w:val="0"/>
              </w:rPr>
            </w:pPr>
            <w:r>
              <w:rPr>
                <w:rFonts w:hint="eastAsia" w:ascii="宋体" w:hAnsi="宋体" w:cs="宋体"/>
                <w:color w:val="000000"/>
                <w:kern w:val="0"/>
              </w:rPr>
              <w:t>胎压检测装置</w:t>
            </w:r>
          </w:p>
        </w:tc>
        <w:tc>
          <w:tcPr>
            <w:tcW w:w="4418" w:type="dxa"/>
            <w:tcBorders>
              <w:top w:val="nil"/>
              <w:left w:val="nil"/>
              <w:bottom w:val="single" w:color="auto" w:sz="4" w:space="0"/>
              <w:right w:val="single" w:color="auto" w:sz="4" w:space="0"/>
            </w:tcBorders>
            <w:noWrap/>
            <w:vAlign w:val="center"/>
          </w:tcPr>
          <w:p>
            <w:pPr>
              <w:widowControl/>
              <w:rPr>
                <w:rFonts w:ascii="宋体" w:hAnsi="宋体" w:cs="宋体"/>
                <w:color w:val="000000"/>
                <w:kern w:val="0"/>
              </w:rPr>
            </w:pPr>
            <w:r>
              <w:rPr>
                <w:rFonts w:hint="eastAsia" w:ascii="宋体" w:hAnsi="宋体" w:cs="宋体"/>
                <w:color w:val="000000"/>
                <w:kern w:val="0"/>
                <w:sz w:val="22"/>
              </w:rPr>
              <w:t>根据所响应的车型情况填报</w:t>
            </w:r>
          </w:p>
        </w:tc>
      </w:tr>
      <w:tr>
        <w:tblPrEx>
          <w:tblCellMar>
            <w:top w:w="0" w:type="dxa"/>
            <w:left w:w="108" w:type="dxa"/>
            <w:bottom w:w="0" w:type="dxa"/>
            <w:right w:w="108" w:type="dxa"/>
          </w:tblCellMar>
        </w:tblPrEx>
        <w:trPr>
          <w:trHeight w:val="270" w:hRule="atLeast"/>
          <w:jc w:val="center"/>
        </w:trPr>
        <w:tc>
          <w:tcPr>
            <w:tcW w:w="1252" w:type="dxa"/>
            <w:vMerge w:val="restart"/>
            <w:tcBorders>
              <w:top w:val="nil"/>
              <w:left w:val="single" w:color="auto" w:sz="4" w:space="0"/>
              <w:right w:val="single" w:color="auto" w:sz="4" w:space="0"/>
            </w:tcBorders>
            <w:noWrap/>
            <w:vAlign w:val="center"/>
          </w:tcPr>
          <w:p>
            <w:pPr>
              <w:rPr>
                <w:rFonts w:ascii="宋体" w:hAnsi="宋体" w:cs="宋体"/>
                <w:color w:val="000000"/>
                <w:kern w:val="0"/>
              </w:rPr>
            </w:pPr>
            <w:r>
              <w:rPr>
                <w:rFonts w:hint="eastAsia" w:ascii="宋体" w:hAnsi="宋体" w:cs="宋体"/>
                <w:color w:val="000000"/>
                <w:kern w:val="0"/>
              </w:rPr>
              <w:t>智慧科技参数</w:t>
            </w:r>
          </w:p>
        </w:tc>
        <w:tc>
          <w:tcPr>
            <w:tcW w:w="2741" w:type="dxa"/>
            <w:tcBorders>
              <w:top w:val="nil"/>
              <w:left w:val="single" w:color="auto" w:sz="4" w:space="0"/>
              <w:bottom w:val="single" w:color="auto" w:sz="4" w:space="0"/>
              <w:right w:val="single" w:color="auto" w:sz="4" w:space="0"/>
            </w:tcBorders>
            <w:noWrap/>
            <w:vAlign w:val="center"/>
          </w:tcPr>
          <w:p>
            <w:pPr>
              <w:widowControl/>
              <w:rPr>
                <w:rFonts w:ascii="宋体" w:hAnsi="宋体" w:cs="宋体"/>
                <w:color w:val="000000"/>
                <w:kern w:val="0"/>
              </w:rPr>
            </w:pPr>
            <w:r>
              <w:rPr>
                <w:rFonts w:hint="eastAsia" w:ascii="宋体" w:hAnsi="宋体" w:cs="宋体"/>
                <w:color w:val="000000"/>
                <w:kern w:val="0"/>
              </w:rPr>
              <w:t>驻车雷达</w:t>
            </w:r>
          </w:p>
        </w:tc>
        <w:tc>
          <w:tcPr>
            <w:tcW w:w="4418" w:type="dxa"/>
            <w:tcBorders>
              <w:top w:val="nil"/>
              <w:left w:val="nil"/>
              <w:bottom w:val="single" w:color="auto" w:sz="4" w:space="0"/>
              <w:right w:val="single" w:color="auto" w:sz="4" w:space="0"/>
            </w:tcBorders>
            <w:noWrap/>
            <w:vAlign w:val="center"/>
          </w:tcPr>
          <w:p>
            <w:pPr>
              <w:widowControl/>
              <w:rPr>
                <w:rFonts w:ascii="宋体" w:hAnsi="宋体" w:cs="宋体"/>
                <w:color w:val="000000"/>
                <w:kern w:val="0"/>
              </w:rPr>
            </w:pPr>
            <w:r>
              <w:rPr>
                <w:rFonts w:hint="eastAsia" w:ascii="宋体" w:hAnsi="宋体" w:cs="宋体"/>
                <w:color w:val="000000"/>
                <w:kern w:val="0"/>
                <w:sz w:val="22"/>
              </w:rPr>
              <w:t>根据所响应的车型情况填报</w:t>
            </w:r>
          </w:p>
        </w:tc>
      </w:tr>
      <w:tr>
        <w:tblPrEx>
          <w:tblCellMar>
            <w:top w:w="0" w:type="dxa"/>
            <w:left w:w="108" w:type="dxa"/>
            <w:bottom w:w="0" w:type="dxa"/>
            <w:right w:w="108" w:type="dxa"/>
          </w:tblCellMar>
        </w:tblPrEx>
        <w:trPr>
          <w:trHeight w:val="285" w:hRule="atLeast"/>
          <w:jc w:val="center"/>
        </w:trPr>
        <w:tc>
          <w:tcPr>
            <w:tcW w:w="1252" w:type="dxa"/>
            <w:vMerge w:val="continue"/>
            <w:tcBorders>
              <w:left w:val="single" w:color="auto" w:sz="4" w:space="0"/>
              <w:right w:val="single" w:color="auto" w:sz="4" w:space="0"/>
            </w:tcBorders>
            <w:noWrap/>
            <w:vAlign w:val="center"/>
          </w:tcPr>
          <w:p>
            <w:pPr>
              <w:rPr>
                <w:rFonts w:ascii="宋体" w:hAnsi="宋体" w:cs="宋体"/>
                <w:color w:val="000000"/>
                <w:kern w:val="0"/>
              </w:rPr>
            </w:pPr>
          </w:p>
        </w:tc>
        <w:tc>
          <w:tcPr>
            <w:tcW w:w="2741" w:type="dxa"/>
            <w:tcBorders>
              <w:top w:val="nil"/>
              <w:left w:val="single" w:color="auto" w:sz="4" w:space="0"/>
              <w:bottom w:val="single" w:color="auto" w:sz="4" w:space="0"/>
              <w:right w:val="single" w:color="auto" w:sz="4" w:space="0"/>
            </w:tcBorders>
            <w:noWrap/>
            <w:vAlign w:val="center"/>
          </w:tcPr>
          <w:p>
            <w:pPr>
              <w:widowControl/>
              <w:rPr>
                <w:rFonts w:ascii="宋体" w:hAnsi="宋体" w:cs="宋体"/>
                <w:color w:val="000000"/>
                <w:kern w:val="0"/>
              </w:rPr>
            </w:pPr>
            <w:r>
              <w:rPr>
                <w:rFonts w:hint="eastAsia" w:ascii="宋体" w:hAnsi="宋体" w:cs="宋体"/>
                <w:color w:val="000000"/>
                <w:kern w:val="0"/>
              </w:rPr>
              <w:t>驾驶辅助影像</w:t>
            </w:r>
          </w:p>
        </w:tc>
        <w:tc>
          <w:tcPr>
            <w:tcW w:w="4418" w:type="dxa"/>
            <w:tcBorders>
              <w:top w:val="nil"/>
              <w:left w:val="nil"/>
              <w:bottom w:val="single" w:color="auto" w:sz="4" w:space="0"/>
              <w:right w:val="single" w:color="auto" w:sz="4" w:space="0"/>
            </w:tcBorders>
            <w:noWrap/>
            <w:vAlign w:val="center"/>
          </w:tcPr>
          <w:p>
            <w:pPr>
              <w:widowControl/>
              <w:rPr>
                <w:rFonts w:ascii="宋体" w:hAnsi="宋体" w:cs="宋体"/>
                <w:color w:val="000000"/>
                <w:kern w:val="0"/>
              </w:rPr>
            </w:pPr>
            <w:r>
              <w:rPr>
                <w:rFonts w:hint="eastAsia" w:ascii="宋体" w:hAnsi="宋体" w:cs="宋体"/>
                <w:color w:val="000000"/>
                <w:kern w:val="0"/>
                <w:sz w:val="22"/>
              </w:rPr>
              <w:t>根据所响应的车型情况填报</w:t>
            </w:r>
          </w:p>
        </w:tc>
      </w:tr>
      <w:tr>
        <w:tblPrEx>
          <w:tblCellMar>
            <w:top w:w="0" w:type="dxa"/>
            <w:left w:w="108" w:type="dxa"/>
            <w:bottom w:w="0" w:type="dxa"/>
            <w:right w:w="108" w:type="dxa"/>
          </w:tblCellMar>
        </w:tblPrEx>
        <w:trPr>
          <w:trHeight w:val="270" w:hRule="atLeast"/>
          <w:jc w:val="center"/>
        </w:trPr>
        <w:tc>
          <w:tcPr>
            <w:tcW w:w="1252" w:type="dxa"/>
            <w:vMerge w:val="continue"/>
            <w:tcBorders>
              <w:left w:val="single" w:color="auto" w:sz="4" w:space="0"/>
              <w:right w:val="single" w:color="auto" w:sz="4" w:space="0"/>
            </w:tcBorders>
            <w:noWrap/>
            <w:vAlign w:val="center"/>
          </w:tcPr>
          <w:p>
            <w:pPr>
              <w:rPr>
                <w:rFonts w:ascii="宋体" w:hAnsi="宋体" w:cs="宋体"/>
                <w:color w:val="000000"/>
                <w:kern w:val="0"/>
              </w:rPr>
            </w:pPr>
          </w:p>
        </w:tc>
        <w:tc>
          <w:tcPr>
            <w:tcW w:w="2741" w:type="dxa"/>
            <w:tcBorders>
              <w:top w:val="nil"/>
              <w:left w:val="single" w:color="auto" w:sz="4" w:space="0"/>
              <w:bottom w:val="single" w:color="auto" w:sz="4" w:space="0"/>
              <w:right w:val="single" w:color="auto" w:sz="4" w:space="0"/>
            </w:tcBorders>
            <w:noWrap/>
            <w:vAlign w:val="center"/>
          </w:tcPr>
          <w:p>
            <w:pPr>
              <w:widowControl/>
              <w:rPr>
                <w:rFonts w:ascii="宋体" w:hAnsi="宋体" w:cs="宋体"/>
                <w:color w:val="000000"/>
                <w:kern w:val="0"/>
              </w:rPr>
            </w:pPr>
            <w:r>
              <w:rPr>
                <w:rFonts w:hint="eastAsia" w:ascii="宋体" w:hAnsi="宋体" w:cs="宋体"/>
                <w:color w:val="000000"/>
                <w:kern w:val="0"/>
              </w:rPr>
              <w:t>巡航系统</w:t>
            </w:r>
          </w:p>
        </w:tc>
        <w:tc>
          <w:tcPr>
            <w:tcW w:w="4418" w:type="dxa"/>
            <w:tcBorders>
              <w:top w:val="nil"/>
              <w:left w:val="nil"/>
              <w:bottom w:val="single" w:color="auto" w:sz="4" w:space="0"/>
              <w:right w:val="single" w:color="auto" w:sz="4" w:space="0"/>
            </w:tcBorders>
            <w:noWrap/>
            <w:vAlign w:val="center"/>
          </w:tcPr>
          <w:p>
            <w:pPr>
              <w:widowControl/>
              <w:rPr>
                <w:rFonts w:ascii="宋体" w:hAnsi="宋体" w:cs="宋体"/>
                <w:color w:val="000000"/>
                <w:kern w:val="0"/>
              </w:rPr>
            </w:pPr>
            <w:r>
              <w:rPr>
                <w:rFonts w:hint="eastAsia" w:ascii="宋体" w:hAnsi="宋体" w:cs="宋体"/>
                <w:color w:val="000000"/>
                <w:kern w:val="0"/>
                <w:sz w:val="22"/>
              </w:rPr>
              <w:t>根据所响应的车型情况填报</w:t>
            </w:r>
          </w:p>
        </w:tc>
      </w:tr>
      <w:tr>
        <w:tblPrEx>
          <w:tblCellMar>
            <w:top w:w="0" w:type="dxa"/>
            <w:left w:w="108" w:type="dxa"/>
            <w:bottom w:w="0" w:type="dxa"/>
            <w:right w:w="108" w:type="dxa"/>
          </w:tblCellMar>
        </w:tblPrEx>
        <w:trPr>
          <w:trHeight w:val="270" w:hRule="atLeast"/>
          <w:jc w:val="center"/>
        </w:trPr>
        <w:tc>
          <w:tcPr>
            <w:tcW w:w="1252" w:type="dxa"/>
            <w:vMerge w:val="continue"/>
            <w:tcBorders>
              <w:left w:val="single" w:color="auto" w:sz="4" w:space="0"/>
              <w:right w:val="single" w:color="auto" w:sz="4" w:space="0"/>
            </w:tcBorders>
            <w:noWrap/>
            <w:vAlign w:val="center"/>
          </w:tcPr>
          <w:p>
            <w:pPr>
              <w:widowControl/>
              <w:rPr>
                <w:rFonts w:ascii="宋体" w:hAnsi="宋体" w:cs="宋体"/>
                <w:color w:val="000000"/>
                <w:kern w:val="0"/>
              </w:rPr>
            </w:pPr>
          </w:p>
        </w:tc>
        <w:tc>
          <w:tcPr>
            <w:tcW w:w="2741" w:type="dxa"/>
            <w:tcBorders>
              <w:top w:val="nil"/>
              <w:left w:val="single" w:color="auto" w:sz="4" w:space="0"/>
              <w:bottom w:val="single" w:color="auto" w:sz="4" w:space="0"/>
              <w:right w:val="single" w:color="auto" w:sz="4" w:space="0"/>
            </w:tcBorders>
            <w:noWrap/>
            <w:vAlign w:val="center"/>
          </w:tcPr>
          <w:p>
            <w:pPr>
              <w:widowControl/>
              <w:rPr>
                <w:rFonts w:ascii="宋体" w:hAnsi="宋体" w:cs="宋体"/>
                <w:color w:val="000000"/>
                <w:kern w:val="0"/>
              </w:rPr>
            </w:pPr>
            <w:r>
              <w:rPr>
                <w:rFonts w:hint="eastAsia" w:ascii="宋体" w:hAnsi="宋体" w:cs="宋体"/>
                <w:color w:val="000000"/>
                <w:kern w:val="0"/>
              </w:rPr>
              <w:t>中控台彩色大屏</w:t>
            </w:r>
          </w:p>
        </w:tc>
        <w:tc>
          <w:tcPr>
            <w:tcW w:w="4418" w:type="dxa"/>
            <w:tcBorders>
              <w:top w:val="nil"/>
              <w:left w:val="nil"/>
              <w:bottom w:val="single" w:color="auto" w:sz="4" w:space="0"/>
              <w:right w:val="single" w:color="auto" w:sz="4" w:space="0"/>
            </w:tcBorders>
            <w:noWrap/>
            <w:vAlign w:val="center"/>
          </w:tcPr>
          <w:p>
            <w:pPr>
              <w:widowControl/>
              <w:jc w:val="left"/>
              <w:rPr>
                <w:rFonts w:ascii="宋体" w:hAnsi="宋体" w:cs="宋体"/>
                <w:color w:val="000000"/>
                <w:kern w:val="0"/>
                <w:sz w:val="22"/>
              </w:rPr>
            </w:pPr>
            <w:r>
              <w:rPr>
                <w:rFonts w:hint="eastAsia" w:ascii="宋体" w:hAnsi="宋体" w:cs="宋体"/>
                <w:color w:val="000000"/>
                <w:kern w:val="0"/>
                <w:sz w:val="22"/>
              </w:rPr>
              <w:t>根据所响应的车型情况填报</w:t>
            </w:r>
          </w:p>
        </w:tc>
      </w:tr>
      <w:tr>
        <w:tblPrEx>
          <w:tblCellMar>
            <w:top w:w="0" w:type="dxa"/>
            <w:left w:w="108" w:type="dxa"/>
            <w:bottom w:w="0" w:type="dxa"/>
            <w:right w:w="108" w:type="dxa"/>
          </w:tblCellMar>
        </w:tblPrEx>
        <w:trPr>
          <w:trHeight w:val="285" w:hRule="atLeast"/>
          <w:jc w:val="center"/>
        </w:trPr>
        <w:tc>
          <w:tcPr>
            <w:tcW w:w="1252" w:type="dxa"/>
            <w:vMerge w:val="continue"/>
            <w:tcBorders>
              <w:left w:val="single" w:color="auto" w:sz="4" w:space="0"/>
              <w:right w:val="single" w:color="auto" w:sz="4" w:space="0"/>
            </w:tcBorders>
            <w:noWrap/>
            <w:vAlign w:val="center"/>
          </w:tcPr>
          <w:p>
            <w:pPr>
              <w:widowControl/>
              <w:rPr>
                <w:rFonts w:cs="宋体"/>
                <w:color w:val="000000"/>
                <w:kern w:val="0"/>
              </w:rPr>
            </w:pPr>
          </w:p>
        </w:tc>
        <w:tc>
          <w:tcPr>
            <w:tcW w:w="2741" w:type="dxa"/>
            <w:tcBorders>
              <w:top w:val="nil"/>
              <w:left w:val="single" w:color="auto" w:sz="4" w:space="0"/>
              <w:bottom w:val="single" w:color="auto" w:sz="4" w:space="0"/>
              <w:right w:val="single" w:color="auto" w:sz="4" w:space="0"/>
            </w:tcBorders>
            <w:noWrap/>
            <w:vAlign w:val="center"/>
          </w:tcPr>
          <w:p>
            <w:pPr>
              <w:widowControl/>
              <w:rPr>
                <w:rFonts w:cs="宋体"/>
                <w:color w:val="000000"/>
                <w:kern w:val="0"/>
              </w:rPr>
            </w:pPr>
            <w:r>
              <w:rPr>
                <w:rFonts w:cs="宋体"/>
                <w:color w:val="000000"/>
                <w:kern w:val="0"/>
              </w:rPr>
              <w:t>GPS</w:t>
            </w:r>
            <w:r>
              <w:rPr>
                <w:rFonts w:hint="eastAsia" w:ascii="宋体" w:hAnsi="宋体" w:cs="宋体"/>
                <w:color w:val="000000"/>
                <w:kern w:val="0"/>
              </w:rPr>
              <w:t>导航</w:t>
            </w:r>
          </w:p>
        </w:tc>
        <w:tc>
          <w:tcPr>
            <w:tcW w:w="4418" w:type="dxa"/>
            <w:tcBorders>
              <w:top w:val="nil"/>
              <w:left w:val="nil"/>
              <w:bottom w:val="single" w:color="auto" w:sz="4" w:space="0"/>
              <w:right w:val="single" w:color="auto" w:sz="4" w:space="0"/>
            </w:tcBorders>
            <w:noWrap/>
            <w:vAlign w:val="center"/>
          </w:tcPr>
          <w:p>
            <w:pPr>
              <w:widowControl/>
              <w:jc w:val="left"/>
              <w:rPr>
                <w:rFonts w:ascii="宋体" w:hAnsi="宋体" w:cs="宋体"/>
                <w:color w:val="000000"/>
                <w:kern w:val="0"/>
                <w:sz w:val="22"/>
              </w:rPr>
            </w:pPr>
            <w:r>
              <w:rPr>
                <w:rFonts w:hint="eastAsia" w:ascii="宋体" w:hAnsi="宋体" w:cs="宋体"/>
                <w:color w:val="000000"/>
                <w:kern w:val="0"/>
                <w:sz w:val="22"/>
              </w:rPr>
              <w:t>根据所响应的车型情况填报</w:t>
            </w:r>
          </w:p>
        </w:tc>
      </w:tr>
      <w:tr>
        <w:tblPrEx>
          <w:tblCellMar>
            <w:top w:w="0" w:type="dxa"/>
            <w:left w:w="108" w:type="dxa"/>
            <w:bottom w:w="0" w:type="dxa"/>
            <w:right w:w="108" w:type="dxa"/>
          </w:tblCellMar>
        </w:tblPrEx>
        <w:trPr>
          <w:trHeight w:val="270" w:hRule="atLeast"/>
          <w:jc w:val="center"/>
        </w:trPr>
        <w:tc>
          <w:tcPr>
            <w:tcW w:w="1252" w:type="dxa"/>
            <w:vMerge w:val="continue"/>
            <w:tcBorders>
              <w:left w:val="single" w:color="auto" w:sz="4" w:space="0"/>
              <w:right w:val="single" w:color="auto" w:sz="4" w:space="0"/>
            </w:tcBorders>
            <w:noWrap/>
            <w:vAlign w:val="center"/>
          </w:tcPr>
          <w:p>
            <w:pPr>
              <w:widowControl/>
              <w:rPr>
                <w:rFonts w:ascii="宋体" w:hAnsi="宋体" w:cs="宋体"/>
                <w:color w:val="000000"/>
                <w:kern w:val="0"/>
              </w:rPr>
            </w:pPr>
          </w:p>
        </w:tc>
        <w:tc>
          <w:tcPr>
            <w:tcW w:w="2741" w:type="dxa"/>
            <w:tcBorders>
              <w:top w:val="nil"/>
              <w:left w:val="single" w:color="auto" w:sz="4" w:space="0"/>
              <w:bottom w:val="single" w:color="auto" w:sz="4" w:space="0"/>
              <w:right w:val="single" w:color="auto" w:sz="4" w:space="0"/>
            </w:tcBorders>
            <w:noWrap/>
            <w:vAlign w:val="center"/>
          </w:tcPr>
          <w:p>
            <w:pPr>
              <w:widowControl/>
              <w:rPr>
                <w:rFonts w:ascii="宋体" w:hAnsi="宋体" w:cs="宋体"/>
                <w:color w:val="000000"/>
                <w:kern w:val="0"/>
              </w:rPr>
            </w:pPr>
            <w:r>
              <w:rPr>
                <w:rFonts w:hint="eastAsia" w:ascii="宋体" w:hAnsi="宋体" w:cs="宋体"/>
                <w:color w:val="000000"/>
                <w:kern w:val="0"/>
              </w:rPr>
              <w:t>导航路况信息显示</w:t>
            </w:r>
          </w:p>
        </w:tc>
        <w:tc>
          <w:tcPr>
            <w:tcW w:w="4418" w:type="dxa"/>
            <w:tcBorders>
              <w:top w:val="nil"/>
              <w:left w:val="nil"/>
              <w:bottom w:val="single" w:color="auto" w:sz="4" w:space="0"/>
              <w:right w:val="single" w:color="auto" w:sz="4" w:space="0"/>
            </w:tcBorders>
            <w:noWrap/>
            <w:vAlign w:val="center"/>
          </w:tcPr>
          <w:p>
            <w:pPr>
              <w:widowControl/>
              <w:jc w:val="left"/>
              <w:rPr>
                <w:rFonts w:ascii="宋体" w:hAnsi="宋体" w:cs="宋体"/>
                <w:color w:val="000000"/>
                <w:kern w:val="0"/>
                <w:sz w:val="22"/>
              </w:rPr>
            </w:pPr>
            <w:r>
              <w:rPr>
                <w:rFonts w:hint="eastAsia" w:ascii="宋体" w:hAnsi="宋体" w:cs="宋体"/>
                <w:color w:val="000000"/>
                <w:kern w:val="0"/>
                <w:sz w:val="22"/>
              </w:rPr>
              <w:t>根据所响应的车型情况填报</w:t>
            </w:r>
          </w:p>
        </w:tc>
      </w:tr>
      <w:tr>
        <w:tblPrEx>
          <w:tblCellMar>
            <w:top w:w="0" w:type="dxa"/>
            <w:left w:w="108" w:type="dxa"/>
            <w:bottom w:w="0" w:type="dxa"/>
            <w:right w:w="108" w:type="dxa"/>
          </w:tblCellMar>
        </w:tblPrEx>
        <w:trPr>
          <w:trHeight w:val="270" w:hRule="atLeast"/>
          <w:jc w:val="center"/>
        </w:trPr>
        <w:tc>
          <w:tcPr>
            <w:tcW w:w="1252" w:type="dxa"/>
            <w:vMerge w:val="continue"/>
            <w:tcBorders>
              <w:left w:val="single" w:color="auto" w:sz="4" w:space="0"/>
              <w:bottom w:val="single" w:color="auto" w:sz="4" w:space="0"/>
              <w:right w:val="single" w:color="auto" w:sz="4" w:space="0"/>
            </w:tcBorders>
            <w:noWrap/>
            <w:vAlign w:val="center"/>
          </w:tcPr>
          <w:p>
            <w:pPr>
              <w:widowControl/>
              <w:rPr>
                <w:rFonts w:ascii="宋体" w:hAnsi="宋体" w:cs="宋体"/>
                <w:color w:val="000000"/>
                <w:kern w:val="0"/>
              </w:rPr>
            </w:pPr>
          </w:p>
        </w:tc>
        <w:tc>
          <w:tcPr>
            <w:tcW w:w="2741" w:type="dxa"/>
            <w:tcBorders>
              <w:top w:val="nil"/>
              <w:left w:val="single" w:color="auto" w:sz="4" w:space="0"/>
              <w:bottom w:val="single" w:color="auto" w:sz="4" w:space="0"/>
              <w:right w:val="single" w:color="auto" w:sz="4" w:space="0"/>
            </w:tcBorders>
            <w:noWrap/>
            <w:vAlign w:val="center"/>
          </w:tcPr>
          <w:p>
            <w:pPr>
              <w:widowControl/>
              <w:rPr>
                <w:rFonts w:ascii="宋体" w:hAnsi="宋体" w:cs="宋体"/>
                <w:color w:val="000000"/>
                <w:kern w:val="0"/>
              </w:rPr>
            </w:pPr>
            <w:r>
              <w:rPr>
                <w:rFonts w:hint="eastAsia" w:ascii="宋体" w:hAnsi="宋体" w:cs="宋体"/>
                <w:color w:val="000000"/>
                <w:kern w:val="0"/>
              </w:rPr>
              <w:t>语音识别控制系统</w:t>
            </w:r>
          </w:p>
        </w:tc>
        <w:tc>
          <w:tcPr>
            <w:tcW w:w="4418" w:type="dxa"/>
            <w:tcBorders>
              <w:top w:val="nil"/>
              <w:left w:val="nil"/>
              <w:bottom w:val="single" w:color="auto" w:sz="4" w:space="0"/>
              <w:right w:val="single" w:color="auto" w:sz="4" w:space="0"/>
            </w:tcBorders>
            <w:noWrap/>
            <w:vAlign w:val="center"/>
          </w:tcPr>
          <w:p>
            <w:pPr>
              <w:widowControl/>
              <w:rPr>
                <w:rFonts w:ascii="宋体" w:hAnsi="宋体" w:cs="宋体"/>
                <w:color w:val="000000"/>
                <w:kern w:val="0"/>
              </w:rPr>
            </w:pPr>
            <w:r>
              <w:rPr>
                <w:rFonts w:hint="eastAsia" w:ascii="宋体" w:hAnsi="宋体" w:cs="宋体"/>
                <w:color w:val="000000"/>
                <w:kern w:val="0"/>
                <w:sz w:val="22"/>
              </w:rPr>
              <w:t>根据所响应的车型情况填报</w:t>
            </w:r>
          </w:p>
        </w:tc>
      </w:tr>
      <w:tr>
        <w:tblPrEx>
          <w:tblCellMar>
            <w:top w:w="0" w:type="dxa"/>
            <w:left w:w="108" w:type="dxa"/>
            <w:bottom w:w="0" w:type="dxa"/>
            <w:right w:w="108" w:type="dxa"/>
          </w:tblCellMar>
        </w:tblPrEx>
        <w:trPr>
          <w:trHeight w:val="383" w:hRule="atLeast"/>
          <w:jc w:val="center"/>
        </w:trPr>
        <w:tc>
          <w:tcPr>
            <w:tcW w:w="1252" w:type="dxa"/>
            <w:tcBorders>
              <w:top w:val="nil"/>
              <w:left w:val="single" w:color="auto" w:sz="4" w:space="0"/>
              <w:bottom w:val="nil"/>
              <w:right w:val="single" w:color="auto" w:sz="4" w:space="0"/>
            </w:tcBorders>
            <w:noWrap/>
            <w:vAlign w:val="center"/>
          </w:tcPr>
          <w:p>
            <w:pPr>
              <w:widowControl/>
              <w:rPr>
                <w:rFonts w:ascii="宋体" w:hAnsi="宋体" w:cs="宋体"/>
                <w:color w:val="000000"/>
                <w:kern w:val="0"/>
              </w:rPr>
            </w:pPr>
            <w:r>
              <w:rPr>
                <w:rFonts w:hint="eastAsia" w:ascii="宋体" w:hAnsi="宋体" w:cs="宋体"/>
                <w:color w:val="000000"/>
                <w:kern w:val="0"/>
              </w:rPr>
              <w:t>空调</w:t>
            </w:r>
          </w:p>
        </w:tc>
        <w:tc>
          <w:tcPr>
            <w:tcW w:w="2741" w:type="dxa"/>
            <w:tcBorders>
              <w:top w:val="nil"/>
              <w:left w:val="single" w:color="auto" w:sz="4" w:space="0"/>
              <w:bottom w:val="nil"/>
              <w:right w:val="single" w:color="auto" w:sz="4" w:space="0"/>
            </w:tcBorders>
            <w:noWrap/>
            <w:vAlign w:val="center"/>
          </w:tcPr>
          <w:p>
            <w:pPr>
              <w:widowControl/>
              <w:rPr>
                <w:rFonts w:ascii="宋体" w:hAnsi="宋体" w:cs="宋体"/>
                <w:color w:val="000000"/>
                <w:kern w:val="0"/>
              </w:rPr>
            </w:pPr>
            <w:r>
              <w:rPr>
                <w:rFonts w:hint="eastAsia" w:ascii="宋体" w:hAnsi="宋体" w:cs="宋体"/>
                <w:color w:val="000000"/>
                <w:kern w:val="0"/>
              </w:rPr>
              <w:t>空调控制方式</w:t>
            </w:r>
          </w:p>
        </w:tc>
        <w:tc>
          <w:tcPr>
            <w:tcW w:w="4418" w:type="dxa"/>
            <w:tcBorders>
              <w:top w:val="nil"/>
              <w:left w:val="nil"/>
              <w:bottom w:val="nil"/>
              <w:right w:val="single" w:color="auto" w:sz="4" w:space="0"/>
            </w:tcBorders>
            <w:noWrap/>
            <w:vAlign w:val="center"/>
          </w:tcPr>
          <w:p>
            <w:pPr>
              <w:widowControl/>
              <w:rPr>
                <w:rFonts w:ascii="宋体" w:hAnsi="宋体" w:cs="宋体"/>
                <w:color w:val="000000"/>
                <w:kern w:val="0"/>
              </w:rPr>
            </w:pPr>
            <w:r>
              <w:rPr>
                <w:rFonts w:hint="eastAsia" w:ascii="宋体" w:hAnsi="宋体" w:cs="宋体"/>
                <w:color w:val="000000"/>
                <w:kern w:val="0"/>
                <w:sz w:val="22"/>
              </w:rPr>
              <w:t>根据所响应的车型情况填报</w:t>
            </w:r>
          </w:p>
        </w:tc>
      </w:tr>
      <w:tr>
        <w:tblPrEx>
          <w:tblCellMar>
            <w:top w:w="0" w:type="dxa"/>
            <w:left w:w="108" w:type="dxa"/>
            <w:bottom w:w="0" w:type="dxa"/>
            <w:right w:w="108" w:type="dxa"/>
          </w:tblCellMar>
        </w:tblPrEx>
        <w:trPr>
          <w:trHeight w:val="270" w:hRule="atLeast"/>
          <w:jc w:val="center"/>
        </w:trPr>
        <w:tc>
          <w:tcPr>
            <w:tcW w:w="1252" w:type="dxa"/>
            <w:tcBorders>
              <w:top w:val="nil"/>
              <w:left w:val="single" w:color="auto" w:sz="4" w:space="0"/>
              <w:bottom w:val="single" w:color="auto" w:sz="4" w:space="0"/>
              <w:right w:val="single" w:color="auto" w:sz="4" w:space="0"/>
            </w:tcBorders>
            <w:noWrap/>
            <w:vAlign w:val="center"/>
          </w:tcPr>
          <w:p>
            <w:pPr>
              <w:widowControl/>
              <w:rPr>
                <w:rFonts w:hint="eastAsia" w:ascii="宋体" w:hAnsi="宋体" w:cs="宋体"/>
                <w:color w:val="000000"/>
                <w:kern w:val="0"/>
              </w:rPr>
            </w:pPr>
            <w:r>
              <w:rPr>
                <w:rFonts w:hint="eastAsia" w:ascii="宋体" w:hAnsi="宋体" w:cs="宋体"/>
                <w:color w:val="000000"/>
                <w:kern w:val="0"/>
              </w:rPr>
              <w:t>充电桩</w:t>
            </w:r>
          </w:p>
        </w:tc>
        <w:tc>
          <w:tcPr>
            <w:tcW w:w="2741" w:type="dxa"/>
            <w:tcBorders>
              <w:top w:val="nil"/>
              <w:left w:val="single" w:color="auto" w:sz="4" w:space="0"/>
              <w:bottom w:val="single" w:color="auto" w:sz="4" w:space="0"/>
              <w:right w:val="single" w:color="auto" w:sz="4" w:space="0"/>
            </w:tcBorders>
            <w:noWrap/>
            <w:vAlign w:val="center"/>
          </w:tcPr>
          <w:p>
            <w:pPr>
              <w:widowControl/>
              <w:rPr>
                <w:rFonts w:hint="eastAsia" w:ascii="宋体" w:hAnsi="宋体" w:cs="宋体"/>
                <w:color w:val="000000"/>
                <w:kern w:val="0"/>
              </w:rPr>
            </w:pPr>
            <w:r>
              <w:rPr>
                <w:rFonts w:hint="eastAsia" w:ascii="宋体" w:hAnsi="宋体" w:cs="宋体"/>
                <w:color w:val="000000"/>
                <w:kern w:val="0"/>
              </w:rPr>
              <w:t>充电桩(选装件，单独报价)</w:t>
            </w:r>
          </w:p>
        </w:tc>
        <w:tc>
          <w:tcPr>
            <w:tcW w:w="4418" w:type="dxa"/>
            <w:tcBorders>
              <w:top w:val="nil"/>
              <w:left w:val="nil"/>
              <w:bottom w:val="single" w:color="auto" w:sz="4" w:space="0"/>
              <w:right w:val="single" w:color="auto" w:sz="4" w:space="0"/>
            </w:tcBorders>
            <w:noWrap/>
            <w:vAlign w:val="center"/>
          </w:tcPr>
          <w:p>
            <w:pPr>
              <w:widowControl/>
              <w:rPr>
                <w:rFonts w:hint="eastAsia" w:ascii="宋体" w:hAnsi="宋体" w:cs="宋体"/>
                <w:color w:val="000000"/>
                <w:kern w:val="0"/>
                <w:sz w:val="22"/>
              </w:rPr>
            </w:pPr>
            <w:r>
              <w:rPr>
                <w:rFonts w:hint="eastAsia" w:ascii="宋体" w:hAnsi="宋体" w:cs="宋体"/>
                <w:color w:val="000000"/>
                <w:kern w:val="0"/>
                <w:sz w:val="22"/>
              </w:rPr>
              <w:t>根据所响应的车型情况填报</w:t>
            </w:r>
          </w:p>
        </w:tc>
      </w:tr>
    </w:tbl>
    <w:p>
      <w:pPr>
        <w:pStyle w:val="9"/>
        <w:numPr>
          <w:ilvl w:val="0"/>
          <w:numId w:val="0"/>
        </w:numPr>
        <w:ind w:firstLine="480"/>
        <w:rPr>
          <w:rFonts w:hint="default" w:ascii="仿宋" w:hAnsi="仿宋" w:eastAsia="仿宋"/>
          <w:bCs/>
          <w:sz w:val="24"/>
          <w:szCs w:val="24"/>
          <w:lang w:val="en-US" w:eastAsia="zh-CN"/>
        </w:rPr>
      </w:pPr>
    </w:p>
    <w:p>
      <w:pPr>
        <w:ind w:firstLine="560" w:firstLineChars="200"/>
        <w:rPr>
          <w:rFonts w:ascii="黑体" w:hAnsi="黑体" w:eastAsia="黑体" w:cs="黑体"/>
          <w:color w:val="000000"/>
          <w:sz w:val="28"/>
          <w:szCs w:val="28"/>
        </w:rPr>
      </w:pPr>
      <w:r>
        <w:rPr>
          <w:rFonts w:hint="eastAsia" w:ascii="黑体" w:hAnsi="黑体" w:eastAsia="黑体" w:cs="黑体"/>
          <w:color w:val="000000"/>
          <w:sz w:val="28"/>
          <w:szCs w:val="28"/>
        </w:rPr>
        <w:t>框架协议期间的价格确定</w:t>
      </w:r>
    </w:p>
    <w:p>
      <w:pPr>
        <w:ind w:firstLine="480" w:firstLineChars="200"/>
        <w:rPr>
          <w:rFonts w:ascii="宋体" w:hAnsi="宋体"/>
          <w:color w:val="000000"/>
          <w:sz w:val="24"/>
          <w:szCs w:val="24"/>
        </w:rPr>
      </w:pPr>
      <w:r>
        <w:rPr>
          <w:rFonts w:hint="eastAsia" w:ascii="宋体" w:hAnsi="宋体"/>
          <w:color w:val="000000"/>
          <w:sz w:val="24"/>
          <w:szCs w:val="24"/>
        </w:rPr>
        <w:t>1、在框架协议期间，入围产品价格为合同授予阶段最高限价，不得上调。</w:t>
      </w:r>
    </w:p>
    <w:p>
      <w:pPr>
        <w:ind w:firstLine="480" w:firstLineChars="200"/>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框架协议采购应当订立固定价格合同。</w:t>
      </w:r>
    </w:p>
    <w:p>
      <w:pPr>
        <w:ind w:firstLine="480" w:firstLineChars="200"/>
        <w:rPr>
          <w:rFonts w:ascii="宋体" w:hAnsi="宋体"/>
          <w:color w:val="000000"/>
          <w:sz w:val="24"/>
          <w:szCs w:val="24"/>
        </w:rPr>
      </w:pPr>
      <w:r>
        <w:rPr>
          <w:rFonts w:hint="eastAsia" w:ascii="宋体" w:hAnsi="宋体"/>
          <w:color w:val="000000"/>
          <w:sz w:val="24"/>
          <w:szCs w:val="24"/>
        </w:rPr>
        <w:t>3、在其他优惠条件方面，入围供应商不得对采购人实行差别待遇。零售客户等享受的优惠条件，采购人必须同等享受。</w:t>
      </w:r>
    </w:p>
    <w:p>
      <w:pPr>
        <w:ind w:firstLine="480" w:firstLineChars="200"/>
        <w:rPr>
          <w:rFonts w:ascii="宋体" w:hAnsi="宋体"/>
          <w:color w:val="000000"/>
          <w:sz w:val="24"/>
          <w:szCs w:val="24"/>
        </w:rPr>
      </w:pPr>
      <w:r>
        <w:rPr>
          <w:rFonts w:hint="eastAsia" w:ascii="宋体" w:hAnsi="宋体"/>
          <w:color w:val="000000"/>
          <w:sz w:val="24"/>
          <w:szCs w:val="24"/>
        </w:rPr>
        <w:t>4、响应供应商应按照技术参数响应表要求填报有关信息，在技术响应偏离表及商务响应偏离表填报。</w:t>
      </w:r>
    </w:p>
    <w:p>
      <w:pPr>
        <w:ind w:firstLine="560" w:firstLineChars="200"/>
        <w:rPr>
          <w:rFonts w:ascii="黑体" w:hAnsi="黑体" w:eastAsia="黑体" w:cs="黑体"/>
          <w:color w:val="000000"/>
          <w:sz w:val="28"/>
          <w:szCs w:val="28"/>
        </w:rPr>
      </w:pPr>
      <w:r>
        <w:rPr>
          <w:rFonts w:hint="eastAsia" w:ascii="黑体" w:hAnsi="黑体" w:eastAsia="黑体" w:cs="黑体"/>
          <w:color w:val="000000"/>
          <w:sz w:val="28"/>
          <w:szCs w:val="28"/>
        </w:rPr>
        <w:t>三、框架协议响应供应商要求</w:t>
      </w:r>
    </w:p>
    <w:p>
      <w:pPr>
        <w:ind w:firstLine="480" w:firstLineChars="200"/>
        <w:rPr>
          <w:rFonts w:ascii="宋体" w:hAnsi="宋体"/>
          <w:i/>
          <w:iCs/>
          <w:color w:val="000000"/>
          <w:sz w:val="24"/>
          <w:szCs w:val="24"/>
          <w:u w:val="single"/>
        </w:rPr>
      </w:pPr>
      <w:r>
        <w:rPr>
          <w:rFonts w:hint="eastAsia" w:ascii="宋体" w:hAnsi="宋体"/>
          <w:color w:val="000000"/>
          <w:sz w:val="24"/>
          <w:szCs w:val="24"/>
        </w:rPr>
        <w:t>1、响应供应商必须是响应产品的生产者（制造商）或其授权的唯一代理商，代理商参加框架协议采购的必须在响应文件中提供产品生产者（制造商）针对本项目出具的唯一授权函扫描件</w:t>
      </w:r>
      <w:r>
        <w:rPr>
          <w:rFonts w:hint="eastAsia" w:ascii="宋体" w:hAnsi="宋体"/>
          <w:b/>
          <w:bCs/>
          <w:i/>
          <w:iCs/>
          <w:color w:val="000000"/>
          <w:sz w:val="24"/>
          <w:szCs w:val="24"/>
          <w:u w:val="single"/>
        </w:rPr>
        <w:t>。响应商未提供产品生产者（制造商）针对本项目出具的唯一授权函作为无效响应处理。</w:t>
      </w:r>
    </w:p>
    <w:p>
      <w:pPr>
        <w:ind w:firstLine="560" w:firstLineChars="200"/>
        <w:rPr>
          <w:rFonts w:ascii="黑体" w:hAnsi="黑体" w:eastAsia="黑体" w:cs="黑体"/>
          <w:color w:val="000000"/>
          <w:sz w:val="28"/>
          <w:szCs w:val="28"/>
        </w:rPr>
      </w:pPr>
      <w:r>
        <w:rPr>
          <w:rFonts w:hint="eastAsia" w:ascii="黑体" w:hAnsi="黑体" w:eastAsia="黑体" w:cs="黑体"/>
          <w:color w:val="000000"/>
          <w:sz w:val="28"/>
          <w:szCs w:val="28"/>
        </w:rPr>
        <w:t>四、框架协议代理商要求</w:t>
      </w:r>
    </w:p>
    <w:p>
      <w:pPr>
        <w:ind w:firstLine="480" w:firstLineChars="200"/>
        <w:rPr>
          <w:rFonts w:ascii="宋体" w:hAnsi="宋体"/>
          <w:color w:val="000000"/>
          <w:sz w:val="24"/>
          <w:szCs w:val="24"/>
        </w:rPr>
      </w:pPr>
      <w:r>
        <w:rPr>
          <w:rFonts w:hint="eastAsia" w:ascii="宋体" w:hAnsi="宋体"/>
          <w:color w:val="000000"/>
          <w:sz w:val="24"/>
          <w:szCs w:val="24"/>
        </w:rPr>
        <w:t>1、汽车框架协议采购代理商必须满足政府采购法第二十二条规定。代理商由入围供应商在签订时推荐，入围供应商可以委托一家或者多家代理商，按照框架协议约定接受采购人合同授予，并履行采购合同。入围供应商应当在框架协议中提供委托协议和委托的代理商名单。委托的代理商名单由入围供应商在</w:t>
      </w:r>
      <w:r>
        <w:rPr>
          <w:rFonts w:hint="eastAsia" w:ascii="宋体" w:hAnsi="宋体"/>
          <w:color w:val="000000"/>
          <w:sz w:val="24"/>
          <w:szCs w:val="24"/>
          <w:lang w:val="en-US" w:eastAsia="zh-CN"/>
        </w:rPr>
        <w:t>签订框架协议时提供</w:t>
      </w:r>
      <w:r>
        <w:rPr>
          <w:rFonts w:hint="eastAsia" w:ascii="宋体" w:hAnsi="宋体"/>
          <w:color w:val="000000"/>
          <w:sz w:val="24"/>
          <w:szCs w:val="24"/>
        </w:rPr>
        <w:t>。</w:t>
      </w:r>
    </w:p>
    <w:p>
      <w:pPr>
        <w:ind w:firstLine="480" w:firstLineChars="200"/>
        <w:rPr>
          <w:rFonts w:ascii="宋体" w:hAnsi="宋体"/>
          <w:color w:val="000000"/>
          <w:sz w:val="24"/>
          <w:szCs w:val="24"/>
        </w:rPr>
      </w:pPr>
      <w:r>
        <w:rPr>
          <w:rFonts w:hint="eastAsia" w:ascii="宋体" w:hAnsi="宋体"/>
          <w:color w:val="000000"/>
          <w:sz w:val="24"/>
          <w:szCs w:val="24"/>
        </w:rPr>
        <w:t>2、框架协议执行期间，入围供应商对代理商有调整的，在框架协议供货系统中按要求申请并提供相应材料。</w:t>
      </w:r>
    </w:p>
    <w:p>
      <w:pPr>
        <w:ind w:firstLine="480" w:firstLineChars="200"/>
        <w:rPr>
          <w:rFonts w:ascii="宋体" w:hAnsi="宋体"/>
          <w:sz w:val="24"/>
          <w:szCs w:val="28"/>
        </w:rPr>
      </w:pPr>
      <w:r>
        <w:rPr>
          <w:rFonts w:hint="eastAsia" w:ascii="宋体" w:hAnsi="宋体"/>
          <w:color w:val="000000"/>
          <w:sz w:val="24"/>
          <w:szCs w:val="24"/>
        </w:rPr>
        <w:t>3、入围供应商及其推荐的协议供货代理商对本项目承担连带责任，协议供货代理商必须履行入围供应商参加征集时的要求其服务商服务承诺。</w:t>
      </w:r>
    </w:p>
    <w:p>
      <w:pPr>
        <w:ind w:firstLine="480" w:firstLineChars="200"/>
        <w:rPr>
          <w:rFonts w:ascii="宋体" w:hAnsi="宋体"/>
          <w:color w:val="000000"/>
          <w:sz w:val="24"/>
          <w:szCs w:val="24"/>
        </w:rPr>
      </w:pPr>
    </w:p>
    <w:p>
      <w:pPr>
        <w:ind w:firstLine="560" w:firstLineChars="200"/>
        <w:rPr>
          <w:rFonts w:ascii="黑体" w:hAnsi="黑体" w:eastAsia="黑体" w:cs="黑体"/>
          <w:color w:val="000000"/>
          <w:sz w:val="28"/>
          <w:szCs w:val="28"/>
        </w:rPr>
      </w:pPr>
      <w:r>
        <w:rPr>
          <w:rFonts w:hint="eastAsia" w:ascii="黑体" w:hAnsi="黑体" w:eastAsia="黑体" w:cs="黑体"/>
          <w:color w:val="000000"/>
          <w:sz w:val="28"/>
          <w:szCs w:val="28"/>
        </w:rPr>
        <w:t>五、入围供应商商务要求</w:t>
      </w:r>
    </w:p>
    <w:p>
      <w:pPr>
        <w:ind w:firstLine="480" w:firstLineChars="200"/>
        <w:rPr>
          <w:rFonts w:ascii="宋体" w:hAnsi="宋体"/>
          <w:color w:val="000000"/>
          <w:sz w:val="24"/>
          <w:szCs w:val="24"/>
        </w:rPr>
      </w:pPr>
      <w:r>
        <w:rPr>
          <w:rFonts w:hint="eastAsia" w:ascii="宋体" w:hAnsi="宋体"/>
          <w:color w:val="000000"/>
          <w:sz w:val="24"/>
          <w:szCs w:val="24"/>
        </w:rPr>
        <w:t>1、保证本次框架协议产品入围价、官方指导价是真实的，可考量的，接受征集人的监督、检查。</w:t>
      </w:r>
    </w:p>
    <w:p>
      <w:pPr>
        <w:ind w:firstLine="480" w:firstLineChars="200"/>
        <w:rPr>
          <w:rFonts w:ascii="宋体" w:hAnsi="宋体"/>
          <w:color w:val="000000"/>
          <w:sz w:val="24"/>
          <w:szCs w:val="24"/>
        </w:rPr>
      </w:pPr>
      <w:r>
        <w:rPr>
          <w:rFonts w:hint="eastAsia" w:ascii="宋体" w:hAnsi="宋体"/>
          <w:color w:val="000000"/>
          <w:sz w:val="24"/>
          <w:szCs w:val="24"/>
        </w:rPr>
        <w:t>2、保证所提供的货物是全新、未使用过的原装合格正品,并且符合国家有关质量技术标准及相关法律、法规规定的要求。</w:t>
      </w:r>
    </w:p>
    <w:p>
      <w:pPr>
        <w:ind w:firstLine="480" w:firstLineChars="200"/>
        <w:rPr>
          <w:rFonts w:ascii="宋体" w:hAnsi="宋体"/>
          <w:color w:val="000000"/>
          <w:sz w:val="24"/>
          <w:szCs w:val="24"/>
        </w:rPr>
      </w:pPr>
      <w:r>
        <w:rPr>
          <w:rFonts w:hint="eastAsia" w:ascii="宋体" w:hAnsi="宋体"/>
          <w:color w:val="000000"/>
          <w:sz w:val="24"/>
          <w:szCs w:val="24"/>
        </w:rPr>
        <w:t>3、保证</w:t>
      </w:r>
      <w:r>
        <w:rPr>
          <w:rFonts w:hint="eastAsia" w:ascii="宋体" w:hAnsi="宋体"/>
          <w:color w:val="000000"/>
          <w:sz w:val="24"/>
          <w:szCs w:val="24"/>
          <w:lang w:val="en-US" w:eastAsia="zh-CN"/>
        </w:rPr>
        <w:t>武汉市</w:t>
      </w:r>
      <w:r>
        <w:rPr>
          <w:rFonts w:hint="eastAsia" w:ascii="宋体" w:hAnsi="宋体"/>
          <w:color w:val="000000"/>
          <w:sz w:val="24"/>
          <w:szCs w:val="24"/>
        </w:rPr>
        <w:t>各级采购人优先享受各项服务。</w:t>
      </w:r>
    </w:p>
    <w:p>
      <w:pPr>
        <w:ind w:firstLine="480" w:firstLineChars="200"/>
        <w:rPr>
          <w:rFonts w:ascii="宋体" w:hAnsi="宋体"/>
          <w:color w:val="000000"/>
          <w:sz w:val="24"/>
          <w:szCs w:val="24"/>
        </w:rPr>
      </w:pPr>
      <w:r>
        <w:rPr>
          <w:rFonts w:hint="eastAsia" w:ascii="宋体" w:hAnsi="宋体"/>
          <w:color w:val="000000"/>
          <w:sz w:val="24"/>
          <w:szCs w:val="24"/>
        </w:rPr>
        <w:t>4、针对本项目成立服务小组，指派专人负责日常管理及联络工作。</w:t>
      </w:r>
    </w:p>
    <w:p>
      <w:pPr>
        <w:ind w:firstLine="480" w:firstLineChars="200"/>
        <w:rPr>
          <w:rFonts w:hint="eastAsia" w:ascii="宋体" w:hAnsi="宋体"/>
          <w:color w:val="000000"/>
          <w:sz w:val="24"/>
          <w:szCs w:val="24"/>
        </w:rPr>
      </w:pPr>
      <w:r>
        <w:rPr>
          <w:rFonts w:hint="eastAsia" w:ascii="宋体" w:hAnsi="宋体"/>
          <w:color w:val="000000"/>
          <w:sz w:val="24"/>
          <w:szCs w:val="24"/>
        </w:rPr>
        <w:t>5、建立采购人对产品代理商投诉及处理台帐，记录投诉内容及协调处理方法，有效督促产品代理商严格履约。</w:t>
      </w:r>
    </w:p>
    <w:p>
      <w:pPr>
        <w:ind w:firstLine="480" w:firstLineChars="200"/>
        <w:rPr>
          <w:rFonts w:hint="eastAsia" w:ascii="宋体" w:hAnsi="宋体"/>
          <w:color w:val="000000"/>
          <w:sz w:val="24"/>
          <w:szCs w:val="24"/>
        </w:rPr>
      </w:pPr>
      <w:r>
        <w:rPr>
          <w:rFonts w:hint="eastAsia" w:ascii="宋体" w:hAnsi="宋体"/>
          <w:color w:val="000000"/>
          <w:sz w:val="24"/>
          <w:szCs w:val="24"/>
        </w:rPr>
        <w:t>6、提供技术服务热线（7*24小时），负责解答采购人在使用中遇到的问题，并及时解决问题和提供远程操作方法。</w:t>
      </w:r>
    </w:p>
    <w:p>
      <w:pPr>
        <w:ind w:firstLine="480" w:firstLineChars="200"/>
        <w:rPr>
          <w:rFonts w:hint="eastAsia" w:ascii="宋体" w:hAnsi="宋体"/>
          <w:color w:val="000000"/>
          <w:sz w:val="24"/>
          <w:szCs w:val="24"/>
        </w:rPr>
      </w:pPr>
      <w:r>
        <w:rPr>
          <w:rFonts w:hint="eastAsia"/>
          <w:color w:val="000000"/>
          <w:sz w:val="24"/>
          <w:szCs w:val="24"/>
        </w:rPr>
        <w:t>7、服从征集人管理要求，</w:t>
      </w:r>
      <w:r>
        <w:rPr>
          <w:rFonts w:hint="eastAsia" w:ascii="宋体" w:hAnsi="宋体"/>
          <w:color w:val="000000"/>
          <w:sz w:val="24"/>
          <w:szCs w:val="24"/>
        </w:rPr>
        <w:t>通过汽车协议供货系统执行本次框架协议采购合同，后期征集人系统升级后应按照新系统要求执行框架协议采购。</w:t>
      </w:r>
    </w:p>
    <w:p>
      <w:pPr>
        <w:ind w:firstLine="480" w:firstLineChars="200"/>
        <w:rPr>
          <w:rFonts w:ascii="宋体" w:hAnsi="宋体"/>
          <w:color w:val="000000"/>
          <w:sz w:val="24"/>
          <w:szCs w:val="24"/>
        </w:rPr>
      </w:pPr>
      <w:r>
        <w:rPr>
          <w:rFonts w:hint="eastAsia" w:ascii="宋体" w:hAnsi="宋体"/>
          <w:color w:val="000000"/>
          <w:sz w:val="24"/>
          <w:szCs w:val="24"/>
        </w:rPr>
        <w:t>9、协助有关部门做好廉政工作，防止腐败现象的出现。</w:t>
      </w:r>
    </w:p>
    <w:p>
      <w:pPr>
        <w:ind w:firstLine="480" w:firstLineChars="200"/>
        <w:rPr>
          <w:rFonts w:hint="eastAsia" w:ascii="宋体" w:hAnsi="宋体"/>
          <w:color w:val="000000"/>
          <w:sz w:val="24"/>
          <w:szCs w:val="24"/>
        </w:rPr>
      </w:pPr>
      <w:r>
        <w:rPr>
          <w:rFonts w:hint="eastAsia" w:ascii="宋体" w:hAnsi="宋体"/>
          <w:color w:val="000000"/>
          <w:sz w:val="24"/>
          <w:szCs w:val="24"/>
        </w:rPr>
        <w:t>10、响应供应商提供的其他服务承诺（如免费维修保养、免费紧急救援服务）。</w:t>
      </w:r>
    </w:p>
    <w:p>
      <w:pPr>
        <w:ind w:firstLine="480" w:firstLineChars="200"/>
        <w:rPr>
          <w:rFonts w:hint="eastAsia" w:ascii="宋体" w:hAnsi="宋体"/>
          <w:color w:val="000000"/>
          <w:sz w:val="24"/>
          <w:szCs w:val="24"/>
        </w:rPr>
      </w:pPr>
      <w:r>
        <w:rPr>
          <w:rFonts w:hint="eastAsia" w:ascii="宋体" w:hAnsi="宋体"/>
          <w:color w:val="000000"/>
          <w:sz w:val="24"/>
          <w:szCs w:val="24"/>
        </w:rPr>
        <w:t>1</w:t>
      </w:r>
      <w:r>
        <w:rPr>
          <w:rFonts w:hint="eastAsia" w:ascii="宋体" w:hAnsi="宋体"/>
          <w:color w:val="000000"/>
          <w:sz w:val="24"/>
          <w:szCs w:val="24"/>
          <w:lang w:val="en-US" w:eastAsia="zh-CN"/>
        </w:rPr>
        <w:t>1</w:t>
      </w:r>
      <w:r>
        <w:rPr>
          <w:rFonts w:hint="eastAsia" w:ascii="宋体" w:hAnsi="宋体"/>
          <w:color w:val="000000"/>
          <w:sz w:val="24"/>
          <w:szCs w:val="24"/>
        </w:rPr>
        <w:t>、供货时间地点：授予合同之日起30日内或者根据合同约定时间和地点交货并完成安装调试。</w:t>
      </w:r>
    </w:p>
    <w:p>
      <w:pPr>
        <w:ind w:firstLine="480" w:firstLineChars="200"/>
        <w:rPr>
          <w:rFonts w:hint="eastAsia" w:ascii="宋体" w:hAnsi="宋体"/>
          <w:color w:val="000000"/>
          <w:sz w:val="24"/>
          <w:szCs w:val="24"/>
        </w:rPr>
      </w:pPr>
      <w:r>
        <w:rPr>
          <w:rFonts w:hint="eastAsia" w:ascii="宋体" w:hAnsi="宋体"/>
          <w:color w:val="000000"/>
          <w:sz w:val="24"/>
          <w:szCs w:val="24"/>
        </w:rPr>
        <w:t>1</w:t>
      </w:r>
      <w:r>
        <w:rPr>
          <w:rFonts w:hint="eastAsia" w:ascii="宋体" w:hAnsi="宋体"/>
          <w:color w:val="000000"/>
          <w:sz w:val="24"/>
          <w:szCs w:val="24"/>
          <w:lang w:val="en-US" w:eastAsia="zh-CN"/>
        </w:rPr>
        <w:t>2</w:t>
      </w:r>
      <w:r>
        <w:rPr>
          <w:rFonts w:hint="eastAsia" w:ascii="宋体" w:hAnsi="宋体"/>
          <w:color w:val="000000"/>
          <w:sz w:val="24"/>
          <w:szCs w:val="24"/>
        </w:rPr>
        <w:t>、验收：采购人组织产品验收，符合征集文件和响应文件要求和承诺书承诺方可验收。</w:t>
      </w:r>
    </w:p>
    <w:p>
      <w:pPr>
        <w:ind w:firstLine="480" w:firstLineChars="200"/>
        <w:rPr>
          <w:rFonts w:hint="eastAsia" w:ascii="宋体" w:hAnsi="宋体"/>
          <w:color w:val="000000"/>
          <w:sz w:val="24"/>
          <w:szCs w:val="24"/>
        </w:rPr>
      </w:pPr>
      <w:r>
        <w:rPr>
          <w:rFonts w:hint="eastAsia" w:ascii="宋体" w:hAnsi="宋体"/>
          <w:color w:val="000000"/>
          <w:sz w:val="24"/>
          <w:szCs w:val="24"/>
        </w:rPr>
        <w:t>1</w:t>
      </w:r>
      <w:r>
        <w:rPr>
          <w:rFonts w:hint="eastAsia" w:ascii="宋体" w:hAnsi="宋体"/>
          <w:color w:val="000000"/>
          <w:sz w:val="24"/>
          <w:szCs w:val="24"/>
          <w:lang w:val="en-US" w:eastAsia="zh-CN"/>
        </w:rPr>
        <w:t>3</w:t>
      </w:r>
      <w:r>
        <w:rPr>
          <w:rFonts w:hint="eastAsia" w:ascii="宋体" w:hAnsi="宋体"/>
          <w:color w:val="000000"/>
          <w:sz w:val="24"/>
          <w:szCs w:val="24"/>
        </w:rPr>
        <w:t>、付款要求：合同签订后预付款不低于30%，货到后支付100%。</w:t>
      </w:r>
    </w:p>
    <w:p>
      <w:pPr>
        <w:tabs>
          <w:tab w:val="left" w:pos="1260"/>
        </w:tabs>
        <w:ind w:firstLine="480" w:firstLineChars="200"/>
        <w:rPr>
          <w:rFonts w:ascii="宋体" w:hAnsi="宋体"/>
          <w:color w:val="000000"/>
          <w:kern w:val="0"/>
          <w:sz w:val="24"/>
          <w:szCs w:val="24"/>
        </w:rPr>
      </w:pPr>
    </w:p>
    <w:p>
      <w:pPr>
        <w:ind w:firstLine="560" w:firstLineChars="200"/>
        <w:rPr>
          <w:rFonts w:ascii="黑体" w:hAnsi="黑体" w:eastAsia="黑体" w:cs="黑体"/>
          <w:color w:val="000000"/>
          <w:sz w:val="28"/>
          <w:szCs w:val="28"/>
        </w:rPr>
      </w:pPr>
      <w:r>
        <w:rPr>
          <w:rFonts w:hint="eastAsia" w:ascii="黑体" w:hAnsi="黑体" w:eastAsia="黑体" w:cs="黑体"/>
          <w:color w:val="000000"/>
          <w:sz w:val="28"/>
          <w:szCs w:val="28"/>
        </w:rPr>
        <w:t>六、框架协议合同授予</w:t>
      </w:r>
    </w:p>
    <w:p>
      <w:pPr>
        <w:ind w:firstLine="480" w:firstLineChars="200"/>
        <w:rPr>
          <w:rFonts w:ascii="宋体" w:hAnsi="宋体"/>
          <w:color w:val="000000"/>
          <w:sz w:val="24"/>
          <w:szCs w:val="24"/>
        </w:rPr>
      </w:pPr>
      <w:r>
        <w:rPr>
          <w:rFonts w:hint="eastAsia" w:ascii="宋体" w:hAnsi="宋体"/>
          <w:color w:val="000000"/>
          <w:sz w:val="24"/>
          <w:szCs w:val="24"/>
        </w:rPr>
        <w:t>1、确定第二阶段成交供应商应当由采购人或者服务对象依据入围产品价格、质量以及服务便利性、用户评价等因素，从第一阶段入围供应商中直接选定。</w:t>
      </w:r>
    </w:p>
    <w:p>
      <w:pPr>
        <w:ind w:firstLine="480" w:firstLineChars="200"/>
        <w:rPr>
          <w:rFonts w:hint="eastAsia" w:ascii="宋体" w:hAnsi="宋体"/>
          <w:color w:val="000000"/>
          <w:sz w:val="24"/>
          <w:szCs w:val="24"/>
        </w:rPr>
      </w:pPr>
      <w:r>
        <w:rPr>
          <w:rFonts w:hint="eastAsia" w:ascii="宋体" w:hAnsi="宋体"/>
          <w:color w:val="000000"/>
          <w:sz w:val="24"/>
          <w:szCs w:val="24"/>
          <w:lang w:val="en-US" w:eastAsia="zh-CN"/>
        </w:rPr>
        <w:t xml:space="preserve">2. </w:t>
      </w:r>
      <w:r>
        <w:rPr>
          <w:rFonts w:hint="eastAsia" w:ascii="宋体" w:hAnsi="宋体"/>
          <w:color w:val="000000"/>
          <w:sz w:val="24"/>
          <w:szCs w:val="24"/>
        </w:rPr>
        <w:t>对于框架协议入围型号，</w:t>
      </w:r>
      <w:r>
        <w:rPr>
          <w:rFonts w:ascii="宋体" w:hAnsi="宋体"/>
          <w:color w:val="000000"/>
          <w:sz w:val="24"/>
          <w:szCs w:val="24"/>
        </w:rPr>
        <w:t>采购人证明能够以更低价格向非入围供应商采购相同货物，且入围供应商不同意将价格降至非入围供应商以下的，可以将合同授予非入围供应商。</w:t>
      </w:r>
      <w:r>
        <w:rPr>
          <w:rFonts w:hint="eastAsia" w:ascii="宋体" w:hAnsi="宋体"/>
          <w:color w:val="000000"/>
          <w:sz w:val="24"/>
          <w:szCs w:val="24"/>
        </w:rPr>
        <w:t>采购人将合同授予非入围供应商的，应当在确定成交供应商后1个工作日内，将成交结果抄送</w:t>
      </w:r>
      <w:r>
        <w:rPr>
          <w:rFonts w:hint="eastAsia" w:ascii="宋体" w:hAnsi="宋体"/>
          <w:color w:val="000000"/>
          <w:sz w:val="24"/>
          <w:szCs w:val="24"/>
          <w:lang w:val="en-US" w:eastAsia="zh-CN"/>
        </w:rPr>
        <w:t>市</w:t>
      </w:r>
      <w:r>
        <w:rPr>
          <w:rFonts w:hint="eastAsia" w:ascii="宋体" w:hAnsi="宋体"/>
          <w:color w:val="000000"/>
          <w:sz w:val="24"/>
          <w:szCs w:val="24"/>
        </w:rPr>
        <w:t>政府采购中心并发布单笔成交结果公告。</w:t>
      </w:r>
    </w:p>
    <w:p>
      <w:pPr>
        <w:ind w:firstLine="560" w:firstLineChars="200"/>
        <w:rPr>
          <w:rFonts w:ascii="黑体" w:hAnsi="黑体" w:eastAsia="黑体" w:cs="黑体"/>
          <w:color w:val="000000"/>
          <w:sz w:val="28"/>
          <w:szCs w:val="28"/>
        </w:rPr>
      </w:pPr>
      <w:r>
        <w:rPr>
          <w:rFonts w:hint="eastAsia" w:ascii="黑体" w:hAnsi="黑体" w:eastAsia="黑体" w:cs="黑体"/>
          <w:color w:val="000000"/>
          <w:sz w:val="28"/>
          <w:szCs w:val="28"/>
        </w:rPr>
        <w:t>七、履约管理要求</w:t>
      </w:r>
    </w:p>
    <w:p>
      <w:pPr>
        <w:widowControl/>
        <w:ind w:firstLine="480" w:firstLineChars="200"/>
        <w:jc w:val="left"/>
        <w:rPr>
          <w:rFonts w:ascii="宋体" w:hAnsi="宋体"/>
          <w:color w:val="000000"/>
          <w:sz w:val="24"/>
          <w:szCs w:val="24"/>
        </w:rPr>
      </w:pPr>
      <w:r>
        <w:rPr>
          <w:rFonts w:hint="eastAsia" w:ascii="宋体" w:hAnsi="宋体"/>
          <w:color w:val="000000"/>
          <w:sz w:val="24"/>
          <w:szCs w:val="24"/>
        </w:rPr>
        <w:t>1、管理形式</w:t>
      </w:r>
    </w:p>
    <w:p>
      <w:pPr>
        <w:ind w:firstLine="480" w:firstLineChars="200"/>
        <w:rPr>
          <w:rFonts w:ascii="宋体" w:hAnsi="宋体"/>
          <w:color w:val="000000"/>
          <w:sz w:val="24"/>
          <w:szCs w:val="24"/>
        </w:rPr>
      </w:pPr>
      <w:r>
        <w:rPr>
          <w:rFonts w:hint="eastAsia" w:ascii="宋体" w:hAnsi="宋体"/>
          <w:color w:val="000000"/>
          <w:sz w:val="24"/>
          <w:szCs w:val="24"/>
        </w:rPr>
        <w:t>采购中心通过满意度调查、随机抽查、投诉举报处理等方式，对框架协议入围供应商开展履约及售后服务监督，检查和处理结果将在框架协议系统公布。若国家</w:t>
      </w:r>
      <w:r>
        <w:rPr>
          <w:rFonts w:hint="eastAsia" w:ascii="宋体" w:hAnsi="宋体"/>
          <w:color w:val="000000"/>
          <w:sz w:val="24"/>
          <w:szCs w:val="24"/>
          <w:lang w:eastAsia="zh-CN"/>
        </w:rPr>
        <w:t>、</w:t>
      </w:r>
      <w:r>
        <w:rPr>
          <w:rFonts w:hint="eastAsia" w:ascii="宋体" w:hAnsi="宋体"/>
          <w:color w:val="000000"/>
          <w:sz w:val="24"/>
          <w:szCs w:val="24"/>
          <w:lang w:val="en-US" w:eastAsia="zh-CN"/>
        </w:rPr>
        <w:t>湖北</w:t>
      </w:r>
      <w:r>
        <w:rPr>
          <w:rFonts w:hint="eastAsia" w:ascii="宋体" w:hAnsi="宋体"/>
          <w:color w:val="000000"/>
          <w:sz w:val="24"/>
          <w:szCs w:val="24"/>
        </w:rPr>
        <w:t>省</w:t>
      </w:r>
      <w:r>
        <w:rPr>
          <w:rFonts w:hint="eastAsia" w:ascii="宋体" w:hAnsi="宋体"/>
          <w:color w:val="000000"/>
          <w:sz w:val="24"/>
          <w:szCs w:val="24"/>
          <w:lang w:val="en-US" w:eastAsia="zh-CN"/>
        </w:rPr>
        <w:t>及武汉市</w:t>
      </w:r>
      <w:r>
        <w:rPr>
          <w:rFonts w:hint="eastAsia" w:ascii="宋体" w:hAnsi="宋体"/>
          <w:color w:val="000000"/>
          <w:sz w:val="24"/>
          <w:szCs w:val="24"/>
        </w:rPr>
        <w:t>相关部门出台与公务用车采购相关的规定，按规定执行。</w:t>
      </w:r>
    </w:p>
    <w:p>
      <w:pPr>
        <w:widowControl/>
        <w:ind w:firstLine="480" w:firstLineChars="200"/>
        <w:jc w:val="left"/>
        <w:rPr>
          <w:rFonts w:ascii="宋体" w:hAnsi="宋体"/>
          <w:color w:val="000000"/>
          <w:sz w:val="24"/>
          <w:szCs w:val="24"/>
        </w:rPr>
      </w:pPr>
      <w:r>
        <w:rPr>
          <w:rFonts w:hint="eastAsia" w:ascii="宋体" w:hAnsi="宋体"/>
          <w:color w:val="000000"/>
          <w:sz w:val="24"/>
          <w:szCs w:val="24"/>
        </w:rPr>
        <w:t>2、 管理标准</w:t>
      </w:r>
    </w:p>
    <w:p>
      <w:pPr>
        <w:widowControl/>
        <w:ind w:firstLine="480" w:firstLineChars="200"/>
        <w:jc w:val="left"/>
        <w:rPr>
          <w:rFonts w:ascii="宋体" w:hAnsi="宋体"/>
          <w:color w:val="000000"/>
          <w:sz w:val="24"/>
          <w:szCs w:val="24"/>
        </w:rPr>
      </w:pPr>
      <w:r>
        <w:rPr>
          <w:rFonts w:hint="eastAsia" w:ascii="宋体" w:hAnsi="宋体"/>
          <w:color w:val="000000"/>
          <w:sz w:val="24"/>
          <w:szCs w:val="24"/>
        </w:rPr>
        <w:t>在监管检查中，如发现以下情形，视为不合格行为。采购中心在核实情况后将对相关责任供应商予以处理：</w:t>
      </w:r>
      <w:r>
        <w:rPr>
          <w:rFonts w:ascii="宋体" w:hAnsi="宋体"/>
          <w:color w:val="000000"/>
          <w:sz w:val="24"/>
          <w:szCs w:val="24"/>
        </w:rPr>
        <w:t xml:space="preserve"> </w:t>
      </w:r>
    </w:p>
    <w:p>
      <w:pPr>
        <w:widowControl/>
        <w:ind w:firstLine="480" w:firstLineChars="200"/>
        <w:jc w:val="left"/>
        <w:rPr>
          <w:rFonts w:ascii="宋体" w:hAnsi="宋体"/>
          <w:color w:val="000000"/>
          <w:sz w:val="24"/>
          <w:szCs w:val="24"/>
        </w:rPr>
      </w:pPr>
      <w:r>
        <w:rPr>
          <w:rFonts w:hint="eastAsia" w:ascii="宋体" w:hAnsi="宋体"/>
          <w:color w:val="000000"/>
          <w:sz w:val="24"/>
          <w:szCs w:val="24"/>
        </w:rPr>
        <w:t>2.1入围产品质量、配置或提供的服务不符合国家有关规定、服务承诺和框架协议规定。</w:t>
      </w:r>
    </w:p>
    <w:p>
      <w:pPr>
        <w:widowControl/>
        <w:ind w:firstLine="480" w:firstLineChars="200"/>
        <w:jc w:val="left"/>
        <w:rPr>
          <w:rFonts w:ascii="宋体" w:hAnsi="宋体"/>
          <w:color w:val="000000"/>
          <w:sz w:val="24"/>
          <w:szCs w:val="24"/>
        </w:rPr>
      </w:pPr>
      <w:r>
        <w:rPr>
          <w:rFonts w:hint="eastAsia" w:ascii="宋体" w:hAnsi="宋体"/>
          <w:color w:val="000000"/>
          <w:sz w:val="24"/>
          <w:szCs w:val="24"/>
        </w:rPr>
        <w:t>2.2无正当理由不按照承诺供货或提供售后服务。</w:t>
      </w:r>
    </w:p>
    <w:p>
      <w:pPr>
        <w:widowControl/>
        <w:ind w:firstLine="480" w:firstLineChars="200"/>
        <w:jc w:val="left"/>
        <w:rPr>
          <w:rFonts w:ascii="宋体" w:hAnsi="宋体"/>
          <w:color w:val="000000"/>
          <w:sz w:val="24"/>
          <w:szCs w:val="24"/>
        </w:rPr>
      </w:pPr>
      <w:r>
        <w:rPr>
          <w:rFonts w:hint="eastAsia" w:ascii="宋体" w:hAnsi="宋体"/>
          <w:color w:val="000000"/>
          <w:sz w:val="24"/>
          <w:szCs w:val="24"/>
        </w:rPr>
        <w:t>2.3具体项目成交价高于其入围价格或服务承诺。</w:t>
      </w:r>
    </w:p>
    <w:p>
      <w:pPr>
        <w:widowControl/>
        <w:ind w:firstLine="480" w:firstLineChars="200"/>
        <w:jc w:val="left"/>
        <w:rPr>
          <w:rFonts w:ascii="宋体" w:hAnsi="宋体"/>
          <w:color w:val="000000"/>
          <w:sz w:val="24"/>
          <w:szCs w:val="24"/>
        </w:rPr>
      </w:pPr>
      <w:r>
        <w:rPr>
          <w:rFonts w:hint="eastAsia" w:ascii="宋体" w:hAnsi="宋体"/>
          <w:color w:val="000000"/>
          <w:sz w:val="24"/>
          <w:szCs w:val="24"/>
        </w:rPr>
        <w:t>2.4使用不正当竞争手段，影响采购单位正常采购活动。</w:t>
      </w:r>
    </w:p>
    <w:p>
      <w:pPr>
        <w:widowControl/>
        <w:ind w:firstLine="480" w:firstLineChars="200"/>
        <w:jc w:val="left"/>
        <w:rPr>
          <w:rFonts w:ascii="宋体" w:hAnsi="宋体"/>
          <w:color w:val="000000"/>
          <w:sz w:val="24"/>
          <w:szCs w:val="24"/>
        </w:rPr>
      </w:pPr>
      <w:r>
        <w:rPr>
          <w:rFonts w:hint="eastAsia" w:ascii="宋体" w:hAnsi="宋体"/>
          <w:color w:val="000000"/>
          <w:sz w:val="24"/>
          <w:szCs w:val="24"/>
        </w:rPr>
        <w:t>2.5满意度调查中采购人反馈不满意，经核实确系供应商责任。</w:t>
      </w:r>
    </w:p>
    <w:p>
      <w:pPr>
        <w:widowControl/>
        <w:ind w:firstLine="480" w:firstLineChars="200"/>
        <w:jc w:val="left"/>
        <w:rPr>
          <w:rFonts w:ascii="宋体" w:hAnsi="宋体"/>
          <w:color w:val="000000"/>
          <w:sz w:val="24"/>
          <w:szCs w:val="24"/>
        </w:rPr>
      </w:pPr>
      <w:r>
        <w:rPr>
          <w:rFonts w:hint="eastAsia" w:ascii="宋体" w:hAnsi="宋体"/>
          <w:color w:val="000000"/>
          <w:sz w:val="24"/>
          <w:szCs w:val="24"/>
        </w:rPr>
        <w:t>2.6无正当理由放弃入围资格或退出框架协议。</w:t>
      </w:r>
    </w:p>
    <w:p>
      <w:pPr>
        <w:widowControl/>
        <w:ind w:firstLine="480" w:firstLineChars="200"/>
        <w:jc w:val="left"/>
        <w:rPr>
          <w:rFonts w:ascii="宋体" w:hAnsi="宋体"/>
          <w:color w:val="000000"/>
          <w:sz w:val="24"/>
          <w:szCs w:val="24"/>
        </w:rPr>
      </w:pPr>
      <w:r>
        <w:rPr>
          <w:rFonts w:hint="eastAsia" w:ascii="宋体" w:hAnsi="宋体"/>
          <w:color w:val="000000"/>
          <w:sz w:val="24"/>
          <w:szCs w:val="24"/>
        </w:rPr>
        <w:t>2.7其他违法违规行为。</w:t>
      </w:r>
    </w:p>
    <w:p>
      <w:pPr>
        <w:widowControl/>
        <w:ind w:firstLine="480" w:firstLineChars="200"/>
        <w:jc w:val="left"/>
        <w:rPr>
          <w:rFonts w:ascii="宋体" w:hAnsi="宋体"/>
          <w:color w:val="000000"/>
          <w:sz w:val="24"/>
          <w:szCs w:val="24"/>
        </w:rPr>
      </w:pPr>
      <w:r>
        <w:rPr>
          <w:rFonts w:hint="eastAsia" w:ascii="宋体" w:hAnsi="宋体"/>
          <w:color w:val="000000"/>
          <w:sz w:val="24"/>
          <w:szCs w:val="24"/>
        </w:rPr>
        <w:t>3、管理措施</w:t>
      </w:r>
    </w:p>
    <w:p>
      <w:pPr>
        <w:widowControl/>
        <w:ind w:firstLine="480" w:firstLineChars="200"/>
        <w:jc w:val="left"/>
        <w:rPr>
          <w:rFonts w:ascii="宋体" w:hAnsi="宋体"/>
          <w:color w:val="000000"/>
          <w:sz w:val="24"/>
          <w:szCs w:val="24"/>
        </w:rPr>
      </w:pPr>
      <w:r>
        <w:rPr>
          <w:rFonts w:hint="eastAsia" w:ascii="宋体" w:hAnsi="宋体"/>
          <w:color w:val="000000"/>
          <w:sz w:val="24"/>
          <w:szCs w:val="24"/>
        </w:rPr>
        <w:t>对履约监管中发现的不合格行为，按以下措施处理：</w:t>
      </w:r>
    </w:p>
    <w:p>
      <w:pPr>
        <w:widowControl/>
        <w:ind w:firstLine="480" w:firstLineChars="200"/>
        <w:jc w:val="left"/>
        <w:rPr>
          <w:rFonts w:ascii="宋体" w:hAnsi="宋体"/>
          <w:color w:val="000000"/>
          <w:sz w:val="24"/>
          <w:szCs w:val="24"/>
        </w:rPr>
      </w:pPr>
      <w:r>
        <w:rPr>
          <w:rFonts w:hint="eastAsia" w:ascii="宋体" w:hAnsi="宋体"/>
          <w:color w:val="000000"/>
          <w:sz w:val="24"/>
          <w:szCs w:val="24"/>
        </w:rPr>
        <w:t>3.1整改</w:t>
      </w:r>
    </w:p>
    <w:p>
      <w:pPr>
        <w:widowControl/>
        <w:ind w:firstLine="480" w:firstLineChars="200"/>
        <w:jc w:val="left"/>
        <w:rPr>
          <w:rFonts w:ascii="宋体" w:hAnsi="宋体"/>
          <w:color w:val="000000"/>
          <w:sz w:val="24"/>
          <w:szCs w:val="24"/>
        </w:rPr>
      </w:pPr>
      <w:r>
        <w:rPr>
          <w:rFonts w:hint="eastAsia" w:ascii="宋体" w:hAnsi="宋体"/>
          <w:color w:val="000000"/>
          <w:sz w:val="24"/>
          <w:szCs w:val="24"/>
        </w:rPr>
        <w:t>入围供应商在框架协议系统中存在不合格行为，采购中心出具《责令整改通知书》，限定时间完成整改。被开具《责令整改通知书》的供应商，视作差评，记录在案。</w:t>
      </w:r>
    </w:p>
    <w:p>
      <w:pPr>
        <w:widowControl/>
        <w:ind w:firstLine="480" w:firstLineChars="200"/>
        <w:jc w:val="left"/>
        <w:rPr>
          <w:rFonts w:ascii="宋体" w:hAnsi="宋体"/>
          <w:color w:val="000000"/>
          <w:sz w:val="24"/>
          <w:szCs w:val="24"/>
        </w:rPr>
      </w:pPr>
      <w:r>
        <w:rPr>
          <w:rFonts w:hint="eastAsia" w:ascii="宋体" w:hAnsi="宋体"/>
          <w:color w:val="000000"/>
          <w:sz w:val="24"/>
          <w:szCs w:val="24"/>
        </w:rPr>
        <w:t>3.3暂停交易资格</w:t>
      </w:r>
    </w:p>
    <w:p>
      <w:pPr>
        <w:widowControl/>
        <w:ind w:firstLine="480" w:firstLineChars="200"/>
        <w:jc w:val="left"/>
        <w:rPr>
          <w:rFonts w:ascii="宋体" w:hAnsi="宋体"/>
          <w:color w:val="000000"/>
          <w:sz w:val="24"/>
          <w:szCs w:val="24"/>
        </w:rPr>
      </w:pPr>
      <w:r>
        <w:rPr>
          <w:rFonts w:hint="eastAsia" w:ascii="宋体" w:hAnsi="宋体"/>
          <w:color w:val="000000"/>
          <w:sz w:val="24"/>
          <w:szCs w:val="24"/>
        </w:rPr>
        <w:t>对拒不接受采购中心约谈，或者规定时间未按《责令整改通知书》完成整改的供应商，暂停其框架协议交易资格三个月，并在框架协议系统公示。</w:t>
      </w:r>
    </w:p>
    <w:p>
      <w:pPr>
        <w:widowControl/>
        <w:ind w:firstLine="480" w:firstLineChars="200"/>
        <w:jc w:val="left"/>
        <w:rPr>
          <w:rFonts w:ascii="宋体" w:hAnsi="宋体"/>
          <w:color w:val="000000"/>
          <w:sz w:val="24"/>
          <w:szCs w:val="24"/>
        </w:rPr>
      </w:pPr>
      <w:r>
        <w:rPr>
          <w:rFonts w:hint="eastAsia" w:ascii="宋体" w:hAnsi="宋体"/>
          <w:color w:val="000000"/>
          <w:sz w:val="24"/>
          <w:szCs w:val="24"/>
        </w:rPr>
        <w:t>3.4终止交易资格</w:t>
      </w:r>
    </w:p>
    <w:p>
      <w:pPr>
        <w:widowControl/>
        <w:ind w:firstLine="480" w:firstLineChars="200"/>
        <w:jc w:val="left"/>
        <w:rPr>
          <w:color w:val="000000"/>
          <w:sz w:val="24"/>
          <w:szCs w:val="24"/>
        </w:rPr>
      </w:pPr>
      <w:r>
        <w:rPr>
          <w:rFonts w:hint="eastAsia" w:ascii="宋体" w:hAnsi="宋体"/>
          <w:color w:val="000000"/>
          <w:sz w:val="24"/>
          <w:szCs w:val="24"/>
        </w:rPr>
        <w:t>供应商在被发现存在恶意违规，造成严重后果，或在框架协议有效期内两次被开具《责令整改通知单》，解除当期框架协议，同时报请财政部门，列入供应商诚信档案。</w:t>
      </w:r>
    </w:p>
    <w:p>
      <w:pPr>
        <w:pStyle w:val="9"/>
        <w:numPr>
          <w:ilvl w:val="0"/>
          <w:numId w:val="0"/>
        </w:numPr>
        <w:rPr>
          <w:rFonts w:hint="default" w:ascii="仿宋" w:hAnsi="仿宋" w:eastAsia="仿宋"/>
          <w:bCs/>
          <w:sz w:val="24"/>
          <w:szCs w:val="24"/>
          <w:lang w:val="en-US" w:eastAsia="zh-CN"/>
        </w:rPr>
      </w:pPr>
    </w:p>
    <w:p>
      <w:pPr>
        <w:pStyle w:val="9"/>
        <w:numPr>
          <w:ilvl w:val="0"/>
          <w:numId w:val="0"/>
        </w:numPr>
        <w:rPr>
          <w:rFonts w:hint="default" w:ascii="仿宋" w:hAnsi="仿宋" w:eastAsia="仿宋"/>
          <w:bCs/>
          <w:sz w:val="24"/>
          <w:szCs w:val="24"/>
          <w:lang w:val="en-US" w:eastAsia="zh-CN"/>
        </w:rPr>
      </w:pPr>
    </w:p>
    <w:p>
      <w:pPr>
        <w:pStyle w:val="3"/>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确定入围</w:t>
      </w:r>
      <w:r>
        <w:rPr>
          <w:rFonts w:ascii="黑体" w:eastAsia="黑体"/>
          <w:b/>
          <w:bCs/>
          <w:sz w:val="44"/>
        </w:rPr>
        <w:t>及成交供应商</w:t>
      </w:r>
    </w:p>
    <w:p>
      <w:pPr>
        <w:rPr>
          <w:rFonts w:hint="eastAsia"/>
        </w:rPr>
      </w:pPr>
    </w:p>
    <w:p>
      <w:pPr>
        <w:pStyle w:val="13"/>
        <w:ind w:firstLine="514" w:firstLineChars="183"/>
        <w:rPr>
          <w:rFonts w:hint="eastAsia" w:cs="Arial"/>
          <w:b/>
          <w:sz w:val="28"/>
          <w:szCs w:val="28"/>
        </w:rPr>
      </w:pPr>
      <w:r>
        <w:rPr>
          <w:rFonts w:hint="eastAsia" w:cs="Arial"/>
          <w:b/>
          <w:sz w:val="28"/>
          <w:szCs w:val="28"/>
        </w:rPr>
        <w:t>一</w:t>
      </w:r>
      <w:r>
        <w:rPr>
          <w:rFonts w:cs="Arial"/>
          <w:b/>
          <w:sz w:val="28"/>
          <w:szCs w:val="28"/>
        </w:rPr>
        <w:t>、确定第一阶段入围供应商的评审方法</w:t>
      </w:r>
    </w:p>
    <w:p>
      <w:pPr>
        <w:pStyle w:val="13"/>
        <w:ind w:firstLine="439" w:firstLineChars="183"/>
        <w:rPr>
          <w:rFonts w:hint="eastAsia" w:cs="Arial"/>
        </w:rPr>
      </w:pPr>
      <w:r>
        <w:rPr>
          <w:rFonts w:hint="eastAsia" w:cs="Arial"/>
        </w:rPr>
        <w:t>1、</w:t>
      </w:r>
      <w:r>
        <w:rPr>
          <w:rFonts w:cs="Arial"/>
        </w:rPr>
        <w:t>确定</w:t>
      </w:r>
      <w:r>
        <w:rPr>
          <w:rFonts w:hint="eastAsia" w:cs="Arial"/>
        </w:rPr>
        <w:t>第一阶段入围供应商的评审方法为</w:t>
      </w:r>
      <w:r>
        <w:rPr>
          <w:rFonts w:cs="Arial"/>
        </w:rPr>
        <w:t>价格优先</w:t>
      </w:r>
      <w:r>
        <w:rPr>
          <w:rFonts w:hint="eastAsia" w:cs="Arial"/>
        </w:rPr>
        <w:t>法</w:t>
      </w:r>
      <w:r>
        <w:rPr>
          <w:rFonts w:cs="Arial"/>
        </w:rPr>
        <w:t>。</w:t>
      </w:r>
      <w:r>
        <w:rPr>
          <w:rFonts w:hint="eastAsia" w:cs="Arial"/>
        </w:rPr>
        <w:t>价格优先法是指对满足采购需求且响应报价不超过最高限制单价的产品，按照响应报价从低到高排序，根据征集文件规定的淘汰率或者入围供应商数量上限，确定入围供应商的评审方法。</w:t>
      </w:r>
    </w:p>
    <w:p>
      <w:pPr>
        <w:pStyle w:val="13"/>
        <w:ind w:firstLine="439" w:firstLineChars="183"/>
        <w:rPr>
          <w:rFonts w:hint="eastAsia" w:cs="Arial"/>
        </w:rPr>
      </w:pPr>
      <w:r>
        <w:rPr>
          <w:rFonts w:hint="eastAsia" w:cs="Arial"/>
        </w:rPr>
        <w:t>2、入围</w:t>
      </w:r>
      <w:r>
        <w:rPr>
          <w:rFonts w:cs="Arial"/>
        </w:rPr>
        <w:t>供应商的</w:t>
      </w:r>
      <w:r>
        <w:rPr>
          <w:rFonts w:hint="eastAsia" w:cs="Arial"/>
        </w:rPr>
        <w:t>淘汰</w:t>
      </w:r>
      <w:r>
        <w:rPr>
          <w:rFonts w:cs="Arial"/>
        </w:rPr>
        <w:t>比例：</w:t>
      </w:r>
      <w:r>
        <w:rPr>
          <w:rFonts w:hint="eastAsia" w:cs="Arial"/>
        </w:rPr>
        <w:t>20</w:t>
      </w:r>
      <w:r>
        <w:rPr>
          <w:rFonts w:cs="Arial"/>
        </w:rPr>
        <w:t>%</w:t>
      </w:r>
      <w:r>
        <w:rPr>
          <w:rFonts w:hint="eastAsia" w:cs="Arial"/>
        </w:rPr>
        <w:t>（四舍五入）</w:t>
      </w:r>
      <w:r>
        <w:rPr>
          <w:rFonts w:cs="Arial"/>
        </w:rPr>
        <w:t>，</w:t>
      </w:r>
      <w:r>
        <w:rPr>
          <w:rFonts w:hint="eastAsia" w:cs="Arial"/>
        </w:rPr>
        <w:t>且</w:t>
      </w:r>
      <w:r>
        <w:rPr>
          <w:rFonts w:cs="Arial"/>
        </w:rPr>
        <w:t>至少淘汰一家供应商</w:t>
      </w:r>
      <w:r>
        <w:rPr>
          <w:rFonts w:hint="eastAsia" w:cs="Arial"/>
        </w:rPr>
        <w:t>（提交</w:t>
      </w:r>
      <w:r>
        <w:rPr>
          <w:rFonts w:cs="Arial"/>
        </w:rPr>
        <w:t>响应文件</w:t>
      </w:r>
      <w:r>
        <w:rPr>
          <w:rFonts w:hint="eastAsia" w:cs="Arial"/>
        </w:rPr>
        <w:t>和</w:t>
      </w:r>
      <w:r>
        <w:rPr>
          <w:rFonts w:cs="Arial"/>
        </w:rPr>
        <w:t>符合资格条件、实质性要求的供应商少于</w:t>
      </w:r>
      <w:r>
        <w:rPr>
          <w:rFonts w:hint="eastAsia" w:cs="Arial"/>
        </w:rPr>
        <w:t>2家</w:t>
      </w:r>
      <w:r>
        <w:rPr>
          <w:rFonts w:cs="Arial"/>
        </w:rPr>
        <w:t>时，</w:t>
      </w:r>
      <w:r>
        <w:rPr>
          <w:rFonts w:hint="eastAsia" w:cs="Arial"/>
        </w:rPr>
        <w:t>采购</w:t>
      </w:r>
      <w:r>
        <w:rPr>
          <w:rFonts w:cs="Arial"/>
        </w:rPr>
        <w:t>活动终止</w:t>
      </w:r>
      <w:r>
        <w:rPr>
          <w:rFonts w:hint="eastAsia" w:cs="Arial"/>
        </w:rPr>
        <w:t>）。</w:t>
      </w:r>
    </w:p>
    <w:p>
      <w:pPr>
        <w:pStyle w:val="13"/>
        <w:ind w:firstLine="441" w:firstLineChars="183"/>
        <w:rPr>
          <w:rFonts w:hint="eastAsia" w:ascii="宋体" w:hAnsi="宋体"/>
          <w:b/>
          <w:kern w:val="2"/>
        </w:rPr>
      </w:pPr>
      <w:r>
        <w:rPr>
          <w:rFonts w:hint="eastAsia" w:ascii="宋体" w:hAnsi="宋体"/>
          <w:b/>
          <w:kern w:val="2"/>
        </w:rPr>
        <w:t>政府采购政策功能落实</w:t>
      </w:r>
    </w:p>
    <w:p>
      <w:pPr>
        <w:pStyle w:val="13"/>
        <w:spacing w:line="0" w:lineRule="atLeast"/>
        <w:ind w:firstLineChars="200"/>
        <w:rPr>
          <w:rFonts w:hint="eastAsia" w:ascii="宋体" w:hAnsi="宋体"/>
          <w:kern w:val="2"/>
        </w:rPr>
      </w:pPr>
      <w:r>
        <w:rPr>
          <w:rFonts w:hint="eastAsia" w:ascii="宋体" w:hAnsi="宋体"/>
          <w:kern w:val="2"/>
        </w:rPr>
        <w:t>1、小微型企业价格扣除</w:t>
      </w:r>
    </w:p>
    <w:p>
      <w:pPr>
        <w:pStyle w:val="13"/>
        <w:spacing w:line="0" w:lineRule="atLeast"/>
        <w:ind w:firstLine="360" w:firstLineChars="150"/>
        <w:rPr>
          <w:rFonts w:hint="eastAsia" w:ascii="宋体" w:hAnsi="宋体"/>
          <w:kern w:val="2"/>
        </w:rPr>
      </w:pPr>
      <w:r>
        <w:rPr>
          <w:rFonts w:hint="eastAsia" w:ascii="宋体" w:hAnsi="宋体"/>
          <w:kern w:val="2"/>
        </w:rPr>
        <w:t>（1）本项目对小型和微型企业产品给予1</w:t>
      </w:r>
      <w:r>
        <w:rPr>
          <w:rFonts w:hint="eastAsia" w:ascii="宋体" w:hAnsi="宋体"/>
          <w:kern w:val="2"/>
          <w:lang w:val="en-US" w:eastAsia="zh-CN"/>
        </w:rPr>
        <w:t>5</w:t>
      </w:r>
      <w:r>
        <w:rPr>
          <w:rFonts w:hint="eastAsia" w:ascii="宋体" w:hAnsi="宋体"/>
          <w:kern w:val="2"/>
        </w:rPr>
        <w:t>%的扣除价格，用扣除后的价格参与排序。</w:t>
      </w:r>
    </w:p>
    <w:p>
      <w:pPr>
        <w:pStyle w:val="13"/>
        <w:spacing w:line="0" w:lineRule="atLeast"/>
        <w:ind w:firstLine="360" w:firstLineChars="150"/>
        <w:rPr>
          <w:rFonts w:hint="eastAsia" w:ascii="宋体" w:hAnsi="宋体"/>
          <w:kern w:val="2"/>
        </w:rPr>
      </w:pPr>
      <w:r>
        <w:rPr>
          <w:rFonts w:hint="eastAsia" w:ascii="宋体" w:hAnsi="宋体"/>
          <w:kern w:val="2"/>
        </w:rPr>
        <w:t>（2）供应商需按照征集文件的要求提供相应的《小微企业声明函》。</w:t>
      </w:r>
    </w:p>
    <w:p>
      <w:pPr>
        <w:pStyle w:val="13"/>
        <w:spacing w:line="0" w:lineRule="atLeast"/>
        <w:ind w:firstLine="360" w:firstLineChars="150"/>
        <w:rPr>
          <w:rFonts w:hint="eastAsia" w:ascii="宋体" w:hAnsi="宋体"/>
          <w:kern w:val="2"/>
        </w:rPr>
      </w:pPr>
      <w:r>
        <w:rPr>
          <w:rFonts w:hint="eastAsia" w:ascii="宋体" w:hAnsi="宋体"/>
          <w:kern w:val="2"/>
        </w:rPr>
        <w:t>（3）企业标准请参照《关于印发中小企业划型标准规定的通知》（工信部联企业[2011]300号）文件规定自行填写。</w:t>
      </w:r>
    </w:p>
    <w:p>
      <w:pPr>
        <w:pStyle w:val="13"/>
        <w:spacing w:line="0" w:lineRule="atLeast"/>
        <w:ind w:firstLineChars="200"/>
        <w:rPr>
          <w:rFonts w:hint="eastAsia" w:ascii="宋体" w:hAnsi="宋体"/>
          <w:kern w:val="2"/>
        </w:rPr>
      </w:pPr>
      <w:r>
        <w:rPr>
          <w:rFonts w:hint="eastAsia" w:ascii="宋体" w:hAnsi="宋体"/>
          <w:kern w:val="2"/>
        </w:rPr>
        <w:t>2、残疾人福利单位价格扣除</w:t>
      </w:r>
    </w:p>
    <w:p>
      <w:pPr>
        <w:pStyle w:val="13"/>
        <w:spacing w:line="0" w:lineRule="atLeast"/>
        <w:ind w:left="120" w:leftChars="57" w:firstLine="360" w:firstLineChars="150"/>
        <w:rPr>
          <w:rFonts w:hint="eastAsia" w:ascii="宋体" w:hAnsi="宋体"/>
          <w:kern w:val="2"/>
        </w:rPr>
      </w:pPr>
      <w:r>
        <w:rPr>
          <w:rFonts w:hint="eastAsia" w:ascii="宋体" w:hAnsi="宋体"/>
          <w:kern w:val="2"/>
        </w:rPr>
        <w:t>（1）本项目对残疾人福利性单位视同小型、微型企业，给予10%的价格扣除，用扣除后的价格参与排序。</w:t>
      </w:r>
    </w:p>
    <w:p>
      <w:pPr>
        <w:pStyle w:val="13"/>
        <w:spacing w:line="0" w:lineRule="atLeast"/>
        <w:ind w:left="120" w:leftChars="57" w:firstLine="360" w:firstLineChars="150"/>
        <w:rPr>
          <w:rFonts w:hint="eastAsia" w:ascii="宋体" w:hAnsi="宋体"/>
          <w:kern w:val="2"/>
        </w:rPr>
      </w:pPr>
      <w:r>
        <w:rPr>
          <w:rFonts w:hint="eastAsia" w:ascii="宋体" w:hAnsi="宋体"/>
          <w:kern w:val="2"/>
        </w:rPr>
        <w:t>（2）残疾人福利单位需按照征集文件的要求提供《残疾人福利性单位声明函》。</w:t>
      </w:r>
    </w:p>
    <w:p>
      <w:pPr>
        <w:pStyle w:val="13"/>
        <w:spacing w:line="0" w:lineRule="atLeast"/>
        <w:ind w:left="120" w:leftChars="57" w:firstLine="360" w:firstLineChars="150"/>
        <w:rPr>
          <w:rFonts w:hint="eastAsia" w:ascii="宋体" w:hAnsi="宋体"/>
          <w:kern w:val="2"/>
        </w:rPr>
      </w:pPr>
      <w:r>
        <w:rPr>
          <w:rFonts w:hint="eastAsia" w:ascii="宋体" w:hAnsi="宋体"/>
          <w:kern w:val="2"/>
        </w:rPr>
        <w:t>（3）残疾人福利单位标准请参照《关于促进残疾人就业政府采购政策的通知》（财库〔2017〕141号）。</w:t>
      </w:r>
    </w:p>
    <w:p>
      <w:pPr>
        <w:pStyle w:val="13"/>
        <w:spacing w:line="0" w:lineRule="atLeast"/>
        <w:ind w:firstLineChars="200"/>
        <w:rPr>
          <w:rFonts w:hint="eastAsia" w:ascii="宋体" w:hAnsi="宋体"/>
          <w:kern w:val="2"/>
        </w:rPr>
      </w:pPr>
      <w:r>
        <w:rPr>
          <w:rFonts w:hint="eastAsia" w:ascii="宋体" w:hAnsi="宋体"/>
          <w:kern w:val="2"/>
        </w:rPr>
        <w:t>3、监狱和戒毒企业价格扣除</w:t>
      </w:r>
    </w:p>
    <w:p>
      <w:pPr>
        <w:pStyle w:val="13"/>
        <w:spacing w:line="0" w:lineRule="atLeast"/>
        <w:ind w:firstLineChars="200"/>
        <w:rPr>
          <w:rFonts w:hint="eastAsia" w:ascii="宋体" w:hAnsi="宋体"/>
          <w:kern w:val="2"/>
        </w:rPr>
      </w:pPr>
      <w:r>
        <w:rPr>
          <w:rFonts w:hint="eastAsia" w:ascii="宋体" w:hAnsi="宋体"/>
          <w:kern w:val="2"/>
        </w:rPr>
        <w:t>（1）本项目对监狱和戒毒企业（简称监狱企业）视同小型、微型企业，给予10%的价格扣除，用扣除后的价格参与排序。</w:t>
      </w:r>
    </w:p>
    <w:p>
      <w:pPr>
        <w:pStyle w:val="13"/>
        <w:spacing w:line="0" w:lineRule="atLeast"/>
        <w:ind w:firstLineChars="200"/>
        <w:rPr>
          <w:rFonts w:hint="eastAsia" w:ascii="宋体" w:hAnsi="宋体"/>
          <w:kern w:val="2"/>
        </w:rPr>
      </w:pPr>
      <w:r>
        <w:rPr>
          <w:rFonts w:hint="eastAsia" w:ascii="宋体" w:hAnsi="宋体"/>
          <w:kern w:val="2"/>
        </w:rPr>
        <w:t>（2）监狱企业参加政府采购活动时，需提供由省级以上监狱管理局、戒毒管理局(含新疆生产建设兵团)出具的属于监狱企业的证明文件。</w:t>
      </w:r>
      <w:r>
        <w:rPr>
          <w:rFonts w:hint="eastAsia" w:ascii="宋体" w:hAnsi="宋体"/>
        </w:rPr>
        <w:t>供应商如不提供上述证明文件，价格将不做相应扣除</w:t>
      </w:r>
      <w:r>
        <w:rPr>
          <w:rFonts w:hint="eastAsia" w:ascii="宋体" w:hAnsi="宋体"/>
          <w:kern w:val="2"/>
        </w:rPr>
        <w:t>。</w:t>
      </w:r>
    </w:p>
    <w:p>
      <w:pPr>
        <w:pStyle w:val="13"/>
        <w:spacing w:line="0" w:lineRule="atLeast"/>
        <w:ind w:firstLineChars="200"/>
        <w:rPr>
          <w:rFonts w:hint="eastAsia" w:ascii="宋体" w:hAnsi="宋体"/>
          <w:kern w:val="2"/>
        </w:rPr>
      </w:pPr>
      <w:r>
        <w:rPr>
          <w:rFonts w:hint="eastAsia" w:ascii="宋体" w:hAnsi="宋体"/>
          <w:kern w:val="2"/>
        </w:rPr>
        <w:t>（3）监狱企业标准请参照《关于政府采购支持监狱企业发展有关问题的通知》（</w:t>
      </w:r>
      <w:r>
        <w:rPr>
          <w:rFonts w:ascii="宋体" w:hAnsi="宋体"/>
          <w:kern w:val="2"/>
        </w:rPr>
        <w:t>财库[2014]68号</w:t>
      </w:r>
      <w:r>
        <w:rPr>
          <w:rFonts w:hint="eastAsia" w:ascii="宋体" w:hAnsi="宋体"/>
          <w:kern w:val="2"/>
        </w:rPr>
        <w:t>）。</w:t>
      </w:r>
    </w:p>
    <w:p>
      <w:pPr>
        <w:pStyle w:val="13"/>
        <w:spacing w:line="400" w:lineRule="exact"/>
        <w:ind w:firstLineChars="200"/>
        <w:rPr>
          <w:rFonts w:ascii="宋体" w:hAnsi="宋体"/>
          <w:kern w:val="2"/>
        </w:rPr>
      </w:pPr>
      <w:r>
        <w:rPr>
          <w:rFonts w:hint="eastAsia" w:ascii="宋体" w:hAnsi="宋体"/>
          <w:kern w:val="2"/>
        </w:rPr>
        <w:t>4、残疾人福利单位、监狱企业属于小型、微型企业的，不重复享受政策。</w:t>
      </w:r>
    </w:p>
    <w:p>
      <w:pPr>
        <w:pStyle w:val="13"/>
        <w:spacing w:line="400" w:lineRule="exact"/>
        <w:ind w:firstLine="419" w:firstLineChars="149"/>
        <w:rPr>
          <w:rFonts w:hint="eastAsia" w:ascii="宋体" w:hAnsi="宋体"/>
          <w:b/>
          <w:kern w:val="2"/>
          <w:sz w:val="28"/>
          <w:szCs w:val="28"/>
        </w:rPr>
      </w:pPr>
      <w:r>
        <w:rPr>
          <w:rFonts w:hint="eastAsia" w:ascii="宋体" w:hAnsi="宋体"/>
          <w:b/>
          <w:kern w:val="2"/>
          <w:sz w:val="28"/>
          <w:szCs w:val="28"/>
        </w:rPr>
        <w:t>二</w:t>
      </w:r>
      <w:r>
        <w:rPr>
          <w:rFonts w:ascii="宋体" w:hAnsi="宋体"/>
          <w:b/>
          <w:kern w:val="2"/>
          <w:sz w:val="28"/>
          <w:szCs w:val="28"/>
        </w:rPr>
        <w:t>、确定第二阶段成交供应商的方</w:t>
      </w:r>
      <w:r>
        <w:rPr>
          <w:rFonts w:hint="eastAsia" w:ascii="宋体" w:hAnsi="宋体"/>
          <w:b/>
          <w:kern w:val="2"/>
          <w:sz w:val="28"/>
          <w:szCs w:val="28"/>
        </w:rPr>
        <w:t>式</w:t>
      </w:r>
    </w:p>
    <w:p>
      <w:pPr>
        <w:pStyle w:val="13"/>
        <w:spacing w:line="400" w:lineRule="exact"/>
        <w:ind w:firstLine="477" w:firstLineChars="199"/>
        <w:rPr>
          <w:rFonts w:ascii="宋体" w:hAnsi="宋体"/>
          <w:kern w:val="2"/>
        </w:rPr>
      </w:pPr>
      <w:r>
        <w:rPr>
          <w:rFonts w:hint="eastAsia" w:ascii="宋体" w:hAnsi="宋体"/>
          <w:kern w:val="2"/>
        </w:rPr>
        <w:t>1.确定第二阶段成交供应商的方式为</w:t>
      </w:r>
      <w:r>
        <w:rPr>
          <w:rFonts w:ascii="宋体" w:hAnsi="宋体"/>
          <w:kern w:val="2"/>
        </w:rPr>
        <w:t>直接选定。</w:t>
      </w:r>
      <w:r>
        <w:rPr>
          <w:rFonts w:hint="eastAsia" w:ascii="宋体" w:hAnsi="宋体"/>
          <w:kern w:val="2"/>
        </w:rPr>
        <w:t>由采购人或者服务对象依据入围产品价格、质量以及服务便利性、用户评价等因素，从第一阶段入围供应商中直接选定。第一阶段</w:t>
      </w:r>
      <w:r>
        <w:rPr>
          <w:rFonts w:ascii="宋体" w:hAnsi="宋体"/>
          <w:kern w:val="2"/>
        </w:rPr>
        <w:t>入围供应商的</w:t>
      </w:r>
      <w:r>
        <w:rPr>
          <w:rFonts w:hint="eastAsia" w:ascii="宋体" w:hAnsi="宋体"/>
          <w:kern w:val="2"/>
        </w:rPr>
        <w:t>协议</w:t>
      </w:r>
      <w:r>
        <w:rPr>
          <w:rFonts w:ascii="宋体" w:hAnsi="宋体"/>
          <w:kern w:val="2"/>
        </w:rPr>
        <w:t>价格</w:t>
      </w:r>
      <w:r>
        <w:rPr>
          <w:rFonts w:hint="eastAsia" w:ascii="宋体" w:hAnsi="宋体"/>
          <w:kern w:val="2"/>
        </w:rPr>
        <w:t>（有量价关系折扣的，包括量价关系折扣，以下统称协议价格）是</w:t>
      </w:r>
      <w:r>
        <w:rPr>
          <w:rFonts w:ascii="宋体" w:hAnsi="宋体"/>
          <w:kern w:val="2"/>
        </w:rPr>
        <w:t>采购人确定第二</w:t>
      </w:r>
      <w:r>
        <w:rPr>
          <w:rFonts w:hint="eastAsia" w:ascii="宋体" w:hAnsi="宋体"/>
          <w:kern w:val="2"/>
        </w:rPr>
        <w:t>阶段成交</w:t>
      </w:r>
      <w:r>
        <w:rPr>
          <w:rFonts w:ascii="宋体" w:hAnsi="宋体"/>
          <w:kern w:val="2"/>
        </w:rPr>
        <w:t>供应商的最高</w:t>
      </w:r>
      <w:r>
        <w:rPr>
          <w:rFonts w:hint="eastAsia" w:ascii="宋体" w:hAnsi="宋体"/>
          <w:kern w:val="2"/>
        </w:rPr>
        <w:t>限价</w:t>
      </w:r>
      <w:r>
        <w:rPr>
          <w:rFonts w:ascii="宋体" w:hAnsi="宋体"/>
          <w:kern w:val="2"/>
        </w:rPr>
        <w:t>。</w:t>
      </w:r>
    </w:p>
    <w:p>
      <w:pPr>
        <w:pStyle w:val="13"/>
        <w:spacing w:line="400" w:lineRule="exact"/>
        <w:ind w:firstLine="477" w:firstLineChars="199"/>
        <w:rPr>
          <w:rFonts w:hint="eastAsia"/>
        </w:rPr>
      </w:pPr>
      <w:r>
        <w:rPr>
          <w:rFonts w:hint="eastAsia" w:ascii="宋体" w:hAnsi="宋体"/>
          <w:kern w:val="2"/>
        </w:rPr>
        <w:t>2.采购人在</w:t>
      </w:r>
      <w:r>
        <w:rPr>
          <w:rFonts w:ascii="宋体" w:hAnsi="宋体"/>
          <w:kern w:val="2"/>
        </w:rPr>
        <w:t>确定成交</w:t>
      </w:r>
      <w:r>
        <w:rPr>
          <w:rFonts w:hint="eastAsia" w:ascii="宋体" w:hAnsi="宋体"/>
          <w:kern w:val="2"/>
        </w:rPr>
        <w:t>供应商</w:t>
      </w:r>
      <w:r>
        <w:rPr>
          <w:rFonts w:ascii="宋体" w:hAnsi="宋体"/>
          <w:kern w:val="2"/>
        </w:rPr>
        <w:t>后，</w:t>
      </w:r>
      <w:r>
        <w:rPr>
          <w:rFonts w:hint="eastAsia" w:ascii="宋体" w:hAnsi="宋体"/>
          <w:kern w:val="2"/>
        </w:rPr>
        <w:t>双方</w:t>
      </w:r>
      <w:r>
        <w:rPr>
          <w:rFonts w:ascii="宋体" w:hAnsi="宋体"/>
          <w:kern w:val="2"/>
        </w:rPr>
        <w:t>应当按照</w:t>
      </w:r>
      <w:r>
        <w:rPr>
          <w:rFonts w:hint="eastAsia" w:ascii="宋体" w:hAnsi="宋体"/>
          <w:kern w:val="2"/>
        </w:rPr>
        <w:t>框架协议</w:t>
      </w:r>
      <w:r>
        <w:rPr>
          <w:rFonts w:ascii="宋体" w:hAnsi="宋体"/>
          <w:kern w:val="2"/>
        </w:rPr>
        <w:t>中规定的</w:t>
      </w:r>
      <w:r>
        <w:rPr>
          <w:rFonts w:hint="eastAsia" w:ascii="宋体" w:hAnsi="宋体"/>
          <w:kern w:val="2"/>
        </w:rPr>
        <w:t>“采购</w:t>
      </w:r>
      <w:r>
        <w:rPr>
          <w:rFonts w:ascii="宋体" w:hAnsi="宋体"/>
          <w:kern w:val="2"/>
        </w:rPr>
        <w:t>合同文本</w:t>
      </w:r>
      <w:r>
        <w:rPr>
          <w:rFonts w:hint="eastAsia" w:ascii="宋体" w:hAnsi="宋体"/>
          <w:kern w:val="2"/>
        </w:rPr>
        <w:t>”格式</w:t>
      </w:r>
      <w:r>
        <w:rPr>
          <w:rFonts w:ascii="宋体" w:hAnsi="宋体"/>
          <w:kern w:val="2"/>
        </w:rPr>
        <w:t>签订</w:t>
      </w:r>
      <w:r>
        <w:rPr>
          <w:rFonts w:hint="eastAsia" w:ascii="宋体" w:hAnsi="宋体"/>
          <w:kern w:val="2"/>
        </w:rPr>
        <w:t>电子</w:t>
      </w:r>
      <w:r>
        <w:rPr>
          <w:rFonts w:ascii="宋体" w:hAnsi="宋体"/>
          <w:kern w:val="2"/>
        </w:rPr>
        <w:t>采购合同，</w:t>
      </w:r>
      <w:r>
        <w:rPr>
          <w:rFonts w:hint="eastAsia" w:ascii="宋体" w:hAnsi="宋体"/>
          <w:kern w:val="2"/>
        </w:rPr>
        <w:t>不得擅自改变框架协议约定的合同实质性条款。</w:t>
      </w:r>
    </w:p>
    <w:p>
      <w:pPr>
        <w:pStyle w:val="9"/>
        <w:numPr>
          <w:ilvl w:val="0"/>
          <w:numId w:val="0"/>
        </w:numPr>
        <w:rPr>
          <w:rFonts w:hint="default" w:ascii="仿宋" w:hAnsi="仿宋" w:eastAsia="仿宋"/>
          <w:bCs/>
          <w:sz w:val="24"/>
          <w:szCs w:val="24"/>
          <w:lang w:val="en-US" w:eastAsia="zh-CN"/>
        </w:rPr>
      </w:pPr>
    </w:p>
    <w:p>
      <w:pPr>
        <w:pStyle w:val="9"/>
        <w:numPr>
          <w:ilvl w:val="0"/>
          <w:numId w:val="0"/>
        </w:numPr>
        <w:rPr>
          <w:rFonts w:hint="default" w:ascii="仿宋" w:hAnsi="仿宋" w:eastAsia="仿宋"/>
          <w:bCs/>
          <w:sz w:val="24"/>
          <w:szCs w:val="24"/>
          <w:lang w:val="en-US" w:eastAsia="zh-CN"/>
        </w:rPr>
      </w:pPr>
    </w:p>
    <w:p>
      <w:pPr>
        <w:pStyle w:val="3"/>
        <w:numPr>
          <w:ilvl w:val="0"/>
          <w:numId w:val="1"/>
        </w:numPr>
        <w:spacing w:before="240" w:after="120"/>
        <w:ind w:left="643" w:hanging="643" w:hangingChars="200"/>
        <w:jc w:val="center"/>
        <w:rPr>
          <w:rFonts w:hint="eastAsia" w:ascii="仿宋" w:hAnsi="仿宋" w:eastAsia="仿宋" w:cs="仿宋"/>
          <w:b/>
          <w:bCs/>
          <w:sz w:val="24"/>
          <w:szCs w:val="24"/>
          <w:lang w:val="en-US" w:eastAsia="zh-CN"/>
        </w:rPr>
      </w:pPr>
      <w:bookmarkStart w:id="0" w:name="_Toc494665546"/>
      <w:bookmarkStart w:id="1" w:name="_Toc494702263"/>
      <w:bookmarkStart w:id="2" w:name="_Toc494664993"/>
      <w:bookmarkStart w:id="3" w:name="_Toc494721093"/>
      <w:bookmarkStart w:id="4" w:name="_Toc5611"/>
      <w:bookmarkStart w:id="5" w:name="_Toc494665943"/>
      <w:bookmarkStart w:id="6" w:name="_Toc494745310"/>
      <w:r>
        <w:rPr>
          <w:rFonts w:hint="eastAsia" w:ascii="仿宋" w:hAnsi="仿宋" w:eastAsia="仿宋"/>
          <w:sz w:val="32"/>
          <w:szCs w:val="32"/>
          <w:lang w:eastAsia="zh-CN"/>
        </w:rPr>
        <w:t>框架协议文本</w:t>
      </w:r>
      <w:bookmarkEnd w:id="0"/>
      <w:bookmarkEnd w:id="1"/>
      <w:bookmarkEnd w:id="2"/>
      <w:bookmarkEnd w:id="3"/>
      <w:bookmarkEnd w:id="4"/>
      <w:bookmarkEnd w:id="5"/>
      <w:bookmarkEnd w:id="6"/>
    </w:p>
    <w:p>
      <w:pPr>
        <w:spacing w:line="440" w:lineRule="exact"/>
        <w:ind w:firstLine="482" w:firstLineChars="200"/>
        <w:jc w:val="left"/>
        <w:rPr>
          <w:rFonts w:hint="eastAsia" w:ascii="仿宋" w:hAnsi="仿宋" w:eastAsia="仿宋" w:cs="仿宋"/>
          <w:b/>
          <w:bCs/>
          <w:sz w:val="24"/>
          <w:szCs w:val="24"/>
          <w:lang w:val="en-US" w:eastAsia="zh-CN"/>
        </w:rPr>
      </w:pPr>
    </w:p>
    <w:p>
      <w:pPr>
        <w:spacing w:line="440" w:lineRule="exact"/>
        <w:ind w:firstLine="482" w:firstLineChars="200"/>
        <w:jc w:val="left"/>
        <w:rPr>
          <w:rFonts w:hint="default" w:ascii="仿宋" w:hAnsi="仿宋" w:eastAsia="仿宋" w:cs="仿宋"/>
          <w:b/>
          <w:bCs/>
          <w:sz w:val="24"/>
          <w:szCs w:val="24"/>
          <w:lang w:val="en-US" w:eastAsia="zh-CN"/>
        </w:rPr>
      </w:pPr>
      <w:r>
        <w:rPr>
          <w:rFonts w:hint="eastAsia" w:ascii="仿宋" w:hAnsi="仿宋" w:eastAsia="仿宋" w:cs="仿宋"/>
          <w:b/>
          <w:bCs/>
          <w:sz w:val="24"/>
          <w:szCs w:val="24"/>
          <w:lang w:val="en-US" w:eastAsia="zh-CN"/>
        </w:rPr>
        <w:t>框架协议采购项目名称：</w:t>
      </w:r>
    </w:p>
    <w:p>
      <w:pPr>
        <w:spacing w:line="440" w:lineRule="exact"/>
        <w:ind w:firstLine="482" w:firstLineChars="200"/>
        <w:jc w:val="left"/>
        <w:rPr>
          <w:rFonts w:hint="eastAsia" w:ascii="仿宋" w:hAnsi="仿宋" w:eastAsia="仿宋" w:cs="仿宋"/>
          <w:b/>
          <w:bCs/>
          <w:sz w:val="24"/>
          <w:szCs w:val="24"/>
          <w:lang w:val="zh-CN" w:eastAsia="zh-CN"/>
        </w:rPr>
      </w:pPr>
      <w:r>
        <w:rPr>
          <w:rFonts w:hint="eastAsia" w:ascii="仿宋" w:hAnsi="仿宋" w:eastAsia="仿宋" w:cs="仿宋"/>
          <w:b/>
          <w:bCs/>
          <w:sz w:val="24"/>
          <w:szCs w:val="24"/>
          <w:lang w:val="en-US" w:eastAsia="zh-CN"/>
        </w:rPr>
        <w:t>计划</w:t>
      </w:r>
      <w:r>
        <w:rPr>
          <w:rFonts w:hint="eastAsia" w:ascii="仿宋" w:hAnsi="仿宋" w:eastAsia="仿宋" w:cs="仿宋"/>
          <w:b/>
          <w:bCs/>
          <w:sz w:val="24"/>
          <w:szCs w:val="24"/>
          <w:lang w:val="zh-CN" w:eastAsia="zh-CN"/>
        </w:rPr>
        <w:t>编号：</w:t>
      </w:r>
    </w:p>
    <w:p>
      <w:pPr>
        <w:spacing w:line="440" w:lineRule="exact"/>
        <w:ind w:firstLine="482" w:firstLineChars="200"/>
        <w:jc w:val="left"/>
        <w:rPr>
          <w:rFonts w:hint="default" w:ascii="仿宋" w:hAnsi="仿宋" w:eastAsia="仿宋" w:cs="仿宋"/>
          <w:b/>
          <w:bCs/>
          <w:sz w:val="24"/>
          <w:szCs w:val="24"/>
          <w:lang w:val="en-US" w:eastAsia="zh-CN"/>
        </w:rPr>
      </w:pPr>
      <w:r>
        <w:rPr>
          <w:rFonts w:hint="eastAsia" w:ascii="仿宋" w:hAnsi="仿宋" w:eastAsia="仿宋" w:cs="仿宋"/>
          <w:b/>
          <w:bCs/>
          <w:sz w:val="24"/>
          <w:szCs w:val="24"/>
          <w:lang w:val="en-US" w:eastAsia="zh-CN"/>
        </w:rPr>
        <w:t>项目编号：</w:t>
      </w:r>
    </w:p>
    <w:p>
      <w:pPr>
        <w:spacing w:line="440" w:lineRule="exact"/>
        <w:ind w:firstLine="482" w:firstLineChars="200"/>
        <w:jc w:val="left"/>
        <w:rPr>
          <w:rFonts w:hint="eastAsia" w:ascii="仿宋" w:hAnsi="仿宋" w:eastAsia="仿宋" w:cs="仿宋"/>
          <w:b/>
          <w:bCs/>
          <w:sz w:val="24"/>
          <w:szCs w:val="24"/>
          <w:lang w:val="zh-CN" w:eastAsia="zh-CN"/>
        </w:rPr>
      </w:pPr>
    </w:p>
    <w:p>
      <w:pPr>
        <w:spacing w:line="440" w:lineRule="exact"/>
        <w:ind w:firstLine="482" w:firstLineChars="200"/>
        <w:jc w:val="left"/>
        <w:rPr>
          <w:rFonts w:hint="eastAsia" w:ascii="仿宋" w:hAnsi="仿宋" w:eastAsia="仿宋" w:cs="仿宋"/>
          <w:b/>
          <w:bCs/>
          <w:sz w:val="24"/>
          <w:szCs w:val="24"/>
          <w:lang w:val="zh-CN" w:eastAsia="zh-CN"/>
        </w:rPr>
      </w:pPr>
      <w:r>
        <w:rPr>
          <w:rFonts w:hint="eastAsia" w:ascii="仿宋" w:hAnsi="仿宋" w:eastAsia="仿宋" w:cs="仿宋"/>
          <w:b/>
          <w:bCs/>
          <w:sz w:val="24"/>
          <w:szCs w:val="24"/>
          <w:lang w:val="zh-CN" w:eastAsia="zh-CN"/>
        </w:rPr>
        <w:t>甲方（</w:t>
      </w:r>
      <w:r>
        <w:rPr>
          <w:rFonts w:hint="eastAsia" w:ascii="仿宋" w:hAnsi="仿宋" w:eastAsia="仿宋" w:cs="仿宋"/>
          <w:b/>
          <w:bCs/>
          <w:sz w:val="24"/>
          <w:szCs w:val="24"/>
          <w:lang w:val="en-US" w:eastAsia="zh-CN"/>
        </w:rPr>
        <w:t>集中采购代理机构</w:t>
      </w:r>
      <w:r>
        <w:rPr>
          <w:rFonts w:hint="eastAsia" w:ascii="仿宋" w:hAnsi="仿宋" w:eastAsia="仿宋" w:cs="仿宋"/>
          <w:b/>
          <w:bCs/>
          <w:sz w:val="24"/>
          <w:szCs w:val="24"/>
          <w:lang w:val="zh-CN" w:eastAsia="zh-CN"/>
        </w:rPr>
        <w:t>）：</w:t>
      </w:r>
    </w:p>
    <w:p>
      <w:pPr>
        <w:spacing w:line="440" w:lineRule="exact"/>
        <w:ind w:firstLine="482" w:firstLineChars="200"/>
        <w:jc w:val="left"/>
        <w:rPr>
          <w:rFonts w:hint="eastAsia" w:ascii="仿宋" w:hAnsi="仿宋" w:eastAsia="仿宋" w:cs="仿宋"/>
          <w:b/>
          <w:bCs/>
          <w:sz w:val="24"/>
          <w:szCs w:val="24"/>
          <w:lang w:val="zh-CN" w:eastAsia="zh-CN"/>
        </w:rPr>
      </w:pPr>
      <w:r>
        <w:rPr>
          <w:rFonts w:hint="eastAsia" w:ascii="仿宋" w:hAnsi="仿宋" w:eastAsia="仿宋" w:cs="仿宋"/>
          <w:b/>
          <w:bCs/>
          <w:sz w:val="24"/>
          <w:szCs w:val="24"/>
          <w:lang w:val="zh-CN" w:eastAsia="zh-CN"/>
        </w:rPr>
        <w:t>住所地：</w:t>
      </w:r>
    </w:p>
    <w:p>
      <w:pPr>
        <w:spacing w:line="440" w:lineRule="exact"/>
        <w:ind w:firstLine="482" w:firstLineChars="200"/>
        <w:jc w:val="left"/>
        <w:rPr>
          <w:rFonts w:hint="default" w:ascii="仿宋" w:hAnsi="仿宋" w:eastAsia="仿宋" w:cs="仿宋"/>
          <w:b/>
          <w:bCs/>
          <w:sz w:val="24"/>
          <w:szCs w:val="24"/>
          <w:lang w:val="en-US" w:eastAsia="zh-CN"/>
        </w:rPr>
      </w:pPr>
      <w:r>
        <w:rPr>
          <w:rFonts w:hint="eastAsia" w:ascii="仿宋" w:hAnsi="仿宋" w:eastAsia="仿宋" w:cs="仿宋"/>
          <w:b/>
          <w:bCs/>
          <w:sz w:val="24"/>
          <w:szCs w:val="24"/>
          <w:lang w:val="en-US" w:eastAsia="zh-CN"/>
        </w:rPr>
        <w:t>联系方式：</w:t>
      </w:r>
    </w:p>
    <w:p>
      <w:pPr>
        <w:spacing w:line="440" w:lineRule="exact"/>
        <w:ind w:firstLine="482" w:firstLineChars="200"/>
        <w:jc w:val="left"/>
        <w:rPr>
          <w:rFonts w:hint="eastAsia" w:ascii="仿宋" w:hAnsi="仿宋" w:eastAsia="仿宋" w:cs="仿宋"/>
          <w:b/>
          <w:bCs/>
          <w:sz w:val="24"/>
          <w:szCs w:val="24"/>
          <w:lang w:val="zh-CN" w:eastAsia="zh-CN"/>
        </w:rPr>
      </w:pPr>
      <w:r>
        <w:rPr>
          <w:rFonts w:hint="eastAsia" w:ascii="仿宋" w:hAnsi="仿宋" w:eastAsia="仿宋" w:cs="仿宋"/>
          <w:b/>
          <w:bCs/>
          <w:sz w:val="24"/>
          <w:szCs w:val="24"/>
          <w:lang w:val="zh-CN" w:eastAsia="zh-CN"/>
        </w:rPr>
        <w:t>乙方（</w:t>
      </w:r>
      <w:r>
        <w:rPr>
          <w:rFonts w:hint="eastAsia" w:ascii="仿宋" w:hAnsi="仿宋" w:eastAsia="仿宋" w:cs="仿宋"/>
          <w:b/>
          <w:bCs/>
          <w:sz w:val="24"/>
          <w:szCs w:val="24"/>
          <w:lang w:val="en-US" w:eastAsia="zh-CN"/>
        </w:rPr>
        <w:t>入围供应商</w:t>
      </w:r>
      <w:r>
        <w:rPr>
          <w:rFonts w:hint="eastAsia" w:ascii="仿宋" w:hAnsi="仿宋" w:eastAsia="仿宋" w:cs="仿宋"/>
          <w:b/>
          <w:bCs/>
          <w:sz w:val="24"/>
          <w:szCs w:val="24"/>
          <w:lang w:val="zh-CN" w:eastAsia="zh-CN"/>
        </w:rPr>
        <w:t>）：</w:t>
      </w:r>
    </w:p>
    <w:p>
      <w:pPr>
        <w:spacing w:line="440" w:lineRule="exact"/>
        <w:ind w:firstLine="482" w:firstLineChars="200"/>
        <w:jc w:val="left"/>
        <w:rPr>
          <w:rFonts w:hint="eastAsia" w:ascii="仿宋" w:hAnsi="仿宋" w:eastAsia="仿宋" w:cs="仿宋"/>
          <w:b/>
          <w:bCs/>
          <w:sz w:val="24"/>
          <w:szCs w:val="24"/>
          <w:lang w:val="zh-CN" w:eastAsia="zh-CN"/>
        </w:rPr>
      </w:pPr>
      <w:r>
        <w:rPr>
          <w:rFonts w:hint="eastAsia" w:ascii="仿宋" w:hAnsi="仿宋" w:eastAsia="仿宋" w:cs="仿宋"/>
          <w:b/>
          <w:bCs/>
          <w:sz w:val="24"/>
          <w:szCs w:val="24"/>
          <w:lang w:val="zh-CN" w:eastAsia="zh-CN"/>
        </w:rPr>
        <w:t>住所地：</w:t>
      </w:r>
    </w:p>
    <w:p>
      <w:pPr>
        <w:spacing w:line="440" w:lineRule="exact"/>
        <w:ind w:firstLine="482" w:firstLineChars="200"/>
        <w:jc w:val="left"/>
        <w:rPr>
          <w:rFonts w:hint="default" w:ascii="仿宋" w:hAnsi="仿宋" w:eastAsia="仿宋" w:cs="仿宋"/>
          <w:b/>
          <w:bCs/>
          <w:sz w:val="24"/>
          <w:szCs w:val="24"/>
          <w:lang w:val="en-US" w:eastAsia="zh-CN"/>
        </w:rPr>
      </w:pPr>
      <w:r>
        <w:rPr>
          <w:rFonts w:hint="eastAsia" w:ascii="仿宋" w:hAnsi="仿宋" w:eastAsia="仿宋" w:cs="仿宋"/>
          <w:b/>
          <w:bCs/>
          <w:sz w:val="24"/>
          <w:szCs w:val="24"/>
          <w:lang w:val="en-US" w:eastAsia="zh-CN"/>
        </w:rPr>
        <w:t>联系方式：</w:t>
      </w:r>
    </w:p>
    <w:p>
      <w:pPr>
        <w:rPr>
          <w:rFonts w:hint="eastAsia" w:ascii="仿宋" w:hAnsi="仿宋" w:eastAsia="仿宋" w:cs="仿宋"/>
          <w:sz w:val="24"/>
          <w:lang w:val="zh-CN"/>
        </w:rPr>
      </w:pPr>
      <w:r>
        <w:rPr>
          <w:rFonts w:hint="eastAsia" w:ascii="仿宋" w:hAnsi="仿宋" w:eastAsia="仿宋" w:cs="仿宋"/>
          <w:sz w:val="24"/>
          <w:lang w:val="zh-CN"/>
        </w:rPr>
        <w:br w:type="page"/>
      </w:r>
    </w:p>
    <w:p>
      <w:pPr>
        <w:ind w:firstLine="520"/>
        <w:rPr>
          <w:rStyle w:val="14"/>
          <w:rFonts w:hint="default" w:eastAsia="华文仿宋"/>
          <w:color w:val="auto"/>
          <w:sz w:val="24"/>
          <w:szCs w:val="24"/>
          <w:lang w:val="en-US" w:eastAsia="zh-CN"/>
        </w:rPr>
      </w:pPr>
      <w:r>
        <w:rPr>
          <w:rStyle w:val="14"/>
          <w:rFonts w:hint="default"/>
          <w:color w:val="auto"/>
          <w:sz w:val="24"/>
          <w:szCs w:val="24"/>
        </w:rPr>
        <w:t>根据《中华人民共和国政府采购法》、《</w:t>
      </w:r>
      <w:r>
        <w:rPr>
          <w:rStyle w:val="14"/>
          <w:rFonts w:hint="eastAsia" w:eastAsia="华文仿宋"/>
          <w:color w:val="auto"/>
          <w:sz w:val="24"/>
          <w:szCs w:val="24"/>
          <w:lang w:val="en-US" w:eastAsia="zh-CN"/>
        </w:rPr>
        <w:t>政府采购框架协议采购方式管理暂行办法</w:t>
      </w:r>
      <w:r>
        <w:rPr>
          <w:rStyle w:val="14"/>
          <w:rFonts w:hint="default"/>
          <w:color w:val="auto"/>
          <w:sz w:val="24"/>
          <w:szCs w:val="24"/>
        </w:rPr>
        <w:t>》《中华人民共和国</w:t>
      </w:r>
      <w:r>
        <w:rPr>
          <w:rStyle w:val="14"/>
          <w:rFonts w:hint="eastAsia" w:eastAsia="华文仿宋"/>
          <w:color w:val="auto"/>
          <w:sz w:val="24"/>
          <w:szCs w:val="24"/>
          <w:lang w:val="en-US" w:eastAsia="zh-CN"/>
        </w:rPr>
        <w:t>民法典</w:t>
      </w:r>
      <w:r>
        <w:rPr>
          <w:rStyle w:val="14"/>
          <w:rFonts w:hint="default"/>
          <w:color w:val="auto"/>
          <w:sz w:val="24"/>
          <w:szCs w:val="24"/>
        </w:rPr>
        <w:t>》等法律法规</w:t>
      </w:r>
      <w:r>
        <w:rPr>
          <w:rStyle w:val="14"/>
          <w:rFonts w:hint="eastAsia" w:eastAsia="华文仿宋"/>
          <w:color w:val="auto"/>
          <w:sz w:val="24"/>
          <w:szCs w:val="24"/>
          <w:lang w:val="en-US" w:eastAsia="zh-CN"/>
        </w:rPr>
        <w:t>规定</w:t>
      </w:r>
      <w:r>
        <w:rPr>
          <w:rStyle w:val="14"/>
          <w:rFonts w:hint="default"/>
          <w:color w:val="auto"/>
          <w:sz w:val="24"/>
          <w:szCs w:val="24"/>
        </w:rPr>
        <w:t>，</w:t>
      </w:r>
      <w:r>
        <w:rPr>
          <w:rStyle w:val="14"/>
          <w:rFonts w:hint="eastAsia" w:eastAsia="华文仿宋"/>
          <w:color w:val="auto"/>
          <w:sz w:val="24"/>
          <w:szCs w:val="24"/>
          <w:lang w:val="en-US" w:eastAsia="zh-CN"/>
        </w:rPr>
        <w:t>甲乙双方经平等协商就框架协议采购事项，订立本框架协议。</w:t>
      </w:r>
    </w:p>
    <w:p>
      <w:pPr>
        <w:pStyle w:val="4"/>
        <w:keepNext/>
        <w:keepLines/>
        <w:pageBreakBefore w:val="0"/>
        <w:widowControl w:val="0"/>
        <w:numPr>
          <w:ilvl w:val="0"/>
          <w:numId w:val="4"/>
        </w:numPr>
        <w:kinsoku/>
        <w:wordWrap/>
        <w:overflowPunct/>
        <w:topLinePunct w:val="0"/>
        <w:autoSpaceDE/>
        <w:autoSpaceDN/>
        <w:bidi w:val="0"/>
        <w:adjustRightInd/>
        <w:snapToGrid/>
        <w:spacing w:before="0" w:after="0" w:line="240" w:lineRule="auto"/>
        <w:textAlignment w:val="auto"/>
        <w:rPr>
          <w:rStyle w:val="14"/>
          <w:rFonts w:hint="eastAsia" w:eastAsia="华文仿宋"/>
          <w:color w:val="auto"/>
          <w:sz w:val="24"/>
          <w:szCs w:val="24"/>
          <w:lang w:val="en-US" w:eastAsia="zh-CN"/>
        </w:rPr>
      </w:pPr>
      <w:bookmarkStart w:id="7" w:name="_Toc4514"/>
      <w:bookmarkStart w:id="8" w:name="_Toc4981"/>
      <w:bookmarkStart w:id="9" w:name="_Toc11191"/>
      <w:r>
        <w:rPr>
          <w:rStyle w:val="14"/>
          <w:rFonts w:hint="eastAsia" w:eastAsia="华文仿宋"/>
          <w:color w:val="auto"/>
          <w:sz w:val="24"/>
          <w:szCs w:val="24"/>
          <w:lang w:val="en-US" w:eastAsia="zh-CN"/>
        </w:rPr>
        <w:t>定义</w:t>
      </w:r>
      <w:bookmarkEnd w:id="7"/>
    </w:p>
    <w:p>
      <w:pPr>
        <w:rPr>
          <w:rStyle w:val="14"/>
          <w:rFonts w:hint="default"/>
          <w:color w:val="auto"/>
          <w:sz w:val="24"/>
          <w:szCs w:val="24"/>
        </w:rPr>
      </w:pPr>
      <w:r>
        <w:rPr>
          <w:rStyle w:val="14"/>
          <w:rFonts w:hint="default"/>
          <w:color w:val="auto"/>
          <w:sz w:val="24"/>
          <w:szCs w:val="24"/>
        </w:rPr>
        <w:t>除非另有特别约定，在本协议以及与本协议有关的甲乙双方另行签订的其他文件中，下列词语按如下定义进行解释：</w:t>
      </w:r>
    </w:p>
    <w:p>
      <w:pPr>
        <w:numPr>
          <w:ilvl w:val="0"/>
          <w:numId w:val="5"/>
        </w:numPr>
        <w:rPr>
          <w:rFonts w:hint="default"/>
          <w:color w:val="auto"/>
        </w:rPr>
      </w:pPr>
      <w:r>
        <w:rPr>
          <w:rStyle w:val="14"/>
          <w:rFonts w:hint="default"/>
          <w:color w:val="auto"/>
          <w:sz w:val="24"/>
          <w:szCs w:val="24"/>
        </w:rPr>
        <w:t>“</w:t>
      </w:r>
      <w:r>
        <w:rPr>
          <w:rStyle w:val="14"/>
          <w:rFonts w:hint="eastAsia"/>
          <w:color w:val="auto"/>
          <w:sz w:val="24"/>
          <w:szCs w:val="24"/>
          <w:lang w:val="en-US" w:eastAsia="zh-CN"/>
        </w:rPr>
        <w:t>入围供应商</w:t>
      </w:r>
      <w:r>
        <w:rPr>
          <w:rStyle w:val="14"/>
          <w:rFonts w:hint="default"/>
          <w:color w:val="auto"/>
          <w:sz w:val="24"/>
          <w:szCs w:val="24"/>
        </w:rPr>
        <w:t>”是指</w:t>
      </w:r>
      <w:r>
        <w:rPr>
          <w:rStyle w:val="14"/>
          <w:rFonts w:hint="eastAsia" w:eastAsia="华文仿宋"/>
          <w:color w:val="auto"/>
          <w:sz w:val="24"/>
          <w:szCs w:val="24"/>
          <w:lang w:val="en-US" w:eastAsia="zh-CN"/>
        </w:rPr>
        <w:t>通过政府采购框架协议采购项目征集程序，合法取得订立本框架协议资格的供应商。</w:t>
      </w:r>
    </w:p>
    <w:p>
      <w:pPr>
        <w:rPr>
          <w:rStyle w:val="14"/>
          <w:rFonts w:hint="eastAsia"/>
          <w:color w:val="auto"/>
          <w:sz w:val="24"/>
          <w:szCs w:val="24"/>
          <w:lang w:eastAsia="zh-CN"/>
        </w:rPr>
      </w:pPr>
      <w:r>
        <w:rPr>
          <w:rStyle w:val="14"/>
          <w:rFonts w:hint="eastAsia"/>
          <w:color w:val="auto"/>
          <w:sz w:val="24"/>
          <w:szCs w:val="24"/>
          <w:lang w:val="en-US" w:eastAsia="zh-CN"/>
        </w:rPr>
        <w:t>2.</w:t>
      </w:r>
      <w:r>
        <w:rPr>
          <w:rStyle w:val="14"/>
          <w:rFonts w:hint="default"/>
          <w:color w:val="auto"/>
          <w:sz w:val="24"/>
          <w:szCs w:val="24"/>
        </w:rPr>
        <w:t>“</w:t>
      </w:r>
      <w:r>
        <w:rPr>
          <w:rStyle w:val="14"/>
          <w:rFonts w:hint="eastAsia"/>
          <w:color w:val="auto"/>
          <w:sz w:val="24"/>
          <w:szCs w:val="24"/>
          <w:lang w:val="en-US" w:eastAsia="zh-CN"/>
        </w:rPr>
        <w:t>最高限制单价</w:t>
      </w:r>
      <w:r>
        <w:rPr>
          <w:rStyle w:val="14"/>
          <w:rFonts w:hint="default"/>
          <w:color w:val="auto"/>
          <w:sz w:val="24"/>
          <w:szCs w:val="24"/>
        </w:rPr>
        <w:t>”是指</w:t>
      </w:r>
      <w:r>
        <w:rPr>
          <w:rStyle w:val="14"/>
          <w:rFonts w:hint="eastAsia"/>
          <w:color w:val="auto"/>
          <w:sz w:val="24"/>
          <w:szCs w:val="24"/>
        </w:rPr>
        <w:t>供应商第一阶段响应报价的最高限价。</w:t>
      </w:r>
    </w:p>
    <w:p>
      <w:pPr>
        <w:rPr>
          <w:rStyle w:val="14"/>
          <w:rFonts w:hint="default"/>
          <w:color w:val="auto"/>
          <w:sz w:val="24"/>
          <w:szCs w:val="24"/>
        </w:rPr>
      </w:pPr>
      <w:r>
        <w:rPr>
          <w:rStyle w:val="14"/>
          <w:rFonts w:hint="eastAsia"/>
          <w:color w:val="auto"/>
          <w:sz w:val="24"/>
          <w:szCs w:val="24"/>
          <w:lang w:val="en-US" w:eastAsia="zh-CN"/>
        </w:rPr>
        <w:t>3.</w:t>
      </w:r>
      <w:r>
        <w:rPr>
          <w:rStyle w:val="14"/>
          <w:rFonts w:hint="default"/>
          <w:color w:val="auto"/>
          <w:sz w:val="24"/>
          <w:szCs w:val="24"/>
        </w:rPr>
        <w:t>“</w:t>
      </w:r>
      <w:r>
        <w:rPr>
          <w:rStyle w:val="14"/>
          <w:rFonts w:hint="eastAsia"/>
          <w:color w:val="auto"/>
          <w:sz w:val="24"/>
          <w:szCs w:val="24"/>
          <w:lang w:val="en-US" w:eastAsia="zh-CN"/>
        </w:rPr>
        <w:t>协议价格</w:t>
      </w:r>
      <w:r>
        <w:rPr>
          <w:rStyle w:val="14"/>
          <w:rFonts w:hint="default"/>
          <w:color w:val="auto"/>
          <w:sz w:val="24"/>
          <w:szCs w:val="24"/>
        </w:rPr>
        <w:t>”是指</w:t>
      </w:r>
      <w:r>
        <w:rPr>
          <w:rStyle w:val="14"/>
          <w:rFonts w:hint="eastAsia"/>
          <w:color w:val="auto"/>
          <w:sz w:val="24"/>
          <w:szCs w:val="24"/>
        </w:rPr>
        <w:t>入围供应商第一阶段响应报价（有量价关系折扣的，包括量价关系折扣）</w:t>
      </w:r>
      <w:r>
        <w:rPr>
          <w:rStyle w:val="14"/>
          <w:rFonts w:hint="eastAsia"/>
          <w:color w:val="auto"/>
          <w:sz w:val="24"/>
          <w:szCs w:val="24"/>
          <w:lang w:eastAsia="zh-CN"/>
        </w:rPr>
        <w:t>。</w:t>
      </w:r>
      <w:r>
        <w:rPr>
          <w:rStyle w:val="14"/>
          <w:rFonts w:hint="eastAsia"/>
          <w:color w:val="auto"/>
          <w:sz w:val="24"/>
          <w:szCs w:val="24"/>
        </w:rPr>
        <w:t>是采购人确定第二阶段成交供应商的最高限价。</w:t>
      </w:r>
    </w:p>
    <w:p>
      <w:pPr>
        <w:rPr>
          <w:rStyle w:val="14"/>
          <w:rFonts w:hint="default"/>
          <w:color w:val="auto"/>
          <w:sz w:val="24"/>
          <w:szCs w:val="24"/>
        </w:rPr>
      </w:pPr>
      <w:r>
        <w:rPr>
          <w:rStyle w:val="14"/>
          <w:rFonts w:hint="eastAsia"/>
          <w:color w:val="auto"/>
          <w:sz w:val="24"/>
          <w:szCs w:val="24"/>
          <w:lang w:val="en-US" w:eastAsia="zh-CN"/>
        </w:rPr>
        <w:t>4.</w:t>
      </w:r>
      <w:r>
        <w:rPr>
          <w:rStyle w:val="14"/>
          <w:rFonts w:hint="default"/>
          <w:color w:val="auto"/>
          <w:sz w:val="24"/>
          <w:szCs w:val="24"/>
        </w:rPr>
        <w:t>“附件”是指与本协议的订立、履行有关的，经甲乙双方认可的，对本协议约定的内容进行细化、补充、修改、变更的文件、图纸、音像制品等资料，包括本项目</w:t>
      </w:r>
      <w:r>
        <w:rPr>
          <w:rStyle w:val="14"/>
          <w:rFonts w:hint="eastAsia"/>
          <w:color w:val="auto"/>
          <w:sz w:val="24"/>
          <w:szCs w:val="24"/>
          <w:lang w:val="en-US" w:eastAsia="zh-CN"/>
        </w:rPr>
        <w:t>征集</w:t>
      </w:r>
      <w:r>
        <w:rPr>
          <w:rStyle w:val="14"/>
          <w:rFonts w:hint="default"/>
          <w:color w:val="auto"/>
          <w:sz w:val="24"/>
          <w:szCs w:val="24"/>
        </w:rPr>
        <w:t>文件、乙方</w:t>
      </w:r>
      <w:r>
        <w:rPr>
          <w:rStyle w:val="14"/>
          <w:rFonts w:hint="eastAsia"/>
          <w:color w:val="auto"/>
          <w:sz w:val="24"/>
          <w:szCs w:val="24"/>
          <w:lang w:val="en-US" w:eastAsia="zh-CN"/>
        </w:rPr>
        <w:t>响应</w:t>
      </w:r>
      <w:r>
        <w:rPr>
          <w:rStyle w:val="14"/>
          <w:rFonts w:hint="default"/>
          <w:color w:val="auto"/>
          <w:sz w:val="24"/>
          <w:szCs w:val="24"/>
        </w:rPr>
        <w:t>文件。</w:t>
      </w:r>
    </w:p>
    <w:p>
      <w:pPr>
        <w:pStyle w:val="4"/>
        <w:keepNext/>
        <w:keepLines/>
        <w:pageBreakBefore w:val="0"/>
        <w:widowControl w:val="0"/>
        <w:numPr>
          <w:ilvl w:val="0"/>
          <w:numId w:val="4"/>
        </w:numPr>
        <w:kinsoku/>
        <w:wordWrap/>
        <w:overflowPunct/>
        <w:topLinePunct w:val="0"/>
        <w:autoSpaceDE/>
        <w:autoSpaceDN/>
        <w:bidi w:val="0"/>
        <w:adjustRightInd/>
        <w:snapToGrid/>
        <w:spacing w:before="0" w:after="0" w:line="240" w:lineRule="auto"/>
        <w:textAlignment w:val="auto"/>
        <w:rPr>
          <w:rStyle w:val="14"/>
          <w:rFonts w:hint="default" w:eastAsia="华文仿宋" w:cs="Times New Roman"/>
          <w:color w:val="auto"/>
          <w:sz w:val="24"/>
          <w:szCs w:val="24"/>
          <w:lang w:val="en-US" w:eastAsia="zh-CN"/>
        </w:rPr>
      </w:pPr>
      <w:bookmarkStart w:id="10" w:name="_Toc9239"/>
      <w:r>
        <w:rPr>
          <w:rStyle w:val="14"/>
          <w:rFonts w:hint="eastAsia" w:eastAsia="华文仿宋" w:cs="Times New Roman"/>
          <w:color w:val="auto"/>
          <w:sz w:val="24"/>
          <w:szCs w:val="24"/>
          <w:lang w:val="en-US" w:eastAsia="zh-CN"/>
        </w:rPr>
        <w:t>采购需求</w:t>
      </w:r>
      <w:bookmarkEnd w:id="10"/>
    </w:p>
    <w:p>
      <w:pPr>
        <w:rPr>
          <w:rStyle w:val="14"/>
          <w:rFonts w:hint="eastAsia"/>
          <w:color w:val="auto"/>
          <w:sz w:val="24"/>
          <w:szCs w:val="24"/>
          <w:lang w:val="en-US" w:eastAsia="zh-CN"/>
        </w:rPr>
      </w:pPr>
      <w:r>
        <w:rPr>
          <w:rStyle w:val="14"/>
          <w:rFonts w:hint="eastAsia"/>
          <w:color w:val="auto"/>
          <w:sz w:val="24"/>
          <w:szCs w:val="24"/>
          <w:lang w:val="en-US" w:eastAsia="zh-CN"/>
        </w:rPr>
        <w:t>（一）采购需求（详见征集文件）</w:t>
      </w:r>
    </w:p>
    <w:p>
      <w:pPr>
        <w:rPr>
          <w:rStyle w:val="14"/>
          <w:rFonts w:hint="default"/>
          <w:color w:val="auto"/>
          <w:sz w:val="24"/>
          <w:szCs w:val="24"/>
          <w:lang w:val="en-US" w:eastAsia="zh-CN"/>
        </w:rPr>
      </w:pPr>
      <w:r>
        <w:rPr>
          <w:rStyle w:val="14"/>
          <w:rFonts w:hint="eastAsia"/>
          <w:color w:val="auto"/>
          <w:sz w:val="24"/>
          <w:szCs w:val="24"/>
          <w:lang w:val="en-US" w:eastAsia="zh-CN"/>
        </w:rPr>
        <w:t>（二）最高限制单价（详见征集文件）</w:t>
      </w:r>
    </w:p>
    <w:p>
      <w:pPr>
        <w:rPr>
          <w:rStyle w:val="14"/>
          <w:rFonts w:hint="default"/>
          <w:color w:val="auto"/>
          <w:sz w:val="24"/>
          <w:szCs w:val="24"/>
          <w:lang w:val="en-US" w:eastAsia="zh-CN"/>
        </w:rPr>
      </w:pPr>
      <w:r>
        <w:rPr>
          <w:rStyle w:val="14"/>
          <w:rFonts w:hint="eastAsia"/>
          <w:color w:val="auto"/>
          <w:sz w:val="24"/>
          <w:szCs w:val="24"/>
          <w:lang w:val="en-US" w:eastAsia="zh-CN"/>
        </w:rPr>
        <w:t>（三）入围产品技术规格\服务内容、服务标准（详见乙方的响应文件）</w:t>
      </w:r>
    </w:p>
    <w:p>
      <w:pPr>
        <w:rPr>
          <w:rStyle w:val="14"/>
          <w:rFonts w:hint="default"/>
          <w:color w:val="auto"/>
          <w:sz w:val="24"/>
          <w:szCs w:val="24"/>
          <w:lang w:val="en-US" w:eastAsia="zh-CN"/>
        </w:rPr>
      </w:pPr>
      <w:r>
        <w:rPr>
          <w:rStyle w:val="14"/>
          <w:rFonts w:hint="eastAsia"/>
          <w:color w:val="auto"/>
          <w:sz w:val="24"/>
          <w:szCs w:val="24"/>
          <w:lang w:val="en-US" w:eastAsia="zh-CN"/>
        </w:rPr>
        <w:t>（四）</w:t>
      </w:r>
      <w:r>
        <w:rPr>
          <w:rStyle w:val="14"/>
          <w:rFonts w:hint="default"/>
          <w:color w:val="auto"/>
          <w:sz w:val="24"/>
          <w:szCs w:val="24"/>
          <w:lang w:val="en-US" w:eastAsia="zh-CN"/>
        </w:rPr>
        <w:t>协议价格（详见征集文件以及乙方的响应文件）</w:t>
      </w:r>
    </w:p>
    <w:bookmarkEnd w:id="8"/>
    <w:bookmarkEnd w:id="9"/>
    <w:p>
      <w:pPr>
        <w:pStyle w:val="4"/>
        <w:numPr>
          <w:ilvl w:val="0"/>
          <w:numId w:val="4"/>
        </w:numPr>
        <w:spacing w:before="0" w:after="0"/>
        <w:rPr>
          <w:rStyle w:val="14"/>
          <w:rFonts w:hint="eastAsia" w:eastAsia="华文仿宋" w:cs="Times New Roman"/>
          <w:color w:val="auto"/>
          <w:sz w:val="24"/>
          <w:szCs w:val="24"/>
          <w:lang w:val="en-US" w:eastAsia="zh-CN"/>
        </w:rPr>
      </w:pPr>
      <w:bookmarkStart w:id="11" w:name="_Toc30106"/>
      <w:r>
        <w:rPr>
          <w:rStyle w:val="14"/>
          <w:rFonts w:hint="eastAsia" w:eastAsia="华文仿宋" w:cs="Times New Roman"/>
          <w:color w:val="auto"/>
          <w:sz w:val="24"/>
          <w:szCs w:val="24"/>
          <w:lang w:val="en-US" w:eastAsia="zh-CN"/>
        </w:rPr>
        <w:t>入围产品升级换代</w:t>
      </w:r>
      <w:bookmarkEnd w:id="11"/>
    </w:p>
    <w:p>
      <w:pPr>
        <w:rPr>
          <w:rStyle w:val="14"/>
          <w:rFonts w:hint="eastAsia"/>
          <w:color w:val="auto"/>
          <w:sz w:val="24"/>
          <w:szCs w:val="24"/>
          <w:lang w:val="en-US" w:eastAsia="zh-CN"/>
        </w:rPr>
      </w:pPr>
      <w:r>
        <w:rPr>
          <w:rStyle w:val="14"/>
          <w:rFonts w:hint="eastAsia"/>
          <w:color w:val="auto"/>
          <w:sz w:val="24"/>
          <w:szCs w:val="24"/>
          <w:lang w:eastAsia="zh-CN"/>
        </w:rPr>
        <w:t>在框架协议期内，入围供应商可以按程序对已入围产品进行升级替换，</w:t>
      </w:r>
      <w:r>
        <w:rPr>
          <w:rStyle w:val="14"/>
          <w:rFonts w:hint="eastAsia"/>
          <w:color w:val="auto"/>
          <w:sz w:val="24"/>
          <w:szCs w:val="24"/>
          <w:lang w:val="en-US" w:eastAsia="zh-CN"/>
        </w:rPr>
        <w:t>需保证新产品的质量不得低于旧产品、价格不得高于旧产品。供应商应提供新旧产品参数配置、市场价格、服务标准等信息对比表。</w:t>
      </w:r>
    </w:p>
    <w:p>
      <w:pPr>
        <w:pStyle w:val="4"/>
        <w:numPr>
          <w:ilvl w:val="0"/>
          <w:numId w:val="4"/>
        </w:numPr>
        <w:spacing w:before="0" w:after="0"/>
        <w:rPr>
          <w:rStyle w:val="14"/>
          <w:rFonts w:hint="eastAsia" w:eastAsia="华文仿宋" w:cs="Times New Roman"/>
          <w:color w:val="auto"/>
          <w:sz w:val="24"/>
          <w:szCs w:val="24"/>
          <w:lang w:val="en-US" w:eastAsia="zh-CN"/>
        </w:rPr>
      </w:pPr>
      <w:bookmarkStart w:id="12" w:name="_Toc22881"/>
      <w:r>
        <w:rPr>
          <w:rStyle w:val="14"/>
          <w:rFonts w:hint="eastAsia" w:eastAsia="华文仿宋" w:cs="Times New Roman"/>
          <w:color w:val="auto"/>
          <w:sz w:val="24"/>
          <w:szCs w:val="24"/>
          <w:lang w:val="en-US" w:eastAsia="zh-CN"/>
        </w:rPr>
        <w:t>确定第二阶段成交供应商</w:t>
      </w:r>
      <w:bookmarkEnd w:id="12"/>
    </w:p>
    <w:p>
      <w:pPr>
        <w:numPr>
          <w:ilvl w:val="0"/>
          <w:numId w:val="6"/>
        </w:numPr>
        <w:rPr>
          <w:rStyle w:val="14"/>
          <w:rFonts w:hint="default"/>
          <w:color w:val="auto"/>
          <w:sz w:val="24"/>
          <w:szCs w:val="24"/>
          <w:lang w:val="en-US" w:eastAsia="zh-CN"/>
        </w:rPr>
      </w:pPr>
      <w:r>
        <w:rPr>
          <w:rStyle w:val="14"/>
          <w:rFonts w:hint="default"/>
          <w:color w:val="auto"/>
          <w:sz w:val="24"/>
          <w:szCs w:val="24"/>
          <w:lang w:val="en-US" w:eastAsia="zh-CN"/>
        </w:rPr>
        <w:t>确定第二阶段成交供应商的方式为直接选定。由采购人或者服务对象依据入围产品价格、质量以及服务便利性、用户评价等因素，从第一阶段入围供应商中直接选定。第一阶段入围供应商的协议价格（有量价关系折扣的，包括量价关系折扣，以下统称协议价格）是采购人确定第二阶段成交供应商的最高限价。</w:t>
      </w:r>
    </w:p>
    <w:p>
      <w:pPr>
        <w:numPr>
          <w:ilvl w:val="0"/>
          <w:numId w:val="6"/>
        </w:numPr>
        <w:rPr>
          <w:rStyle w:val="14"/>
          <w:rFonts w:hint="default"/>
          <w:color w:val="auto"/>
          <w:sz w:val="24"/>
          <w:szCs w:val="24"/>
          <w:lang w:val="en-US" w:eastAsia="zh-CN"/>
        </w:rPr>
      </w:pPr>
      <w:r>
        <w:rPr>
          <w:rStyle w:val="14"/>
          <w:rFonts w:hint="default"/>
          <w:color w:val="auto"/>
          <w:sz w:val="24"/>
          <w:szCs w:val="24"/>
          <w:lang w:val="en-US" w:eastAsia="zh-CN"/>
        </w:rPr>
        <w:t>采购人在确定成交供应商后，双方应当按照框架协议中规定的“采购合同文本”格式签订电子采购合同，不得擅自改变框架协议约定的合同实质性条款。</w:t>
      </w:r>
    </w:p>
    <w:p>
      <w:pPr>
        <w:pStyle w:val="4"/>
        <w:numPr>
          <w:ilvl w:val="0"/>
          <w:numId w:val="4"/>
        </w:numPr>
        <w:spacing w:before="0" w:after="0"/>
        <w:rPr>
          <w:rStyle w:val="14"/>
          <w:rFonts w:hint="default" w:eastAsia="华文仿宋" w:cs="Times New Roman"/>
          <w:color w:val="auto"/>
          <w:sz w:val="24"/>
          <w:szCs w:val="24"/>
          <w:lang w:val="en-US" w:eastAsia="zh-CN"/>
        </w:rPr>
      </w:pPr>
      <w:bookmarkStart w:id="13" w:name="_Toc3147"/>
      <w:r>
        <w:rPr>
          <w:rStyle w:val="14"/>
          <w:rFonts w:hint="eastAsia" w:eastAsia="华文仿宋" w:cs="Times New Roman"/>
          <w:color w:val="auto"/>
          <w:sz w:val="24"/>
          <w:szCs w:val="24"/>
          <w:lang w:val="en-US" w:eastAsia="zh-CN"/>
        </w:rPr>
        <w:t>支付</w:t>
      </w:r>
      <w:bookmarkEnd w:id="13"/>
    </w:p>
    <w:p>
      <w:pPr>
        <w:pStyle w:val="7"/>
        <w:rPr>
          <w:rFonts w:hint="default"/>
          <w:color w:val="auto"/>
          <w:highlight w:val="none"/>
          <w:lang w:val="en-US" w:eastAsia="zh-CN"/>
        </w:rPr>
      </w:pPr>
      <w:r>
        <w:rPr>
          <w:rStyle w:val="14"/>
          <w:rFonts w:hint="eastAsia"/>
          <w:color w:val="auto"/>
          <w:sz w:val="24"/>
          <w:szCs w:val="24"/>
          <w:highlight w:val="none"/>
          <w:lang w:val="en-US" w:eastAsia="zh-CN"/>
        </w:rPr>
        <w:t>详见征集文件</w:t>
      </w:r>
    </w:p>
    <w:p>
      <w:pPr>
        <w:pStyle w:val="4"/>
        <w:numPr>
          <w:ilvl w:val="0"/>
          <w:numId w:val="4"/>
        </w:numPr>
        <w:spacing w:before="0" w:after="0"/>
        <w:rPr>
          <w:rStyle w:val="14"/>
          <w:rFonts w:hint="eastAsia" w:eastAsia="华文仿宋" w:cs="Times New Roman"/>
          <w:color w:val="auto"/>
          <w:sz w:val="24"/>
          <w:szCs w:val="24"/>
          <w:lang w:val="en-US" w:eastAsia="zh-CN"/>
        </w:rPr>
      </w:pPr>
      <w:bookmarkStart w:id="14" w:name="_Toc25407"/>
      <w:r>
        <w:rPr>
          <w:rStyle w:val="14"/>
          <w:rFonts w:hint="eastAsia" w:eastAsia="华文仿宋" w:cs="Times New Roman"/>
          <w:color w:val="auto"/>
          <w:sz w:val="24"/>
          <w:szCs w:val="24"/>
          <w:lang w:val="en-US" w:eastAsia="zh-CN"/>
        </w:rPr>
        <w:t>入围供应商的清退和补充</w:t>
      </w:r>
      <w:bookmarkEnd w:id="14"/>
    </w:p>
    <w:p>
      <w:pPr>
        <w:rPr>
          <w:rStyle w:val="14"/>
          <w:rFonts w:hint="default"/>
          <w:b/>
          <w:bCs/>
          <w:color w:val="auto"/>
          <w:sz w:val="24"/>
          <w:szCs w:val="24"/>
          <w:lang w:val="en-US" w:eastAsia="zh-CN"/>
        </w:rPr>
      </w:pPr>
      <w:r>
        <w:rPr>
          <w:rStyle w:val="14"/>
          <w:rFonts w:hint="eastAsia"/>
          <w:b/>
          <w:bCs/>
          <w:color w:val="auto"/>
          <w:sz w:val="24"/>
          <w:szCs w:val="24"/>
          <w:lang w:val="en-US" w:eastAsia="zh-CN"/>
        </w:rPr>
        <w:t>（一）入围供应商的清退</w:t>
      </w:r>
    </w:p>
    <w:p>
      <w:pPr>
        <w:rPr>
          <w:rStyle w:val="14"/>
          <w:rFonts w:hint="eastAsia"/>
          <w:color w:val="auto"/>
          <w:sz w:val="24"/>
          <w:szCs w:val="24"/>
          <w:lang w:val="en-US" w:eastAsia="zh-CN"/>
        </w:rPr>
      </w:pPr>
      <w:r>
        <w:rPr>
          <w:rStyle w:val="14"/>
          <w:rFonts w:hint="eastAsia"/>
          <w:b/>
          <w:bCs/>
          <w:color w:val="auto"/>
          <w:sz w:val="24"/>
          <w:szCs w:val="24"/>
          <w:lang w:val="en-US" w:eastAsia="zh-CN"/>
        </w:rPr>
        <w:t>1.依法清退。</w:t>
      </w:r>
      <w:r>
        <w:rPr>
          <w:rStyle w:val="14"/>
          <w:rFonts w:hint="eastAsia"/>
          <w:color w:val="auto"/>
          <w:sz w:val="24"/>
          <w:szCs w:val="24"/>
          <w:lang w:val="en-US" w:eastAsia="zh-CN"/>
        </w:rPr>
        <w:t>入围供应商有下列情形之一，尚未签订框架协议的，取消其入围资格;已经签订框架协议的，解除与其签订的框架协议：</w:t>
      </w:r>
    </w:p>
    <w:p>
      <w:pPr>
        <w:rPr>
          <w:rStyle w:val="14"/>
          <w:rFonts w:hint="eastAsia"/>
          <w:color w:val="auto"/>
          <w:sz w:val="24"/>
          <w:szCs w:val="24"/>
          <w:lang w:val="en-US" w:eastAsia="zh-CN"/>
        </w:rPr>
      </w:pPr>
      <w:r>
        <w:rPr>
          <w:rStyle w:val="14"/>
          <w:rFonts w:hint="eastAsia"/>
          <w:color w:val="auto"/>
          <w:sz w:val="24"/>
          <w:szCs w:val="24"/>
          <w:lang w:val="en-US" w:eastAsia="zh-CN"/>
        </w:rPr>
        <w:t>（1）恶意串通谋取入围或者合同成交的；</w:t>
      </w:r>
    </w:p>
    <w:p>
      <w:pPr>
        <w:rPr>
          <w:rStyle w:val="14"/>
          <w:rFonts w:hint="eastAsia"/>
          <w:color w:val="auto"/>
          <w:sz w:val="24"/>
          <w:szCs w:val="24"/>
          <w:lang w:val="en-US" w:eastAsia="zh-CN"/>
        </w:rPr>
      </w:pPr>
      <w:r>
        <w:rPr>
          <w:rStyle w:val="14"/>
          <w:rFonts w:hint="eastAsia"/>
          <w:color w:val="auto"/>
          <w:sz w:val="24"/>
          <w:szCs w:val="24"/>
          <w:lang w:val="en-US" w:eastAsia="zh-CN"/>
        </w:rPr>
        <w:t>（2）提供虚假材料谋取入围或者合同成交的；</w:t>
      </w:r>
    </w:p>
    <w:p>
      <w:pPr>
        <w:rPr>
          <w:rStyle w:val="14"/>
          <w:rFonts w:hint="eastAsia"/>
          <w:color w:val="auto"/>
          <w:sz w:val="24"/>
          <w:szCs w:val="24"/>
          <w:lang w:val="en-US" w:eastAsia="zh-CN"/>
        </w:rPr>
      </w:pPr>
      <w:r>
        <w:rPr>
          <w:rStyle w:val="14"/>
          <w:rFonts w:hint="eastAsia"/>
          <w:color w:val="auto"/>
          <w:sz w:val="24"/>
          <w:szCs w:val="24"/>
          <w:lang w:val="en-US" w:eastAsia="zh-CN"/>
        </w:rPr>
        <w:t>（3）无正当理由拒不接受合同授予的；</w:t>
      </w:r>
    </w:p>
    <w:p>
      <w:pPr>
        <w:rPr>
          <w:rStyle w:val="14"/>
          <w:rFonts w:hint="eastAsia"/>
          <w:color w:val="auto"/>
          <w:sz w:val="24"/>
          <w:szCs w:val="24"/>
          <w:lang w:val="en-US" w:eastAsia="zh-CN"/>
        </w:rPr>
      </w:pPr>
      <w:r>
        <w:rPr>
          <w:rStyle w:val="14"/>
          <w:rFonts w:hint="eastAsia"/>
          <w:color w:val="auto"/>
          <w:sz w:val="24"/>
          <w:szCs w:val="24"/>
          <w:lang w:val="en-US" w:eastAsia="zh-CN"/>
        </w:rPr>
        <w:t>（4）不履行合同义务或者履行合同义务不符合约定，经采购人请求履行后仍不履行或者仍未按约定履行的；</w:t>
      </w:r>
    </w:p>
    <w:p>
      <w:pPr>
        <w:rPr>
          <w:rStyle w:val="14"/>
          <w:rFonts w:hint="eastAsia"/>
          <w:color w:val="auto"/>
          <w:sz w:val="24"/>
          <w:szCs w:val="24"/>
          <w:lang w:val="en-US" w:eastAsia="zh-CN"/>
        </w:rPr>
      </w:pPr>
      <w:r>
        <w:rPr>
          <w:rStyle w:val="14"/>
          <w:rFonts w:hint="eastAsia"/>
          <w:color w:val="auto"/>
          <w:sz w:val="24"/>
          <w:szCs w:val="24"/>
          <w:lang w:val="en-US" w:eastAsia="zh-CN"/>
        </w:rPr>
        <w:t>（5）框架协议有效期内，因违法行为被禁止或限制参加政府采购活动的；</w:t>
      </w:r>
    </w:p>
    <w:p>
      <w:pPr>
        <w:rPr>
          <w:rStyle w:val="14"/>
          <w:rFonts w:hint="default"/>
          <w:color w:val="auto"/>
          <w:sz w:val="24"/>
          <w:szCs w:val="24"/>
          <w:lang w:val="en-US" w:eastAsia="zh-CN"/>
        </w:rPr>
      </w:pPr>
      <w:r>
        <w:rPr>
          <w:rStyle w:val="14"/>
          <w:rFonts w:hint="eastAsia"/>
          <w:b/>
          <w:bCs/>
          <w:color w:val="auto"/>
          <w:sz w:val="24"/>
          <w:szCs w:val="24"/>
          <w:lang w:val="en-US" w:eastAsia="zh-CN"/>
        </w:rPr>
        <w:t>2.依协议清退。</w:t>
      </w:r>
      <w:r>
        <w:rPr>
          <w:rStyle w:val="14"/>
          <w:rFonts w:hint="eastAsia"/>
          <w:color w:val="auto"/>
          <w:sz w:val="24"/>
          <w:szCs w:val="24"/>
          <w:lang w:val="en-US" w:eastAsia="zh-CN"/>
        </w:rPr>
        <w:t>入围供应商有以下情形之一的，甲方有权取消其入围资格：</w:t>
      </w:r>
    </w:p>
    <w:p>
      <w:pPr>
        <w:rPr>
          <w:rStyle w:val="14"/>
          <w:rFonts w:hint="eastAsia"/>
          <w:color w:val="auto"/>
          <w:sz w:val="24"/>
          <w:szCs w:val="24"/>
          <w:lang w:val="en-US" w:eastAsia="zh-CN"/>
        </w:rPr>
      </w:pPr>
      <w:r>
        <w:rPr>
          <w:rStyle w:val="14"/>
          <w:rFonts w:hint="eastAsia"/>
          <w:color w:val="auto"/>
          <w:sz w:val="24"/>
          <w:szCs w:val="24"/>
          <w:lang w:val="en-US" w:eastAsia="zh-CN"/>
        </w:rPr>
        <w:t>（1）在协议有效期内，乙方不再满足征集公告要求的；</w:t>
      </w:r>
    </w:p>
    <w:p>
      <w:pPr>
        <w:rPr>
          <w:rStyle w:val="14"/>
          <w:rFonts w:hint="eastAsia"/>
          <w:color w:val="auto"/>
          <w:sz w:val="24"/>
          <w:szCs w:val="24"/>
          <w:lang w:val="en-US" w:eastAsia="zh-CN"/>
        </w:rPr>
      </w:pPr>
      <w:r>
        <w:rPr>
          <w:rStyle w:val="14"/>
          <w:rFonts w:hint="eastAsia"/>
          <w:color w:val="auto"/>
          <w:sz w:val="24"/>
          <w:szCs w:val="24"/>
          <w:lang w:val="en-US" w:eastAsia="zh-CN"/>
        </w:rPr>
        <w:t>（2）乙方拒绝接受甲方检查或提供虚假资料的；</w:t>
      </w:r>
    </w:p>
    <w:p>
      <w:pPr>
        <w:rPr>
          <w:rStyle w:val="14"/>
          <w:rFonts w:hint="eastAsia"/>
          <w:color w:val="auto"/>
          <w:sz w:val="24"/>
          <w:szCs w:val="24"/>
          <w:lang w:val="en-US" w:eastAsia="zh-CN"/>
        </w:rPr>
      </w:pPr>
      <w:r>
        <w:rPr>
          <w:rStyle w:val="14"/>
          <w:rFonts w:hint="eastAsia"/>
          <w:color w:val="auto"/>
          <w:sz w:val="24"/>
          <w:szCs w:val="24"/>
          <w:lang w:val="en-US" w:eastAsia="zh-CN"/>
        </w:rPr>
        <w:t>（3）在履约情况检查过程中，发现乙方违反本协议的；</w:t>
      </w:r>
    </w:p>
    <w:p>
      <w:pPr>
        <w:rPr>
          <w:rStyle w:val="14"/>
          <w:rFonts w:hint="eastAsia"/>
          <w:color w:val="auto"/>
          <w:sz w:val="24"/>
          <w:szCs w:val="24"/>
          <w:lang w:val="en-US" w:eastAsia="zh-CN"/>
        </w:rPr>
      </w:pPr>
      <w:r>
        <w:rPr>
          <w:rStyle w:val="14"/>
          <w:rFonts w:hint="eastAsia"/>
          <w:color w:val="auto"/>
          <w:sz w:val="24"/>
          <w:szCs w:val="24"/>
          <w:lang w:val="en-US" w:eastAsia="zh-CN"/>
        </w:rPr>
        <w:t>（4）订立采购合同后，乙方因自身原因故意拖延或拒绝签订合同或签订合同后故意拖延或拒绝履约的；</w:t>
      </w:r>
    </w:p>
    <w:p>
      <w:pPr>
        <w:rPr>
          <w:rStyle w:val="14"/>
          <w:rFonts w:hint="eastAsia"/>
          <w:color w:val="auto"/>
          <w:sz w:val="24"/>
          <w:szCs w:val="24"/>
          <w:lang w:val="en-US" w:eastAsia="zh-CN"/>
        </w:rPr>
      </w:pPr>
      <w:r>
        <w:rPr>
          <w:rStyle w:val="14"/>
          <w:rFonts w:hint="eastAsia"/>
          <w:color w:val="auto"/>
          <w:sz w:val="24"/>
          <w:szCs w:val="24"/>
          <w:lang w:val="en-US" w:eastAsia="zh-CN"/>
        </w:rPr>
        <w:t>（5）乙方严重违反本协议，在甲方通知其纠正的限期内未能纠正的；</w:t>
      </w:r>
    </w:p>
    <w:p>
      <w:pPr>
        <w:rPr>
          <w:rStyle w:val="14"/>
          <w:rFonts w:hint="eastAsia"/>
          <w:color w:val="auto"/>
          <w:sz w:val="24"/>
          <w:szCs w:val="24"/>
          <w:lang w:val="en-US" w:eastAsia="zh-CN"/>
        </w:rPr>
      </w:pPr>
      <w:r>
        <w:rPr>
          <w:rStyle w:val="14"/>
          <w:rFonts w:hint="eastAsia"/>
          <w:color w:val="auto"/>
          <w:sz w:val="24"/>
          <w:szCs w:val="24"/>
          <w:lang w:val="en-US" w:eastAsia="zh-CN"/>
        </w:rPr>
        <w:t>（6）乙方采用不正当竞争手段谋取采购合同订立的；</w:t>
      </w:r>
    </w:p>
    <w:p>
      <w:pPr>
        <w:rPr>
          <w:rStyle w:val="14"/>
          <w:rFonts w:hint="eastAsia"/>
          <w:color w:val="auto"/>
          <w:sz w:val="24"/>
          <w:szCs w:val="24"/>
          <w:lang w:val="en-US" w:eastAsia="zh-CN"/>
        </w:rPr>
      </w:pPr>
      <w:r>
        <w:rPr>
          <w:rStyle w:val="14"/>
          <w:rFonts w:hint="eastAsia"/>
          <w:color w:val="auto"/>
          <w:sz w:val="24"/>
          <w:szCs w:val="24"/>
          <w:lang w:val="en-US" w:eastAsia="zh-CN"/>
        </w:rPr>
        <w:t>（7）乙方向甲方或采购人有关工作人员行贿或提供其它不正当利益的；</w:t>
      </w:r>
    </w:p>
    <w:p>
      <w:pPr>
        <w:rPr>
          <w:rStyle w:val="14"/>
          <w:rFonts w:hint="eastAsia"/>
          <w:color w:val="auto"/>
          <w:sz w:val="24"/>
          <w:szCs w:val="24"/>
          <w:lang w:val="en-US" w:eastAsia="zh-CN"/>
        </w:rPr>
      </w:pPr>
      <w:r>
        <w:rPr>
          <w:rStyle w:val="14"/>
          <w:rFonts w:hint="eastAsia"/>
          <w:color w:val="auto"/>
          <w:sz w:val="24"/>
          <w:szCs w:val="24"/>
          <w:lang w:val="en-US" w:eastAsia="zh-CN"/>
        </w:rPr>
        <w:t>（8）因乙方原因影响本协议无法履行或终止的；</w:t>
      </w:r>
    </w:p>
    <w:p>
      <w:pPr>
        <w:rPr>
          <w:rStyle w:val="14"/>
          <w:rFonts w:hint="eastAsia"/>
          <w:color w:val="auto"/>
          <w:sz w:val="24"/>
          <w:szCs w:val="24"/>
          <w:lang w:val="en-US" w:eastAsia="zh-CN"/>
        </w:rPr>
      </w:pPr>
      <w:r>
        <w:rPr>
          <w:rStyle w:val="14"/>
          <w:rFonts w:hint="eastAsia"/>
          <w:color w:val="auto"/>
          <w:sz w:val="24"/>
          <w:szCs w:val="24"/>
          <w:lang w:val="en-US" w:eastAsia="zh-CN"/>
        </w:rPr>
        <w:t>（9）乙方存在以下情形并经调查属实的：</w:t>
      </w:r>
    </w:p>
    <w:p>
      <w:pPr>
        <w:rPr>
          <w:rStyle w:val="14"/>
          <w:rFonts w:hint="eastAsia"/>
          <w:color w:val="auto"/>
          <w:sz w:val="24"/>
          <w:szCs w:val="24"/>
          <w:lang w:val="en-US" w:eastAsia="zh-CN"/>
        </w:rPr>
      </w:pPr>
      <w:r>
        <w:rPr>
          <w:rStyle w:val="14"/>
          <w:rFonts w:hint="eastAsia"/>
          <w:color w:val="auto"/>
          <w:sz w:val="24"/>
          <w:szCs w:val="24"/>
          <w:lang w:val="en-US" w:eastAsia="zh-CN"/>
        </w:rPr>
        <w:t>①乙方超出响应文件的承诺范围收取费用的；</w:t>
      </w:r>
    </w:p>
    <w:p>
      <w:pPr>
        <w:rPr>
          <w:rStyle w:val="14"/>
          <w:rFonts w:hint="eastAsia"/>
          <w:color w:val="auto"/>
          <w:sz w:val="24"/>
          <w:szCs w:val="24"/>
          <w:lang w:val="en-US" w:eastAsia="zh-CN"/>
        </w:rPr>
      </w:pPr>
      <w:r>
        <w:rPr>
          <w:rStyle w:val="14"/>
          <w:rFonts w:hint="eastAsia"/>
          <w:color w:val="auto"/>
          <w:sz w:val="24"/>
          <w:szCs w:val="24"/>
          <w:lang w:val="en-US" w:eastAsia="zh-CN"/>
        </w:rPr>
        <w:t>②乙方向用户提供的服务，质量明显不满足服务合同、征集文件、乙方响应文件和本协议规定标准的；</w:t>
      </w:r>
    </w:p>
    <w:p>
      <w:pPr>
        <w:rPr>
          <w:rStyle w:val="14"/>
          <w:rFonts w:hint="eastAsia"/>
          <w:color w:val="auto"/>
          <w:sz w:val="24"/>
          <w:szCs w:val="24"/>
          <w:lang w:val="en-US" w:eastAsia="zh-CN"/>
        </w:rPr>
      </w:pPr>
      <w:r>
        <w:rPr>
          <w:rStyle w:val="14"/>
          <w:rFonts w:hint="eastAsia"/>
          <w:color w:val="auto"/>
          <w:sz w:val="24"/>
          <w:szCs w:val="24"/>
          <w:lang w:val="en-US" w:eastAsia="zh-CN"/>
        </w:rPr>
        <w:t>③乙方向用户提供的服务价格明显高于市场同类服务价格的；</w:t>
      </w:r>
    </w:p>
    <w:p>
      <w:pPr>
        <w:rPr>
          <w:rStyle w:val="14"/>
          <w:rFonts w:hint="eastAsia"/>
          <w:color w:val="auto"/>
          <w:sz w:val="24"/>
          <w:szCs w:val="24"/>
          <w:lang w:val="en-US" w:eastAsia="zh-CN"/>
        </w:rPr>
      </w:pPr>
      <w:r>
        <w:rPr>
          <w:rStyle w:val="14"/>
          <w:rFonts w:hint="eastAsia"/>
          <w:color w:val="auto"/>
          <w:sz w:val="24"/>
          <w:szCs w:val="24"/>
          <w:lang w:val="en-US" w:eastAsia="zh-CN"/>
        </w:rPr>
        <w:t>④乙方其它违反本协议规定的行为。</w:t>
      </w:r>
    </w:p>
    <w:p>
      <w:pPr>
        <w:rPr>
          <w:rStyle w:val="14"/>
          <w:rFonts w:hint="default"/>
          <w:b/>
          <w:bCs/>
          <w:color w:val="auto"/>
          <w:sz w:val="24"/>
          <w:szCs w:val="24"/>
          <w:lang w:val="en-US" w:eastAsia="zh-CN"/>
        </w:rPr>
      </w:pPr>
      <w:r>
        <w:rPr>
          <w:rStyle w:val="14"/>
          <w:rFonts w:hint="eastAsia"/>
          <w:b/>
          <w:bCs/>
          <w:color w:val="auto"/>
          <w:sz w:val="24"/>
          <w:szCs w:val="24"/>
          <w:lang w:val="en-US" w:eastAsia="zh-CN"/>
        </w:rPr>
        <w:t>（二）入围供应商的补充征集</w:t>
      </w:r>
    </w:p>
    <w:p>
      <w:pPr>
        <w:rPr>
          <w:rStyle w:val="14"/>
          <w:rFonts w:hint="eastAsia"/>
          <w:color w:val="auto"/>
          <w:sz w:val="24"/>
          <w:szCs w:val="24"/>
          <w:lang w:val="en-US" w:eastAsia="zh-CN"/>
        </w:rPr>
      </w:pPr>
      <w:r>
        <w:rPr>
          <w:rStyle w:val="14"/>
          <w:rFonts w:hint="eastAsia"/>
          <w:color w:val="auto"/>
          <w:sz w:val="24"/>
          <w:szCs w:val="24"/>
          <w:lang w:val="en-US" w:eastAsia="zh-CN"/>
        </w:rPr>
        <w:t>一、补充征集条件。除剩余入围供应商不足入围供应商总数70%且影响框架协议执行的情形外，框架协议有效期内，征集人不得补充征集供应商。</w:t>
      </w:r>
    </w:p>
    <w:p>
      <w:pPr>
        <w:rPr>
          <w:rStyle w:val="14"/>
          <w:rFonts w:hint="eastAsia"/>
          <w:color w:val="auto"/>
          <w:sz w:val="24"/>
          <w:szCs w:val="24"/>
          <w:lang w:val="en-US" w:eastAsia="zh-CN"/>
        </w:rPr>
      </w:pPr>
      <w:r>
        <w:rPr>
          <w:rStyle w:val="14"/>
          <w:rFonts w:hint="eastAsia"/>
          <w:color w:val="auto"/>
          <w:sz w:val="24"/>
          <w:szCs w:val="24"/>
          <w:lang w:val="en-US" w:eastAsia="zh-CN"/>
        </w:rPr>
        <w:t>二、补充征集规则。</w:t>
      </w:r>
    </w:p>
    <w:p>
      <w:pPr>
        <w:rPr>
          <w:rStyle w:val="14"/>
          <w:rFonts w:hint="eastAsia"/>
          <w:color w:val="auto"/>
          <w:sz w:val="24"/>
          <w:szCs w:val="24"/>
          <w:lang w:val="en-US" w:eastAsia="zh-CN"/>
        </w:rPr>
      </w:pPr>
      <w:r>
        <w:rPr>
          <w:rStyle w:val="14"/>
          <w:rFonts w:hint="eastAsia"/>
          <w:color w:val="auto"/>
          <w:sz w:val="24"/>
          <w:szCs w:val="24"/>
          <w:lang w:val="en-US" w:eastAsia="zh-CN"/>
        </w:rPr>
        <w:t>1.补充征集将发布征集公告，补充征集的条件、程序、评审方法和淘汰比例应当与初次征集相同。</w:t>
      </w:r>
    </w:p>
    <w:p>
      <w:pPr>
        <w:rPr>
          <w:rStyle w:val="14"/>
          <w:rFonts w:hint="eastAsia"/>
          <w:color w:val="auto"/>
          <w:sz w:val="24"/>
          <w:szCs w:val="24"/>
          <w:lang w:val="en-US" w:eastAsia="zh-CN"/>
        </w:rPr>
      </w:pPr>
      <w:r>
        <w:rPr>
          <w:rStyle w:val="14"/>
          <w:rFonts w:hint="eastAsia"/>
          <w:color w:val="auto"/>
          <w:sz w:val="24"/>
          <w:szCs w:val="24"/>
          <w:lang w:val="en-US" w:eastAsia="zh-CN"/>
        </w:rPr>
        <w:t>2.补充征集应当遵守原框架协议的有效期。</w:t>
      </w:r>
    </w:p>
    <w:p>
      <w:pPr>
        <w:rPr>
          <w:rStyle w:val="14"/>
          <w:rFonts w:hint="eastAsia"/>
          <w:color w:val="auto"/>
          <w:sz w:val="24"/>
          <w:szCs w:val="24"/>
          <w:lang w:val="en-US" w:eastAsia="zh-CN"/>
        </w:rPr>
      </w:pPr>
      <w:r>
        <w:rPr>
          <w:rStyle w:val="14"/>
          <w:rFonts w:hint="eastAsia"/>
          <w:color w:val="auto"/>
          <w:sz w:val="24"/>
          <w:szCs w:val="24"/>
          <w:lang w:val="en-US" w:eastAsia="zh-CN"/>
        </w:rPr>
        <w:t>3.补充征集期间，原框架协议继续履行。</w:t>
      </w:r>
    </w:p>
    <w:p>
      <w:pPr>
        <w:pStyle w:val="4"/>
        <w:numPr>
          <w:ilvl w:val="0"/>
          <w:numId w:val="4"/>
        </w:numPr>
        <w:spacing w:before="0" w:after="0"/>
        <w:rPr>
          <w:rStyle w:val="14"/>
          <w:rFonts w:hint="eastAsia" w:eastAsia="华文仿宋" w:cs="Times New Roman"/>
          <w:color w:val="auto"/>
          <w:sz w:val="24"/>
          <w:szCs w:val="24"/>
          <w:lang w:val="en-US" w:eastAsia="zh-CN"/>
        </w:rPr>
      </w:pPr>
      <w:bookmarkStart w:id="15" w:name="_Toc12289"/>
      <w:r>
        <w:rPr>
          <w:rStyle w:val="14"/>
          <w:rFonts w:hint="eastAsia" w:eastAsia="华文仿宋" w:cs="Times New Roman"/>
          <w:color w:val="auto"/>
          <w:sz w:val="24"/>
          <w:szCs w:val="24"/>
          <w:lang w:val="en-US" w:eastAsia="zh-CN"/>
        </w:rPr>
        <w:t>双方权利义务</w:t>
      </w:r>
      <w:bookmarkEnd w:id="15"/>
    </w:p>
    <w:p>
      <w:pPr>
        <w:numPr>
          <w:ilvl w:val="0"/>
          <w:numId w:val="7"/>
        </w:numPr>
        <w:rPr>
          <w:rStyle w:val="14"/>
          <w:rFonts w:hint="eastAsia"/>
          <w:color w:val="auto"/>
          <w:sz w:val="24"/>
          <w:szCs w:val="24"/>
          <w:lang w:val="en-US" w:eastAsia="zh-CN"/>
        </w:rPr>
      </w:pPr>
      <w:r>
        <w:rPr>
          <w:rStyle w:val="14"/>
          <w:rFonts w:hint="eastAsia"/>
          <w:color w:val="auto"/>
          <w:sz w:val="24"/>
          <w:szCs w:val="24"/>
          <w:lang w:val="en-US" w:eastAsia="zh-CN"/>
        </w:rPr>
        <w:t>甲方的权利义务</w:t>
      </w:r>
    </w:p>
    <w:p>
      <w:pPr>
        <w:pStyle w:val="7"/>
        <w:numPr>
          <w:ilvl w:val="0"/>
          <w:numId w:val="8"/>
        </w:numPr>
        <w:ind w:left="425" w:leftChars="0" w:hanging="425" w:firstLineChars="0"/>
        <w:rPr>
          <w:rStyle w:val="14"/>
          <w:rFonts w:hint="default"/>
          <w:color w:val="auto"/>
          <w:sz w:val="24"/>
          <w:szCs w:val="24"/>
          <w:lang w:val="en-US" w:eastAsia="zh-CN"/>
        </w:rPr>
      </w:pPr>
      <w:r>
        <w:rPr>
          <w:rStyle w:val="14"/>
          <w:rFonts w:hint="default"/>
          <w:color w:val="auto"/>
          <w:sz w:val="24"/>
          <w:szCs w:val="24"/>
          <w:lang w:val="en-US" w:eastAsia="zh-CN"/>
        </w:rPr>
        <w:t>甲方依法组织实施</w:t>
      </w:r>
      <w:r>
        <w:rPr>
          <w:rStyle w:val="14"/>
          <w:rFonts w:hint="eastAsia"/>
          <w:color w:val="auto"/>
          <w:sz w:val="24"/>
          <w:szCs w:val="24"/>
          <w:lang w:val="en-US" w:eastAsia="zh-CN"/>
        </w:rPr>
        <w:t>框架协议采购</w:t>
      </w:r>
      <w:r>
        <w:rPr>
          <w:rStyle w:val="14"/>
          <w:rFonts w:hint="default"/>
          <w:color w:val="auto"/>
          <w:sz w:val="24"/>
          <w:szCs w:val="24"/>
          <w:lang w:val="en-US" w:eastAsia="zh-CN"/>
        </w:rPr>
        <w:t>活动，并严格遵循公开透明、公平竞争、公正和诚实信用原则。</w:t>
      </w:r>
    </w:p>
    <w:p>
      <w:pPr>
        <w:pStyle w:val="7"/>
        <w:numPr>
          <w:ilvl w:val="0"/>
          <w:numId w:val="8"/>
        </w:numPr>
        <w:ind w:left="425" w:leftChars="0" w:hanging="425" w:firstLineChars="0"/>
        <w:rPr>
          <w:rStyle w:val="14"/>
          <w:rFonts w:hint="default"/>
          <w:color w:val="auto"/>
          <w:sz w:val="24"/>
          <w:szCs w:val="24"/>
          <w:lang w:val="en-US" w:eastAsia="zh-CN"/>
        </w:rPr>
      </w:pPr>
      <w:r>
        <w:rPr>
          <w:rStyle w:val="14"/>
          <w:rFonts w:hint="default"/>
          <w:color w:val="auto"/>
          <w:sz w:val="24"/>
          <w:szCs w:val="24"/>
          <w:lang w:val="en-US" w:eastAsia="zh-CN"/>
        </w:rPr>
        <w:t>甲方</w:t>
      </w:r>
      <w:r>
        <w:rPr>
          <w:rStyle w:val="14"/>
          <w:rFonts w:hint="eastAsia"/>
          <w:color w:val="auto"/>
          <w:sz w:val="24"/>
          <w:szCs w:val="24"/>
          <w:lang w:val="en-US" w:eastAsia="zh-CN"/>
        </w:rPr>
        <w:t>为第二阶段合同授予提供必要的工作便利</w:t>
      </w:r>
      <w:r>
        <w:rPr>
          <w:rStyle w:val="14"/>
          <w:rFonts w:hint="default"/>
          <w:color w:val="auto"/>
          <w:sz w:val="24"/>
          <w:szCs w:val="24"/>
          <w:lang w:val="en-US" w:eastAsia="zh-CN"/>
        </w:rPr>
        <w:t>。</w:t>
      </w:r>
    </w:p>
    <w:p>
      <w:pPr>
        <w:pStyle w:val="7"/>
        <w:numPr>
          <w:ilvl w:val="0"/>
          <w:numId w:val="8"/>
        </w:numPr>
        <w:ind w:left="425" w:leftChars="0" w:hanging="425" w:firstLineChars="0"/>
        <w:rPr>
          <w:rStyle w:val="14"/>
          <w:rFonts w:hint="default"/>
          <w:color w:val="auto"/>
          <w:sz w:val="24"/>
          <w:szCs w:val="24"/>
          <w:lang w:val="en-US" w:eastAsia="zh-CN"/>
        </w:rPr>
      </w:pPr>
      <w:r>
        <w:rPr>
          <w:rStyle w:val="14"/>
          <w:rFonts w:hint="default"/>
          <w:color w:val="auto"/>
          <w:sz w:val="24"/>
          <w:szCs w:val="24"/>
          <w:lang w:val="en-US" w:eastAsia="zh-CN"/>
        </w:rPr>
        <w:t>甲方</w:t>
      </w:r>
      <w:r>
        <w:rPr>
          <w:rStyle w:val="14"/>
          <w:rFonts w:hint="eastAsia"/>
          <w:color w:val="auto"/>
          <w:sz w:val="24"/>
          <w:szCs w:val="24"/>
          <w:lang w:val="en-US" w:eastAsia="zh-CN"/>
        </w:rPr>
        <w:t>应</w:t>
      </w:r>
      <w:r>
        <w:rPr>
          <w:rStyle w:val="14"/>
          <w:rFonts w:hint="default"/>
          <w:color w:val="auto"/>
          <w:sz w:val="24"/>
          <w:szCs w:val="24"/>
          <w:lang w:val="en-US" w:eastAsia="zh-CN"/>
        </w:rPr>
        <w:t>根据国家</w:t>
      </w:r>
      <w:r>
        <w:rPr>
          <w:rStyle w:val="14"/>
          <w:rFonts w:hint="eastAsia"/>
          <w:color w:val="auto"/>
          <w:sz w:val="24"/>
          <w:szCs w:val="24"/>
          <w:lang w:val="en-US" w:eastAsia="zh-CN"/>
        </w:rPr>
        <w:t>法律法规规定及政策要求</w:t>
      </w:r>
      <w:r>
        <w:rPr>
          <w:rStyle w:val="14"/>
          <w:rFonts w:hint="default"/>
          <w:color w:val="auto"/>
          <w:sz w:val="24"/>
          <w:szCs w:val="24"/>
          <w:lang w:val="en-US" w:eastAsia="zh-CN"/>
        </w:rPr>
        <w:t>、主管部门要求、</w:t>
      </w:r>
      <w:r>
        <w:rPr>
          <w:rStyle w:val="14"/>
          <w:rFonts w:hint="eastAsia"/>
          <w:color w:val="auto"/>
          <w:sz w:val="24"/>
          <w:szCs w:val="24"/>
          <w:lang w:val="en-US" w:eastAsia="zh-CN"/>
        </w:rPr>
        <w:t>采购人反馈以及行业市场变化等</w:t>
      </w:r>
      <w:r>
        <w:rPr>
          <w:rStyle w:val="14"/>
          <w:rFonts w:hint="default"/>
          <w:color w:val="auto"/>
          <w:sz w:val="24"/>
          <w:szCs w:val="24"/>
          <w:lang w:val="en-US" w:eastAsia="zh-CN"/>
        </w:rPr>
        <w:t>情况适时</w:t>
      </w:r>
      <w:r>
        <w:rPr>
          <w:rStyle w:val="14"/>
          <w:rFonts w:hint="eastAsia"/>
          <w:color w:val="auto"/>
          <w:sz w:val="24"/>
          <w:szCs w:val="24"/>
          <w:lang w:val="en-US" w:eastAsia="zh-CN"/>
        </w:rPr>
        <w:t>调整本协议相关内容</w:t>
      </w:r>
      <w:r>
        <w:rPr>
          <w:rStyle w:val="14"/>
          <w:rFonts w:hint="default"/>
          <w:color w:val="auto"/>
          <w:sz w:val="24"/>
          <w:szCs w:val="24"/>
          <w:lang w:val="en-US" w:eastAsia="zh-CN"/>
        </w:rPr>
        <w:t>。</w:t>
      </w:r>
    </w:p>
    <w:p>
      <w:pPr>
        <w:pStyle w:val="7"/>
        <w:numPr>
          <w:ilvl w:val="0"/>
          <w:numId w:val="8"/>
        </w:numPr>
        <w:ind w:left="425" w:leftChars="0" w:hanging="425" w:firstLineChars="0"/>
        <w:rPr>
          <w:rStyle w:val="14"/>
          <w:rFonts w:hint="default"/>
          <w:color w:val="auto"/>
          <w:sz w:val="24"/>
          <w:szCs w:val="24"/>
          <w:lang w:val="en-US" w:eastAsia="zh-CN"/>
        </w:rPr>
      </w:pPr>
      <w:r>
        <w:rPr>
          <w:rStyle w:val="14"/>
          <w:rFonts w:hint="default"/>
          <w:color w:val="auto"/>
          <w:sz w:val="24"/>
          <w:szCs w:val="24"/>
          <w:lang w:val="en-US" w:eastAsia="zh-CN"/>
        </w:rPr>
        <w:t>甲方对</w:t>
      </w:r>
      <w:r>
        <w:rPr>
          <w:rStyle w:val="14"/>
          <w:rFonts w:hint="eastAsia"/>
          <w:color w:val="auto"/>
          <w:sz w:val="24"/>
          <w:szCs w:val="24"/>
          <w:lang w:val="en-US" w:eastAsia="zh-CN"/>
        </w:rPr>
        <w:t>采购人</w:t>
      </w:r>
      <w:r>
        <w:rPr>
          <w:rStyle w:val="14"/>
          <w:rFonts w:hint="default"/>
          <w:color w:val="auto"/>
          <w:sz w:val="24"/>
          <w:szCs w:val="24"/>
          <w:lang w:val="en-US" w:eastAsia="zh-CN"/>
        </w:rPr>
        <w:t>不按时支付乙方合同款不承担任何责任。</w:t>
      </w:r>
    </w:p>
    <w:p>
      <w:pPr>
        <w:pStyle w:val="7"/>
        <w:numPr>
          <w:ilvl w:val="0"/>
          <w:numId w:val="8"/>
        </w:numPr>
        <w:ind w:left="425" w:leftChars="0" w:hanging="425" w:firstLineChars="0"/>
        <w:rPr>
          <w:rStyle w:val="14"/>
          <w:rFonts w:hint="eastAsia"/>
          <w:color w:val="auto"/>
          <w:sz w:val="24"/>
          <w:szCs w:val="24"/>
          <w:lang w:val="en-US" w:eastAsia="zh-CN"/>
        </w:rPr>
      </w:pPr>
      <w:r>
        <w:rPr>
          <w:rStyle w:val="14"/>
          <w:rFonts w:hint="eastAsia"/>
          <w:color w:val="auto"/>
          <w:sz w:val="24"/>
          <w:szCs w:val="24"/>
          <w:lang w:val="en-US" w:eastAsia="zh-CN"/>
        </w:rPr>
        <w:t>甲方对乙方在框架协议采购活动中的行为进行管理，并按法律法规规定公开包括但不限于征集文件、入围信息以及第二阶段确定成交供应商情况等信息。</w:t>
      </w:r>
    </w:p>
    <w:p>
      <w:pPr>
        <w:pStyle w:val="7"/>
        <w:numPr>
          <w:ilvl w:val="0"/>
          <w:numId w:val="8"/>
        </w:numPr>
        <w:ind w:left="425" w:leftChars="0" w:hanging="425" w:firstLineChars="0"/>
        <w:rPr>
          <w:rStyle w:val="14"/>
          <w:rFonts w:hint="eastAsia"/>
          <w:color w:val="auto"/>
          <w:sz w:val="24"/>
          <w:szCs w:val="24"/>
          <w:lang w:val="en-US" w:eastAsia="zh-CN"/>
        </w:rPr>
      </w:pPr>
      <w:r>
        <w:rPr>
          <w:rStyle w:val="14"/>
          <w:rFonts w:hint="eastAsia"/>
          <w:color w:val="auto"/>
          <w:sz w:val="24"/>
          <w:szCs w:val="24"/>
          <w:lang w:val="en-US" w:eastAsia="zh-CN"/>
        </w:rPr>
        <w:t>甲方有权将乙方履行协议和政府采购合同相关情况向采购人或其他利害关系人公开，或按要求提供给相关主管部门。</w:t>
      </w:r>
    </w:p>
    <w:p>
      <w:pPr>
        <w:pStyle w:val="7"/>
        <w:numPr>
          <w:ilvl w:val="0"/>
          <w:numId w:val="8"/>
        </w:numPr>
        <w:ind w:left="425" w:leftChars="0" w:hanging="425" w:firstLineChars="0"/>
        <w:rPr>
          <w:rStyle w:val="14"/>
          <w:rFonts w:hint="default"/>
          <w:color w:val="auto"/>
          <w:sz w:val="24"/>
          <w:szCs w:val="24"/>
          <w:lang w:val="en-US" w:eastAsia="zh-CN"/>
        </w:rPr>
      </w:pPr>
      <w:r>
        <w:rPr>
          <w:rStyle w:val="14"/>
          <w:rFonts w:hint="eastAsia"/>
          <w:color w:val="auto"/>
          <w:sz w:val="24"/>
          <w:szCs w:val="24"/>
          <w:lang w:val="en-US" w:eastAsia="zh-CN"/>
        </w:rPr>
        <w:t>依据法律法规或者本协议相关规定，管理入围供应商资格。</w:t>
      </w:r>
    </w:p>
    <w:p>
      <w:pPr>
        <w:pStyle w:val="7"/>
        <w:numPr>
          <w:ilvl w:val="0"/>
          <w:numId w:val="8"/>
        </w:numPr>
        <w:ind w:left="425" w:leftChars="0" w:hanging="425" w:firstLineChars="0"/>
        <w:rPr>
          <w:rStyle w:val="14"/>
          <w:rFonts w:hint="eastAsia"/>
          <w:color w:val="auto"/>
          <w:sz w:val="24"/>
          <w:szCs w:val="24"/>
          <w:lang w:val="en-US" w:eastAsia="zh-CN"/>
        </w:rPr>
      </w:pPr>
      <w:r>
        <w:rPr>
          <w:rStyle w:val="14"/>
          <w:rFonts w:hint="default"/>
          <w:color w:val="auto"/>
          <w:sz w:val="24"/>
          <w:szCs w:val="24"/>
          <w:lang w:val="en-US" w:eastAsia="zh-CN"/>
        </w:rPr>
        <w:t>甲方保证依法履行此协议全部约定义务。</w:t>
      </w:r>
    </w:p>
    <w:p>
      <w:pPr>
        <w:pStyle w:val="7"/>
        <w:rPr>
          <w:rStyle w:val="14"/>
          <w:rFonts w:hint="eastAsia"/>
          <w:color w:val="auto"/>
          <w:sz w:val="24"/>
          <w:szCs w:val="24"/>
          <w:lang w:val="en-US" w:eastAsia="zh-CN"/>
        </w:rPr>
      </w:pPr>
      <w:r>
        <w:rPr>
          <w:rStyle w:val="14"/>
          <w:rFonts w:hint="eastAsia"/>
          <w:color w:val="auto"/>
          <w:sz w:val="24"/>
          <w:szCs w:val="24"/>
          <w:lang w:val="en-US" w:eastAsia="zh-CN"/>
        </w:rPr>
        <w:t>（二）乙方的权利义务</w:t>
      </w:r>
    </w:p>
    <w:p>
      <w:pPr>
        <w:pStyle w:val="7"/>
        <w:numPr>
          <w:ilvl w:val="0"/>
          <w:numId w:val="8"/>
        </w:numPr>
        <w:ind w:left="425" w:leftChars="0" w:hanging="425" w:firstLineChars="0"/>
        <w:rPr>
          <w:rStyle w:val="14"/>
          <w:rFonts w:hint="default"/>
          <w:color w:val="auto"/>
          <w:sz w:val="24"/>
          <w:szCs w:val="24"/>
          <w:lang w:val="en-US" w:eastAsia="zh-CN"/>
        </w:rPr>
      </w:pPr>
      <w:r>
        <w:rPr>
          <w:rStyle w:val="14"/>
          <w:rFonts w:hint="default"/>
          <w:color w:val="auto"/>
          <w:sz w:val="24"/>
          <w:szCs w:val="24"/>
          <w:lang w:val="en-US" w:eastAsia="zh-CN"/>
        </w:rPr>
        <w:t>乙方只有在与甲方签订本协议后，才获得</w:t>
      </w:r>
      <w:r>
        <w:rPr>
          <w:rStyle w:val="14"/>
          <w:rFonts w:hint="eastAsia"/>
          <w:color w:val="auto"/>
          <w:sz w:val="24"/>
          <w:szCs w:val="24"/>
          <w:lang w:val="en-US" w:eastAsia="zh-CN"/>
        </w:rPr>
        <w:t>与采购人订立采购合同</w:t>
      </w:r>
      <w:r>
        <w:rPr>
          <w:rStyle w:val="14"/>
          <w:rFonts w:hint="default"/>
          <w:color w:val="auto"/>
          <w:sz w:val="24"/>
          <w:szCs w:val="24"/>
          <w:lang w:val="en-US" w:eastAsia="zh-CN"/>
        </w:rPr>
        <w:t>的有效资</w:t>
      </w:r>
      <w:r>
        <w:rPr>
          <w:rStyle w:val="14"/>
          <w:rFonts w:hint="eastAsia"/>
          <w:color w:val="auto"/>
          <w:sz w:val="24"/>
          <w:szCs w:val="24"/>
          <w:lang w:val="en-US" w:eastAsia="zh-CN"/>
        </w:rPr>
        <w:t>。</w:t>
      </w:r>
    </w:p>
    <w:p>
      <w:pPr>
        <w:pStyle w:val="7"/>
        <w:numPr>
          <w:ilvl w:val="0"/>
          <w:numId w:val="8"/>
        </w:numPr>
        <w:ind w:left="425" w:leftChars="0" w:hanging="425" w:firstLineChars="0"/>
        <w:rPr>
          <w:rStyle w:val="14"/>
          <w:rFonts w:hint="eastAsia"/>
          <w:color w:val="auto"/>
          <w:sz w:val="24"/>
          <w:szCs w:val="24"/>
          <w:lang w:val="en-US" w:eastAsia="zh-CN"/>
        </w:rPr>
      </w:pPr>
      <w:r>
        <w:rPr>
          <w:rStyle w:val="14"/>
          <w:rFonts w:hint="eastAsia"/>
          <w:color w:val="auto"/>
          <w:sz w:val="24"/>
          <w:szCs w:val="24"/>
          <w:lang w:val="en-US" w:eastAsia="zh-CN"/>
        </w:rPr>
        <w:t>乙方应当在框架协议签订当日将通过电子化采购系统（网址……）真实、完整、准确的填写入围信息（包括所有入围供应商的名称、地址、联系方式、入围产品信息和协议价格等内容。入围产品信息应当详细列明技术规格或者服务内容、服务标准等能反映产品质量特点的内容）。</w:t>
      </w:r>
    </w:p>
    <w:p>
      <w:pPr>
        <w:pStyle w:val="7"/>
        <w:numPr>
          <w:ilvl w:val="0"/>
          <w:numId w:val="8"/>
        </w:numPr>
        <w:ind w:left="425" w:leftChars="0" w:hanging="425" w:firstLineChars="0"/>
        <w:rPr>
          <w:rStyle w:val="14"/>
          <w:rFonts w:hint="eastAsia"/>
          <w:color w:val="auto"/>
          <w:sz w:val="24"/>
          <w:szCs w:val="24"/>
          <w:lang w:val="en-US" w:eastAsia="zh-CN"/>
        </w:rPr>
      </w:pPr>
      <w:r>
        <w:rPr>
          <w:rStyle w:val="14"/>
          <w:rFonts w:hint="default"/>
          <w:color w:val="auto"/>
          <w:sz w:val="24"/>
          <w:szCs w:val="24"/>
          <w:lang w:val="en-US" w:eastAsia="zh-CN"/>
        </w:rPr>
        <w:t>严格执行国家法律法规，</w:t>
      </w:r>
      <w:r>
        <w:rPr>
          <w:rStyle w:val="14"/>
          <w:rFonts w:hint="eastAsia"/>
          <w:color w:val="auto"/>
          <w:sz w:val="24"/>
          <w:szCs w:val="24"/>
          <w:lang w:val="en-US" w:eastAsia="zh-CN"/>
        </w:rPr>
        <w:t>合法经营，诚实守信</w:t>
      </w:r>
      <w:r>
        <w:rPr>
          <w:rStyle w:val="14"/>
          <w:rFonts w:hint="default"/>
          <w:color w:val="auto"/>
          <w:sz w:val="24"/>
          <w:szCs w:val="24"/>
          <w:lang w:val="en-US" w:eastAsia="zh-CN"/>
        </w:rPr>
        <w:t>，自觉</w:t>
      </w:r>
      <w:r>
        <w:rPr>
          <w:rStyle w:val="14"/>
          <w:rFonts w:hint="eastAsia"/>
          <w:color w:val="auto"/>
          <w:sz w:val="24"/>
          <w:szCs w:val="24"/>
          <w:lang w:val="en-US" w:eastAsia="zh-CN"/>
        </w:rPr>
        <w:t>遵守本协议相关内容。</w:t>
      </w:r>
    </w:p>
    <w:p>
      <w:pPr>
        <w:pStyle w:val="7"/>
        <w:numPr>
          <w:ilvl w:val="0"/>
          <w:numId w:val="8"/>
        </w:numPr>
        <w:ind w:left="425" w:leftChars="0" w:hanging="425" w:firstLineChars="0"/>
        <w:rPr>
          <w:rStyle w:val="14"/>
          <w:rFonts w:hint="eastAsia"/>
          <w:color w:val="auto"/>
          <w:sz w:val="24"/>
          <w:szCs w:val="24"/>
          <w:lang w:val="en-US" w:eastAsia="zh-CN"/>
        </w:rPr>
      </w:pPr>
      <w:r>
        <w:rPr>
          <w:rStyle w:val="14"/>
          <w:rFonts w:hint="eastAsia"/>
          <w:color w:val="auto"/>
          <w:sz w:val="24"/>
          <w:szCs w:val="24"/>
          <w:lang w:val="en-US" w:eastAsia="zh-CN"/>
        </w:rPr>
        <w:t>入围供应商在约定期限内，应当以不高于其报价的价格向适用框架协议的采购人供应专用耗材。</w:t>
      </w:r>
    </w:p>
    <w:p>
      <w:pPr>
        <w:pStyle w:val="7"/>
        <w:numPr>
          <w:ilvl w:val="0"/>
          <w:numId w:val="8"/>
        </w:numPr>
        <w:ind w:left="425" w:leftChars="0" w:hanging="425" w:firstLineChars="0"/>
        <w:rPr>
          <w:rStyle w:val="14"/>
          <w:rFonts w:hint="eastAsia"/>
          <w:color w:val="auto"/>
          <w:sz w:val="24"/>
          <w:szCs w:val="24"/>
          <w:lang w:val="en-US" w:eastAsia="zh-CN"/>
        </w:rPr>
      </w:pPr>
      <w:r>
        <w:rPr>
          <w:rStyle w:val="14"/>
          <w:rFonts w:hint="default"/>
          <w:color w:val="auto"/>
          <w:sz w:val="24"/>
          <w:szCs w:val="24"/>
          <w:lang w:val="en-US" w:eastAsia="zh-CN"/>
        </w:rPr>
        <w:t>乙方</w:t>
      </w:r>
      <w:r>
        <w:rPr>
          <w:rStyle w:val="14"/>
          <w:rFonts w:hint="eastAsia"/>
          <w:color w:val="auto"/>
          <w:sz w:val="24"/>
          <w:szCs w:val="24"/>
          <w:lang w:val="en-US" w:eastAsia="zh-CN"/>
        </w:rPr>
        <w:t>严格按照本框架协议内容与采购人订立采购合同，</w:t>
      </w:r>
      <w:r>
        <w:rPr>
          <w:rStyle w:val="14"/>
          <w:rFonts w:hint="default"/>
          <w:color w:val="auto"/>
          <w:sz w:val="24"/>
          <w:szCs w:val="24"/>
          <w:lang w:val="en-US" w:eastAsia="zh-CN"/>
        </w:rPr>
        <w:t>维护</w:t>
      </w:r>
      <w:r>
        <w:rPr>
          <w:rStyle w:val="14"/>
          <w:rFonts w:hint="eastAsia"/>
          <w:color w:val="auto"/>
          <w:sz w:val="24"/>
          <w:szCs w:val="24"/>
          <w:lang w:val="en-US" w:eastAsia="zh-CN"/>
        </w:rPr>
        <w:t>采购人</w:t>
      </w:r>
      <w:r>
        <w:rPr>
          <w:rStyle w:val="14"/>
          <w:rFonts w:hint="default"/>
          <w:color w:val="auto"/>
          <w:sz w:val="24"/>
          <w:szCs w:val="24"/>
          <w:lang w:val="en-US" w:eastAsia="zh-CN"/>
        </w:rPr>
        <w:t>的利益</w:t>
      </w:r>
      <w:r>
        <w:rPr>
          <w:rStyle w:val="14"/>
          <w:rFonts w:hint="eastAsia"/>
          <w:color w:val="auto"/>
          <w:sz w:val="24"/>
          <w:szCs w:val="24"/>
          <w:lang w:val="en-US" w:eastAsia="zh-CN"/>
        </w:rPr>
        <w:t>。</w:t>
      </w:r>
    </w:p>
    <w:p>
      <w:pPr>
        <w:pStyle w:val="7"/>
        <w:numPr>
          <w:ilvl w:val="0"/>
          <w:numId w:val="8"/>
        </w:numPr>
        <w:ind w:left="425" w:leftChars="0" w:hanging="425" w:firstLineChars="0"/>
        <w:rPr>
          <w:rStyle w:val="14"/>
          <w:rFonts w:hint="default"/>
          <w:color w:val="auto"/>
          <w:sz w:val="24"/>
          <w:szCs w:val="24"/>
          <w:lang w:val="en-US" w:eastAsia="zh-CN"/>
        </w:rPr>
      </w:pPr>
      <w:r>
        <w:rPr>
          <w:rStyle w:val="14"/>
          <w:rFonts w:hint="default"/>
          <w:color w:val="auto"/>
          <w:sz w:val="24"/>
          <w:szCs w:val="24"/>
          <w:lang w:val="en-US" w:eastAsia="zh-CN"/>
        </w:rPr>
        <w:t>乙方提供的</w:t>
      </w:r>
      <w:r>
        <w:rPr>
          <w:rStyle w:val="14"/>
          <w:rFonts w:hint="eastAsia"/>
          <w:color w:val="auto"/>
          <w:sz w:val="24"/>
          <w:szCs w:val="24"/>
          <w:lang w:val="en-US" w:eastAsia="zh-CN"/>
        </w:rPr>
        <w:t>产品或</w:t>
      </w:r>
      <w:r>
        <w:rPr>
          <w:rStyle w:val="14"/>
          <w:rFonts w:hint="default"/>
          <w:color w:val="auto"/>
          <w:sz w:val="24"/>
          <w:szCs w:val="24"/>
          <w:lang w:val="en-US" w:eastAsia="zh-CN"/>
        </w:rPr>
        <w:t>服务应符合国家标准和</w:t>
      </w:r>
      <w:r>
        <w:rPr>
          <w:rStyle w:val="14"/>
          <w:rFonts w:hint="eastAsia"/>
          <w:color w:val="auto"/>
          <w:sz w:val="24"/>
          <w:szCs w:val="24"/>
          <w:lang w:val="en-US" w:eastAsia="zh-CN"/>
        </w:rPr>
        <w:t>响应</w:t>
      </w:r>
      <w:r>
        <w:rPr>
          <w:rStyle w:val="14"/>
          <w:rFonts w:hint="default"/>
          <w:color w:val="auto"/>
          <w:sz w:val="24"/>
          <w:szCs w:val="24"/>
          <w:lang w:val="en-US" w:eastAsia="zh-CN"/>
        </w:rPr>
        <w:t>文件要求</w:t>
      </w:r>
      <w:r>
        <w:rPr>
          <w:rStyle w:val="14"/>
          <w:rFonts w:hint="eastAsia"/>
          <w:color w:val="auto"/>
          <w:sz w:val="24"/>
          <w:szCs w:val="24"/>
          <w:lang w:val="en-US" w:eastAsia="zh-CN"/>
        </w:rPr>
        <w:t>，乙方提供的产品或者服务涉及的产品迭代、市场变化、政策调整等情况及时向甲方反馈。</w:t>
      </w:r>
    </w:p>
    <w:p>
      <w:pPr>
        <w:pStyle w:val="7"/>
        <w:numPr>
          <w:ilvl w:val="0"/>
          <w:numId w:val="8"/>
        </w:numPr>
        <w:ind w:left="425" w:leftChars="0" w:hanging="425" w:firstLineChars="0"/>
        <w:rPr>
          <w:rStyle w:val="14"/>
          <w:rFonts w:hint="eastAsia"/>
          <w:color w:val="auto"/>
          <w:sz w:val="24"/>
          <w:szCs w:val="24"/>
          <w:lang w:val="en-US" w:eastAsia="zh-CN"/>
        </w:rPr>
      </w:pPr>
      <w:r>
        <w:rPr>
          <w:rStyle w:val="14"/>
          <w:rFonts w:hint="eastAsia"/>
          <w:color w:val="auto"/>
          <w:sz w:val="24"/>
          <w:szCs w:val="24"/>
          <w:lang w:val="en-US" w:eastAsia="zh-CN"/>
        </w:rPr>
        <w:t>乙方同意接受并配合甲方的相关监督管理。</w:t>
      </w:r>
    </w:p>
    <w:p>
      <w:pPr>
        <w:pStyle w:val="7"/>
        <w:numPr>
          <w:ilvl w:val="0"/>
          <w:numId w:val="8"/>
        </w:numPr>
        <w:ind w:left="425" w:leftChars="0" w:hanging="425" w:firstLineChars="0"/>
        <w:rPr>
          <w:rStyle w:val="14"/>
          <w:rFonts w:hint="eastAsia"/>
          <w:color w:val="auto"/>
          <w:sz w:val="24"/>
          <w:szCs w:val="24"/>
          <w:lang w:val="en-US" w:eastAsia="zh-CN"/>
        </w:rPr>
      </w:pPr>
      <w:r>
        <w:rPr>
          <w:rStyle w:val="14"/>
          <w:rFonts w:hint="default"/>
          <w:color w:val="auto"/>
          <w:sz w:val="24"/>
          <w:szCs w:val="24"/>
          <w:lang w:val="en-US" w:eastAsia="zh-CN"/>
        </w:rPr>
        <w:t>乙方同意甲方为政府采购工作需要在相关政府采购业务网站</w:t>
      </w:r>
      <w:r>
        <w:rPr>
          <w:rStyle w:val="14"/>
          <w:rFonts w:hint="eastAsia"/>
          <w:color w:val="auto"/>
          <w:sz w:val="24"/>
          <w:szCs w:val="24"/>
          <w:lang w:val="en-US" w:eastAsia="zh-CN"/>
        </w:rPr>
        <w:t>、</w:t>
      </w:r>
      <w:r>
        <w:rPr>
          <w:rStyle w:val="14"/>
          <w:rFonts w:hint="default"/>
          <w:color w:val="auto"/>
          <w:sz w:val="24"/>
          <w:szCs w:val="24"/>
          <w:lang w:val="en-US" w:eastAsia="zh-CN"/>
        </w:rPr>
        <w:t>相关文件上</w:t>
      </w:r>
      <w:r>
        <w:rPr>
          <w:rStyle w:val="14"/>
          <w:rFonts w:hint="eastAsia"/>
          <w:color w:val="auto"/>
          <w:sz w:val="24"/>
          <w:szCs w:val="24"/>
          <w:lang w:val="en-US" w:eastAsia="zh-CN"/>
        </w:rPr>
        <w:t>或其他渠道公开发布乙方</w:t>
      </w:r>
      <w:r>
        <w:rPr>
          <w:rStyle w:val="14"/>
          <w:rFonts w:hint="default"/>
          <w:color w:val="auto"/>
          <w:sz w:val="24"/>
          <w:szCs w:val="24"/>
          <w:lang w:val="en-US" w:eastAsia="zh-CN"/>
        </w:rPr>
        <w:t>的</w:t>
      </w:r>
      <w:r>
        <w:rPr>
          <w:rStyle w:val="14"/>
          <w:rFonts w:hint="eastAsia"/>
          <w:color w:val="auto"/>
          <w:sz w:val="24"/>
          <w:szCs w:val="24"/>
          <w:lang w:val="en-US" w:eastAsia="zh-CN"/>
        </w:rPr>
        <w:t>协议</w:t>
      </w:r>
      <w:r>
        <w:rPr>
          <w:rStyle w:val="14"/>
          <w:rFonts w:hint="default"/>
          <w:color w:val="auto"/>
          <w:sz w:val="24"/>
          <w:szCs w:val="24"/>
          <w:lang w:val="en-US" w:eastAsia="zh-CN"/>
        </w:rPr>
        <w:t>价格、</w:t>
      </w:r>
      <w:r>
        <w:rPr>
          <w:rStyle w:val="14"/>
          <w:rFonts w:hint="eastAsia"/>
          <w:color w:val="auto"/>
          <w:sz w:val="24"/>
          <w:szCs w:val="24"/>
          <w:lang w:val="en-US" w:eastAsia="zh-CN"/>
        </w:rPr>
        <w:t>服务承诺</w:t>
      </w:r>
      <w:r>
        <w:rPr>
          <w:rStyle w:val="14"/>
          <w:rFonts w:hint="default"/>
          <w:color w:val="auto"/>
          <w:sz w:val="24"/>
          <w:szCs w:val="24"/>
          <w:lang w:val="en-US" w:eastAsia="zh-CN"/>
        </w:rPr>
        <w:t>及其它相关信息。</w:t>
      </w:r>
    </w:p>
    <w:p>
      <w:pPr>
        <w:pStyle w:val="7"/>
        <w:numPr>
          <w:ilvl w:val="0"/>
          <w:numId w:val="8"/>
        </w:numPr>
        <w:ind w:left="425" w:leftChars="0" w:hanging="425" w:firstLineChars="0"/>
        <w:rPr>
          <w:rFonts w:hint="default"/>
          <w:color w:val="auto"/>
          <w:lang w:val="en-US" w:eastAsia="zh-CN"/>
        </w:rPr>
      </w:pPr>
      <w:r>
        <w:rPr>
          <w:rStyle w:val="14"/>
          <w:rFonts w:hint="default"/>
          <w:color w:val="auto"/>
          <w:sz w:val="24"/>
          <w:szCs w:val="24"/>
          <w:lang w:val="en-US" w:eastAsia="zh-CN"/>
        </w:rPr>
        <w:t>乙方同意本协议</w:t>
      </w:r>
      <w:r>
        <w:rPr>
          <w:rStyle w:val="14"/>
          <w:rFonts w:hint="eastAsia"/>
          <w:color w:val="auto"/>
          <w:sz w:val="24"/>
          <w:szCs w:val="24"/>
          <w:lang w:val="en-US" w:eastAsia="zh-CN"/>
        </w:rPr>
        <w:t>适用的采购人</w:t>
      </w:r>
      <w:r>
        <w:rPr>
          <w:rStyle w:val="14"/>
          <w:rFonts w:hint="default"/>
          <w:color w:val="auto"/>
          <w:sz w:val="24"/>
          <w:szCs w:val="24"/>
          <w:lang w:val="en-US" w:eastAsia="zh-CN"/>
        </w:rPr>
        <w:t>，包括</w:t>
      </w:r>
      <w:r>
        <w:rPr>
          <w:rStyle w:val="14"/>
          <w:rFonts w:hint="eastAsia"/>
          <w:color w:val="auto"/>
          <w:sz w:val="24"/>
          <w:szCs w:val="24"/>
          <w:lang w:val="en-US" w:eastAsia="zh-CN"/>
        </w:rPr>
        <w:t>但</w:t>
      </w:r>
      <w:r>
        <w:rPr>
          <w:rStyle w:val="14"/>
          <w:rFonts w:hint="default"/>
          <w:color w:val="auto"/>
          <w:sz w:val="24"/>
          <w:szCs w:val="24"/>
          <w:lang w:val="en-US" w:eastAsia="zh-CN"/>
        </w:rPr>
        <w:t>不限于武汉市直行政事业单位。</w:t>
      </w:r>
    </w:p>
    <w:p>
      <w:pPr>
        <w:pStyle w:val="7"/>
        <w:numPr>
          <w:ilvl w:val="0"/>
          <w:numId w:val="8"/>
        </w:numPr>
        <w:ind w:left="425" w:leftChars="0" w:hanging="425" w:firstLineChars="0"/>
        <w:rPr>
          <w:rFonts w:hint="default"/>
          <w:color w:val="auto"/>
          <w:lang w:val="en-US" w:eastAsia="zh-CN"/>
        </w:rPr>
      </w:pPr>
      <w:r>
        <w:rPr>
          <w:rStyle w:val="14"/>
          <w:rFonts w:hint="default"/>
          <w:color w:val="auto"/>
          <w:sz w:val="24"/>
          <w:szCs w:val="24"/>
          <w:lang w:val="en-US" w:eastAsia="zh-CN"/>
        </w:rPr>
        <w:t>乙方有权拒绝甲方及</w:t>
      </w:r>
      <w:r>
        <w:rPr>
          <w:rStyle w:val="14"/>
          <w:rFonts w:hint="eastAsia"/>
          <w:color w:val="auto"/>
          <w:sz w:val="24"/>
          <w:szCs w:val="24"/>
          <w:lang w:val="en-US" w:eastAsia="zh-CN"/>
        </w:rPr>
        <w:t>采购人</w:t>
      </w:r>
      <w:r>
        <w:rPr>
          <w:rStyle w:val="14"/>
          <w:rFonts w:hint="default"/>
          <w:color w:val="auto"/>
          <w:sz w:val="24"/>
          <w:szCs w:val="24"/>
          <w:lang w:val="en-US" w:eastAsia="zh-CN"/>
        </w:rPr>
        <w:t>提出的除乙方承诺以外的其它</w:t>
      </w:r>
      <w:r>
        <w:rPr>
          <w:rStyle w:val="14"/>
          <w:rFonts w:hint="eastAsia"/>
          <w:color w:val="auto"/>
          <w:sz w:val="24"/>
          <w:szCs w:val="24"/>
          <w:lang w:val="en-US" w:eastAsia="zh-CN"/>
        </w:rPr>
        <w:t>违法</w:t>
      </w:r>
      <w:r>
        <w:rPr>
          <w:rStyle w:val="14"/>
          <w:rFonts w:hint="default"/>
          <w:color w:val="auto"/>
          <w:sz w:val="24"/>
          <w:szCs w:val="24"/>
          <w:lang w:val="en-US" w:eastAsia="zh-CN"/>
        </w:rPr>
        <w:t>要求。</w:t>
      </w:r>
    </w:p>
    <w:p>
      <w:pPr>
        <w:pStyle w:val="4"/>
        <w:numPr>
          <w:ilvl w:val="0"/>
          <w:numId w:val="4"/>
        </w:numPr>
        <w:spacing w:before="0" w:after="0"/>
        <w:rPr>
          <w:rStyle w:val="14"/>
          <w:rFonts w:hint="default" w:eastAsia="华文仿宋" w:cs="Times New Roman"/>
          <w:color w:val="auto"/>
          <w:sz w:val="24"/>
          <w:szCs w:val="24"/>
          <w:lang w:val="en-US" w:eastAsia="zh-CN"/>
        </w:rPr>
      </w:pPr>
      <w:bookmarkStart w:id="16" w:name="_Toc13005"/>
      <w:r>
        <w:rPr>
          <w:rStyle w:val="14"/>
          <w:rFonts w:hint="eastAsia" w:eastAsia="华文仿宋" w:cs="Times New Roman"/>
          <w:color w:val="auto"/>
          <w:sz w:val="24"/>
          <w:szCs w:val="24"/>
          <w:lang w:val="en-US" w:eastAsia="zh-CN"/>
        </w:rPr>
        <w:t>采购合同</w:t>
      </w:r>
      <w:bookmarkEnd w:id="16"/>
    </w:p>
    <w:p>
      <w:pPr>
        <w:rPr>
          <w:rStyle w:val="14"/>
          <w:rFonts w:hint="default" w:eastAsia="华文仿宋" w:cs="Times New Roman"/>
          <w:color w:val="auto"/>
          <w:sz w:val="24"/>
          <w:szCs w:val="24"/>
          <w:lang w:val="en-US" w:eastAsia="zh-CN"/>
        </w:rPr>
      </w:pPr>
      <w:r>
        <w:rPr>
          <w:rStyle w:val="14"/>
          <w:rFonts w:hint="eastAsia"/>
          <w:color w:val="auto"/>
          <w:sz w:val="24"/>
          <w:szCs w:val="24"/>
          <w:lang w:val="en-US" w:eastAsia="zh-CN"/>
        </w:rPr>
        <w:t xml:space="preserve">乙方与采购人在本协议基础上就采购具体事宜订立采购合同，采购合同不得违反本协议内容。采购合同文本参见 </w:t>
      </w:r>
      <w:r>
        <w:rPr>
          <w:rStyle w:val="14"/>
          <w:rFonts w:hint="eastAsia"/>
          <w:b/>
          <w:bCs/>
          <w:color w:val="auto"/>
          <w:sz w:val="24"/>
          <w:szCs w:val="24"/>
          <w:lang w:val="en-US" w:eastAsia="zh-CN"/>
        </w:rPr>
        <w:t>附件1采购合同文本。</w:t>
      </w:r>
    </w:p>
    <w:p>
      <w:pPr>
        <w:pStyle w:val="4"/>
        <w:numPr>
          <w:ilvl w:val="0"/>
          <w:numId w:val="4"/>
        </w:numPr>
        <w:spacing w:before="0" w:after="0"/>
        <w:rPr>
          <w:rStyle w:val="14"/>
          <w:rFonts w:hint="eastAsia" w:eastAsia="华文仿宋"/>
          <w:color w:val="auto"/>
          <w:sz w:val="24"/>
          <w:szCs w:val="24"/>
          <w:lang w:val="en-US" w:eastAsia="zh-CN"/>
        </w:rPr>
      </w:pPr>
      <w:bookmarkStart w:id="17" w:name="_Toc5471"/>
      <w:bookmarkStart w:id="18" w:name="_Toc3957"/>
      <w:bookmarkStart w:id="19" w:name="_Toc22956"/>
      <w:r>
        <w:rPr>
          <w:rStyle w:val="14"/>
          <w:rFonts w:hint="eastAsia" w:eastAsia="华文仿宋"/>
          <w:color w:val="auto"/>
          <w:sz w:val="24"/>
          <w:szCs w:val="24"/>
          <w:lang w:val="en-US" w:eastAsia="zh-CN"/>
        </w:rPr>
        <w:t>协议有效期以及适用范围</w:t>
      </w:r>
      <w:bookmarkEnd w:id="17"/>
    </w:p>
    <w:p>
      <w:pPr>
        <w:rPr>
          <w:rStyle w:val="14"/>
          <w:rFonts w:hint="default"/>
          <w:color w:val="auto"/>
          <w:sz w:val="24"/>
          <w:szCs w:val="24"/>
          <w:lang w:val="en-US" w:eastAsia="zh-CN"/>
        </w:rPr>
      </w:pPr>
      <w:r>
        <w:rPr>
          <w:rStyle w:val="14"/>
          <w:rFonts w:hint="eastAsia" w:eastAsia="华文仿宋"/>
          <w:color w:val="auto"/>
          <w:sz w:val="24"/>
          <w:szCs w:val="24"/>
          <w:lang w:val="en-US" w:eastAsia="zh-CN"/>
        </w:rPr>
        <w:t>（</w:t>
      </w:r>
      <w:r>
        <w:rPr>
          <w:rStyle w:val="14"/>
          <w:rFonts w:hint="eastAsia"/>
          <w:color w:val="auto"/>
          <w:sz w:val="24"/>
          <w:szCs w:val="24"/>
          <w:lang w:val="en-US" w:eastAsia="zh-CN"/>
        </w:rPr>
        <w:t>一）协议有效期：框架协议签订之日起至2022年12月31日止。</w:t>
      </w:r>
    </w:p>
    <w:p>
      <w:pPr>
        <w:pStyle w:val="7"/>
        <w:rPr>
          <w:rStyle w:val="14"/>
          <w:rFonts w:hint="eastAsia" w:eastAsia="华文仿宋"/>
          <w:color w:val="auto"/>
          <w:sz w:val="24"/>
          <w:szCs w:val="24"/>
          <w:lang w:val="en-US" w:eastAsia="zh-CN"/>
        </w:rPr>
      </w:pPr>
      <w:r>
        <w:rPr>
          <w:rStyle w:val="14"/>
          <w:rFonts w:hint="eastAsia" w:eastAsia="华文仿宋"/>
          <w:color w:val="auto"/>
          <w:sz w:val="24"/>
          <w:szCs w:val="24"/>
          <w:lang w:eastAsia="zh-CN"/>
        </w:rPr>
        <w:t>（</w:t>
      </w:r>
      <w:r>
        <w:rPr>
          <w:rStyle w:val="14"/>
          <w:rFonts w:hint="eastAsia" w:eastAsia="华文仿宋"/>
          <w:color w:val="auto"/>
          <w:sz w:val="24"/>
          <w:szCs w:val="24"/>
          <w:lang w:val="en-US" w:eastAsia="zh-CN"/>
        </w:rPr>
        <w:t>二</w:t>
      </w:r>
      <w:r>
        <w:rPr>
          <w:rStyle w:val="14"/>
          <w:rFonts w:hint="eastAsia" w:eastAsia="华文仿宋"/>
          <w:color w:val="auto"/>
          <w:sz w:val="24"/>
          <w:szCs w:val="24"/>
          <w:lang w:eastAsia="zh-CN"/>
        </w:rPr>
        <w:t>）适用范围：武汉市直机关、事业单位和团体组织</w:t>
      </w:r>
      <w:r>
        <w:rPr>
          <w:rStyle w:val="14"/>
          <w:rFonts w:hint="eastAsia" w:eastAsia="华文仿宋"/>
          <w:color w:val="auto"/>
          <w:sz w:val="24"/>
          <w:szCs w:val="24"/>
          <w:lang w:val="en-US" w:eastAsia="zh-CN"/>
        </w:rPr>
        <w:t>采用框架协议采购方式的政府集中采购项目，采购人与第二阶段成交供应商订立采购合同应以本协议确定的内容为基础。</w:t>
      </w:r>
    </w:p>
    <w:bookmarkEnd w:id="18"/>
    <w:bookmarkEnd w:id="19"/>
    <w:p>
      <w:pPr>
        <w:pStyle w:val="4"/>
        <w:numPr>
          <w:ilvl w:val="0"/>
          <w:numId w:val="4"/>
        </w:numPr>
        <w:spacing w:before="0" w:after="0"/>
        <w:rPr>
          <w:rStyle w:val="14"/>
          <w:rFonts w:hint="eastAsia" w:eastAsia="华文仿宋" w:cs="Times New Roman"/>
          <w:color w:val="auto"/>
          <w:sz w:val="24"/>
          <w:szCs w:val="24"/>
          <w:lang w:val="en-US" w:eastAsia="zh-CN"/>
        </w:rPr>
      </w:pPr>
      <w:bookmarkStart w:id="20" w:name="_Toc29135"/>
      <w:bookmarkStart w:id="21" w:name="_Toc31291"/>
      <w:bookmarkStart w:id="22" w:name="_Toc3375"/>
      <w:r>
        <w:rPr>
          <w:rStyle w:val="14"/>
          <w:rFonts w:hint="default" w:eastAsia="华文仿宋" w:cs="Times New Roman"/>
          <w:color w:val="auto"/>
          <w:sz w:val="24"/>
          <w:szCs w:val="24"/>
          <w:lang w:val="en-US" w:eastAsia="zh-CN"/>
        </w:rPr>
        <w:t>不可抗力</w:t>
      </w:r>
      <w:bookmarkEnd w:id="20"/>
      <w:bookmarkEnd w:id="21"/>
      <w:bookmarkEnd w:id="22"/>
    </w:p>
    <w:p>
      <w:pPr>
        <w:rPr>
          <w:rFonts w:ascii="华文仿宋" w:hAnsi="华文仿宋" w:eastAsia="华文仿宋"/>
          <w:color w:val="auto"/>
          <w:sz w:val="24"/>
          <w:szCs w:val="24"/>
        </w:rPr>
      </w:pPr>
      <w:r>
        <w:rPr>
          <w:rStyle w:val="14"/>
          <w:rFonts w:hint="default"/>
          <w:color w:val="auto"/>
          <w:sz w:val="24"/>
          <w:szCs w:val="24"/>
        </w:rPr>
        <w:t>1、协议一方由于受诸如战争、骚乱、瘟疫、严重火灾、洪水、台风、地震等不可抗力事件的影响而不能执行协议时，</w:t>
      </w:r>
      <w:r>
        <w:rPr>
          <w:rStyle w:val="14"/>
          <w:rFonts w:hint="eastAsia" w:eastAsia="华文仿宋"/>
          <w:color w:val="auto"/>
          <w:sz w:val="24"/>
          <w:szCs w:val="24"/>
          <w:lang w:val="en-US" w:eastAsia="zh-CN"/>
        </w:rPr>
        <w:t>协议有效期</w:t>
      </w:r>
      <w:r>
        <w:rPr>
          <w:rStyle w:val="14"/>
          <w:rFonts w:hint="default"/>
          <w:color w:val="auto"/>
          <w:sz w:val="24"/>
          <w:szCs w:val="24"/>
        </w:rPr>
        <w:t>应予以延长，延长的期限应相当于事故所影响的时间。不可抗力事件是指协议双方在缔结协议时所不能预见的，且它的发生及其后果是无法避免和无法克服的。</w:t>
      </w:r>
    </w:p>
    <w:p>
      <w:pPr>
        <w:rPr>
          <w:rFonts w:ascii="华文仿宋" w:hAnsi="华文仿宋" w:eastAsia="华文仿宋"/>
          <w:color w:val="auto"/>
          <w:sz w:val="24"/>
          <w:szCs w:val="24"/>
        </w:rPr>
      </w:pPr>
      <w:r>
        <w:rPr>
          <w:rStyle w:val="14"/>
          <w:rFonts w:hint="default"/>
          <w:color w:val="auto"/>
          <w:sz w:val="24"/>
          <w:szCs w:val="24"/>
        </w:rPr>
        <w:t>2、遭受不可抗力一方应在不可抗力事件发生后尽快以书面形式通知对方，并于事件发生后14天内将有关部门出具的证明文件、详细情况报告以及不可抗力对履行协议影响程度的说明用特快专递或挂号信寄给对方。</w:t>
      </w:r>
    </w:p>
    <w:p>
      <w:pPr>
        <w:rPr>
          <w:rFonts w:ascii="华文仿宋" w:hAnsi="华文仿宋" w:eastAsia="华文仿宋"/>
          <w:color w:val="auto"/>
          <w:sz w:val="24"/>
          <w:szCs w:val="24"/>
        </w:rPr>
      </w:pPr>
      <w:r>
        <w:rPr>
          <w:rStyle w:val="14"/>
          <w:rFonts w:hint="default"/>
          <w:color w:val="auto"/>
          <w:sz w:val="24"/>
          <w:szCs w:val="24"/>
        </w:rPr>
        <w:t>3、发生不可抗力时，任何一方均不对因不可抗力无法履行或延迟履行本协议义务而使另一方蒙受损失承担责任，但遭受不可抗力一方有责任尽可能及时采取适当或必要措施减少或消除不可抗力的影响。遭受不可抗力的一方对因未尽本项义务而造成的损失承担赔偿责任。</w:t>
      </w:r>
    </w:p>
    <w:p>
      <w:pPr>
        <w:rPr>
          <w:rFonts w:ascii="华文仿宋" w:hAnsi="华文仿宋" w:eastAsia="华文仿宋"/>
          <w:color w:val="auto"/>
          <w:sz w:val="24"/>
          <w:szCs w:val="24"/>
        </w:rPr>
      </w:pPr>
      <w:r>
        <w:rPr>
          <w:rStyle w:val="14"/>
          <w:rFonts w:hint="default"/>
          <w:color w:val="auto"/>
          <w:sz w:val="24"/>
          <w:szCs w:val="24"/>
        </w:rPr>
        <w:t>4、一旦不可抗力事件的影响持续120天以上，协议双方通过友好协商，在合理的时间内达成进一步履行协议或终止协议的意见。</w:t>
      </w:r>
    </w:p>
    <w:p>
      <w:pPr>
        <w:pStyle w:val="4"/>
        <w:numPr>
          <w:ilvl w:val="0"/>
          <w:numId w:val="4"/>
        </w:numPr>
        <w:spacing w:before="0" w:after="0"/>
        <w:rPr>
          <w:rFonts w:ascii="华文仿宋" w:hAnsi="华文仿宋" w:eastAsia="华文仿宋"/>
          <w:b w:val="0"/>
          <w:color w:val="auto"/>
          <w:sz w:val="24"/>
          <w:szCs w:val="24"/>
        </w:rPr>
      </w:pPr>
      <w:bookmarkStart w:id="23" w:name="_Toc1329"/>
      <w:bookmarkStart w:id="24" w:name="_Toc32158"/>
      <w:bookmarkStart w:id="25" w:name="_Toc26525"/>
      <w:r>
        <w:rPr>
          <w:rStyle w:val="14"/>
          <w:rFonts w:hint="default"/>
          <w:b w:val="0"/>
          <w:color w:val="auto"/>
          <w:sz w:val="24"/>
          <w:szCs w:val="24"/>
        </w:rPr>
        <w:t>保密条款</w:t>
      </w:r>
      <w:bookmarkEnd w:id="23"/>
      <w:bookmarkEnd w:id="24"/>
      <w:bookmarkEnd w:id="25"/>
    </w:p>
    <w:p>
      <w:pPr>
        <w:rPr>
          <w:rFonts w:ascii="华文仿宋" w:hAnsi="华文仿宋" w:eastAsia="华文仿宋"/>
          <w:color w:val="auto"/>
          <w:sz w:val="24"/>
          <w:szCs w:val="24"/>
        </w:rPr>
      </w:pPr>
      <w:r>
        <w:rPr>
          <w:rStyle w:val="14"/>
          <w:rFonts w:hint="default"/>
          <w:color w:val="auto"/>
          <w:sz w:val="24"/>
          <w:szCs w:val="24"/>
        </w:rPr>
        <w:t>1、任何一方对其获知的本协议涉及的所有有形、无形的信息及资料（包括但不限于甲乙双方的往来书面文件、电子邮件及信息、软盘资料等）中另一方的商业秘密</w:t>
      </w:r>
      <w:r>
        <w:rPr>
          <w:rStyle w:val="14"/>
          <w:rFonts w:hint="eastAsia" w:eastAsia="华文仿宋"/>
          <w:color w:val="auto"/>
          <w:sz w:val="24"/>
          <w:szCs w:val="24"/>
          <w:lang w:eastAsia="zh-CN"/>
        </w:rPr>
        <w:t>（</w:t>
      </w:r>
      <w:r>
        <w:rPr>
          <w:rStyle w:val="14"/>
          <w:rFonts w:hint="eastAsia" w:eastAsia="华文仿宋"/>
          <w:color w:val="auto"/>
          <w:sz w:val="24"/>
          <w:szCs w:val="24"/>
          <w:lang w:val="en-US" w:eastAsia="zh-CN"/>
        </w:rPr>
        <w:t>法律法规规定应予公开的信息除外</w:t>
      </w:r>
      <w:r>
        <w:rPr>
          <w:rStyle w:val="14"/>
          <w:rFonts w:hint="eastAsia" w:eastAsia="华文仿宋"/>
          <w:color w:val="auto"/>
          <w:sz w:val="24"/>
          <w:szCs w:val="24"/>
          <w:lang w:eastAsia="zh-CN"/>
        </w:rPr>
        <w:t>）</w:t>
      </w:r>
      <w:r>
        <w:rPr>
          <w:rStyle w:val="14"/>
          <w:rFonts w:hint="default"/>
          <w:color w:val="auto"/>
          <w:sz w:val="24"/>
          <w:szCs w:val="24"/>
        </w:rPr>
        <w:t>或国家秘密负有保密义务。</w:t>
      </w:r>
    </w:p>
    <w:p>
      <w:pPr>
        <w:rPr>
          <w:rFonts w:ascii="华文仿宋" w:hAnsi="华文仿宋" w:eastAsia="华文仿宋"/>
          <w:color w:val="auto"/>
          <w:sz w:val="24"/>
          <w:szCs w:val="24"/>
        </w:rPr>
      </w:pPr>
      <w:r>
        <w:rPr>
          <w:rStyle w:val="14"/>
          <w:rFonts w:hint="default"/>
          <w:color w:val="auto"/>
          <w:sz w:val="24"/>
          <w:szCs w:val="24"/>
        </w:rPr>
        <w:t>2、除法律、法规或本协议另有规定，或得到本协议另一方的书面许可外，任何一方不得向第三方泄露前款规定的商业秘密或国家秘密。保密期限自任何一方获知该商业秘密或国家秘密之日起至本条规定的秘密成为公众信息之日止。</w:t>
      </w:r>
    </w:p>
    <w:p>
      <w:pPr>
        <w:pStyle w:val="4"/>
        <w:numPr>
          <w:ilvl w:val="0"/>
          <w:numId w:val="4"/>
        </w:numPr>
        <w:spacing w:before="0" w:after="0"/>
        <w:rPr>
          <w:rFonts w:ascii="华文仿宋" w:hAnsi="华文仿宋" w:eastAsia="华文仿宋"/>
          <w:b w:val="0"/>
          <w:color w:val="auto"/>
          <w:sz w:val="24"/>
          <w:szCs w:val="24"/>
        </w:rPr>
      </w:pPr>
      <w:bookmarkStart w:id="26" w:name="_Toc413"/>
      <w:bookmarkStart w:id="27" w:name="_Toc5753"/>
      <w:bookmarkStart w:id="28" w:name="_Toc31859"/>
      <w:r>
        <w:rPr>
          <w:rFonts w:hint="default" w:ascii="华文仿宋" w:hAnsi="华文仿宋" w:eastAsia="华文仿宋"/>
          <w:b w:val="0"/>
          <w:color w:val="auto"/>
          <w:sz w:val="24"/>
          <w:szCs w:val="24"/>
        </w:rPr>
        <w:t>争议的解决</w:t>
      </w:r>
      <w:bookmarkEnd w:id="26"/>
      <w:bookmarkEnd w:id="27"/>
      <w:bookmarkEnd w:id="28"/>
    </w:p>
    <w:p>
      <w:pPr>
        <w:rPr>
          <w:rStyle w:val="14"/>
          <w:rFonts w:hint="default"/>
          <w:color w:val="auto"/>
          <w:sz w:val="24"/>
          <w:szCs w:val="24"/>
        </w:rPr>
      </w:pPr>
      <w:r>
        <w:rPr>
          <w:rStyle w:val="14"/>
          <w:rFonts w:hint="default"/>
          <w:color w:val="auto"/>
          <w:sz w:val="24"/>
          <w:szCs w:val="24"/>
        </w:rPr>
        <w:t>在执行本协议中发生的与本协议有关的争端，甲乙双方应通过友好协商解决，经协商在60天内不能达成协议时，甲乙双方同意将争议提交有管辖权的人民法院解决。</w:t>
      </w:r>
    </w:p>
    <w:p>
      <w:pPr>
        <w:pStyle w:val="4"/>
        <w:numPr>
          <w:ilvl w:val="0"/>
          <w:numId w:val="4"/>
        </w:numPr>
        <w:spacing w:before="0" w:after="0"/>
        <w:rPr>
          <w:rFonts w:hint="default" w:ascii="华文仿宋" w:hAnsi="华文仿宋" w:eastAsia="华文仿宋"/>
          <w:b w:val="0"/>
          <w:color w:val="auto"/>
          <w:sz w:val="24"/>
          <w:szCs w:val="24"/>
        </w:rPr>
      </w:pPr>
      <w:bookmarkStart w:id="29" w:name="_Toc30734"/>
      <w:bookmarkStart w:id="30" w:name="_Toc13507"/>
      <w:bookmarkStart w:id="31" w:name="_Toc19151"/>
      <w:r>
        <w:rPr>
          <w:rFonts w:hint="default" w:ascii="华文仿宋" w:hAnsi="华文仿宋" w:eastAsia="华文仿宋"/>
          <w:b w:val="0"/>
          <w:color w:val="auto"/>
          <w:sz w:val="24"/>
          <w:szCs w:val="24"/>
        </w:rPr>
        <w:t>协议的解释</w:t>
      </w:r>
      <w:bookmarkEnd w:id="29"/>
      <w:bookmarkEnd w:id="30"/>
      <w:bookmarkEnd w:id="31"/>
    </w:p>
    <w:p>
      <w:pPr>
        <w:rPr>
          <w:rFonts w:ascii="华文仿宋" w:hAnsi="华文仿宋" w:eastAsia="华文仿宋"/>
          <w:color w:val="auto"/>
          <w:sz w:val="24"/>
          <w:szCs w:val="24"/>
        </w:rPr>
      </w:pPr>
      <w:r>
        <w:rPr>
          <w:rStyle w:val="14"/>
          <w:rFonts w:hint="default"/>
          <w:color w:val="auto"/>
          <w:sz w:val="24"/>
          <w:szCs w:val="24"/>
        </w:rPr>
        <w:t>1、任何一方对本协议及其附件的解释均应遵循诚实信用原则，依照本协议签订时有效的国家法律、法规以及人们通常的理解进行。</w:t>
      </w:r>
    </w:p>
    <w:p>
      <w:pPr>
        <w:rPr>
          <w:rFonts w:ascii="华文仿宋" w:hAnsi="华文仿宋" w:eastAsia="华文仿宋"/>
          <w:color w:val="auto"/>
          <w:sz w:val="24"/>
          <w:szCs w:val="24"/>
        </w:rPr>
      </w:pPr>
      <w:r>
        <w:rPr>
          <w:rStyle w:val="14"/>
          <w:rFonts w:hint="default"/>
          <w:color w:val="auto"/>
          <w:sz w:val="24"/>
          <w:szCs w:val="24"/>
        </w:rPr>
        <w:t>2、本协议中以日表述的时间期限均指公历日。</w:t>
      </w:r>
    </w:p>
    <w:p>
      <w:pPr>
        <w:pStyle w:val="4"/>
        <w:numPr>
          <w:ilvl w:val="0"/>
          <w:numId w:val="4"/>
        </w:numPr>
        <w:spacing w:before="0" w:after="0"/>
        <w:rPr>
          <w:rFonts w:hint="default" w:ascii="华文仿宋" w:hAnsi="华文仿宋" w:eastAsia="华文仿宋"/>
          <w:b w:val="0"/>
          <w:color w:val="auto"/>
          <w:sz w:val="24"/>
          <w:szCs w:val="24"/>
        </w:rPr>
      </w:pPr>
      <w:bookmarkStart w:id="32" w:name="_Toc15820"/>
      <w:bookmarkStart w:id="33" w:name="_Toc19779"/>
      <w:bookmarkStart w:id="34" w:name="_Toc20303"/>
      <w:r>
        <w:rPr>
          <w:rFonts w:hint="default" w:ascii="华文仿宋" w:hAnsi="华文仿宋" w:eastAsia="华文仿宋"/>
          <w:b w:val="0"/>
          <w:color w:val="auto"/>
          <w:sz w:val="24"/>
          <w:szCs w:val="24"/>
        </w:rPr>
        <w:t>协议修改</w:t>
      </w:r>
      <w:bookmarkEnd w:id="32"/>
      <w:bookmarkEnd w:id="33"/>
      <w:bookmarkEnd w:id="34"/>
    </w:p>
    <w:p>
      <w:pPr>
        <w:rPr>
          <w:rStyle w:val="14"/>
          <w:rFonts w:hint="default"/>
          <w:color w:val="auto"/>
          <w:sz w:val="24"/>
          <w:szCs w:val="24"/>
        </w:rPr>
      </w:pPr>
      <w:r>
        <w:rPr>
          <w:rStyle w:val="14"/>
          <w:rFonts w:hint="default"/>
          <w:color w:val="auto"/>
          <w:sz w:val="24"/>
          <w:szCs w:val="24"/>
        </w:rPr>
        <w:t>1、对于本协议的未尽事宜，需进行修改、补充或完善的，甲乙双方必须就所修改的内容签订补充协议。</w:t>
      </w:r>
    </w:p>
    <w:p>
      <w:pPr>
        <w:rPr>
          <w:rStyle w:val="14"/>
          <w:rFonts w:hint="default"/>
          <w:color w:val="auto"/>
          <w:sz w:val="24"/>
          <w:szCs w:val="24"/>
        </w:rPr>
      </w:pPr>
      <w:r>
        <w:rPr>
          <w:rStyle w:val="14"/>
          <w:rFonts w:hint="default"/>
          <w:color w:val="auto"/>
          <w:sz w:val="24"/>
          <w:szCs w:val="24"/>
        </w:rPr>
        <w:t>2、补充协议与本协议具有同等法律效力，补充协议与本协议不一致的，以补充协议为准。</w:t>
      </w:r>
    </w:p>
    <w:p>
      <w:pPr>
        <w:pStyle w:val="4"/>
        <w:numPr>
          <w:ilvl w:val="0"/>
          <w:numId w:val="4"/>
        </w:numPr>
        <w:spacing w:before="0" w:after="0"/>
        <w:rPr>
          <w:rFonts w:hint="default" w:ascii="华文仿宋" w:hAnsi="华文仿宋" w:eastAsia="华文仿宋"/>
          <w:b w:val="0"/>
          <w:color w:val="auto"/>
          <w:sz w:val="24"/>
          <w:szCs w:val="24"/>
        </w:rPr>
      </w:pPr>
      <w:bookmarkStart w:id="35" w:name="_Toc2426"/>
      <w:bookmarkStart w:id="36" w:name="_Toc5182"/>
      <w:bookmarkStart w:id="37" w:name="_Toc8060"/>
      <w:r>
        <w:rPr>
          <w:rFonts w:hint="default" w:ascii="华文仿宋" w:hAnsi="华文仿宋" w:eastAsia="华文仿宋"/>
          <w:b w:val="0"/>
          <w:color w:val="auto"/>
          <w:sz w:val="24"/>
          <w:szCs w:val="24"/>
        </w:rPr>
        <w:t>协议生效</w:t>
      </w:r>
      <w:bookmarkEnd w:id="35"/>
      <w:bookmarkEnd w:id="36"/>
      <w:bookmarkEnd w:id="37"/>
    </w:p>
    <w:p>
      <w:pPr>
        <w:rPr>
          <w:rFonts w:ascii="华文仿宋" w:hAnsi="华文仿宋" w:eastAsia="华文仿宋"/>
          <w:color w:val="auto"/>
          <w:sz w:val="24"/>
          <w:szCs w:val="24"/>
        </w:rPr>
      </w:pPr>
      <w:r>
        <w:rPr>
          <w:rStyle w:val="14"/>
          <w:rFonts w:hint="default"/>
          <w:color w:val="auto"/>
          <w:sz w:val="24"/>
          <w:szCs w:val="24"/>
        </w:rPr>
        <w:t>1、除非另有说明，本协议经甲乙双方加盖公章后，即开始生效。</w:t>
      </w:r>
    </w:p>
    <w:p>
      <w:pPr>
        <w:rPr>
          <w:rFonts w:ascii="Calibri" w:hAnsi="Calibri"/>
          <w:color w:val="auto"/>
          <w:sz w:val="24"/>
          <w:szCs w:val="24"/>
        </w:rPr>
      </w:pPr>
      <w:r>
        <w:rPr>
          <w:rStyle w:val="14"/>
          <w:rFonts w:hint="default"/>
          <w:color w:val="auto"/>
          <w:sz w:val="24"/>
          <w:szCs w:val="24"/>
        </w:rPr>
        <w:t>2、本协议中的附件均为本协议不可分割的部分，与本协议具有同等的法律效力。</w:t>
      </w:r>
    </w:p>
    <w:p>
      <w:pPr>
        <w:pStyle w:val="4"/>
        <w:numPr>
          <w:ilvl w:val="0"/>
          <w:numId w:val="4"/>
        </w:numPr>
        <w:spacing w:before="0" w:after="0"/>
        <w:rPr>
          <w:rFonts w:hint="default" w:ascii="华文仿宋" w:hAnsi="华文仿宋" w:eastAsia="华文仿宋"/>
          <w:b w:val="0"/>
          <w:color w:val="auto"/>
          <w:sz w:val="24"/>
          <w:szCs w:val="24"/>
        </w:rPr>
      </w:pPr>
      <w:bookmarkStart w:id="38" w:name="_Toc26958"/>
      <w:bookmarkStart w:id="39" w:name="_Toc15363"/>
      <w:bookmarkStart w:id="40" w:name="_Toc261"/>
      <w:r>
        <w:rPr>
          <w:rFonts w:hint="default" w:ascii="华文仿宋" w:hAnsi="华文仿宋" w:eastAsia="华文仿宋"/>
          <w:b w:val="0"/>
          <w:color w:val="auto"/>
          <w:sz w:val="24"/>
          <w:szCs w:val="24"/>
        </w:rPr>
        <w:t>协议的终止</w:t>
      </w:r>
      <w:bookmarkEnd w:id="38"/>
      <w:bookmarkEnd w:id="39"/>
      <w:bookmarkEnd w:id="40"/>
    </w:p>
    <w:p>
      <w:pPr>
        <w:rPr>
          <w:rFonts w:ascii="华文仿宋" w:hAnsi="华文仿宋" w:eastAsia="华文仿宋"/>
          <w:color w:val="auto"/>
          <w:sz w:val="24"/>
          <w:szCs w:val="24"/>
        </w:rPr>
      </w:pPr>
      <w:r>
        <w:rPr>
          <w:rStyle w:val="14"/>
          <w:rFonts w:hint="default"/>
          <w:color w:val="auto"/>
          <w:sz w:val="24"/>
          <w:szCs w:val="24"/>
        </w:rPr>
        <w:t>1、本协议有效期与武汉市直行政事业单位2021年度协议服务有效期一致。除本协议另有约定外，在有效期内任何一方不得擅自终止，否则应负担所造成的一切损失。如一方因故需终止合同，必须提前三个月书面通知另一方，经双方达成一致意见后，方可终止。</w:t>
      </w:r>
    </w:p>
    <w:p>
      <w:pPr>
        <w:rPr>
          <w:rFonts w:ascii="华文仿宋" w:hAnsi="华文仿宋" w:eastAsia="华文仿宋"/>
          <w:color w:val="auto"/>
          <w:sz w:val="24"/>
          <w:szCs w:val="24"/>
        </w:rPr>
      </w:pPr>
      <w:r>
        <w:rPr>
          <w:rStyle w:val="14"/>
          <w:rFonts w:hint="default"/>
          <w:color w:val="auto"/>
          <w:sz w:val="24"/>
          <w:szCs w:val="24"/>
        </w:rPr>
        <w:t>2、出现下列情况时本协议自行终止：</w:t>
      </w:r>
    </w:p>
    <w:p>
      <w:pPr>
        <w:rPr>
          <w:rFonts w:ascii="华文仿宋" w:hAnsi="华文仿宋" w:eastAsia="华文仿宋"/>
          <w:color w:val="auto"/>
          <w:sz w:val="24"/>
          <w:szCs w:val="24"/>
        </w:rPr>
      </w:pPr>
      <w:r>
        <w:rPr>
          <w:rStyle w:val="14"/>
          <w:rFonts w:hint="default"/>
          <w:color w:val="auto"/>
          <w:sz w:val="24"/>
          <w:szCs w:val="24"/>
        </w:rPr>
        <w:t>（1）本协议正常履行完毕；</w:t>
      </w:r>
    </w:p>
    <w:p>
      <w:pPr>
        <w:rPr>
          <w:rFonts w:ascii="华文仿宋" w:hAnsi="华文仿宋" w:eastAsia="华文仿宋"/>
          <w:color w:val="auto"/>
          <w:sz w:val="24"/>
          <w:szCs w:val="24"/>
        </w:rPr>
      </w:pPr>
      <w:r>
        <w:rPr>
          <w:rStyle w:val="14"/>
          <w:rFonts w:hint="default"/>
          <w:color w:val="auto"/>
          <w:sz w:val="24"/>
          <w:szCs w:val="24"/>
        </w:rPr>
        <w:t>（2）甲乙双方协议终止本协议的履行；</w:t>
      </w:r>
    </w:p>
    <w:p>
      <w:pPr>
        <w:rPr>
          <w:rFonts w:ascii="华文仿宋" w:hAnsi="华文仿宋" w:eastAsia="华文仿宋"/>
          <w:color w:val="auto"/>
          <w:sz w:val="24"/>
          <w:szCs w:val="24"/>
        </w:rPr>
      </w:pPr>
      <w:r>
        <w:rPr>
          <w:rStyle w:val="14"/>
          <w:rFonts w:hint="default"/>
          <w:color w:val="auto"/>
          <w:sz w:val="24"/>
          <w:szCs w:val="24"/>
        </w:rPr>
        <w:t>（3）不可抗力导致本协议无法履行或履行不必要时；</w:t>
      </w:r>
    </w:p>
    <w:p>
      <w:pPr>
        <w:rPr>
          <w:rFonts w:ascii="华文仿宋" w:hAnsi="华文仿宋" w:eastAsia="华文仿宋"/>
          <w:color w:val="auto"/>
          <w:sz w:val="24"/>
          <w:szCs w:val="24"/>
        </w:rPr>
      </w:pPr>
      <w:r>
        <w:rPr>
          <w:rStyle w:val="14"/>
          <w:rFonts w:hint="default"/>
          <w:color w:val="auto"/>
          <w:sz w:val="24"/>
          <w:szCs w:val="24"/>
        </w:rPr>
        <w:t>（4）一方不履行协议条款，造成另一方无法执行协议，协商又不能求得解决，责任方赔偿损失后，协议终止。</w:t>
      </w:r>
    </w:p>
    <w:p>
      <w:pPr>
        <w:rPr>
          <w:rFonts w:ascii="华文仿宋" w:hAnsi="华文仿宋" w:eastAsia="华文仿宋"/>
          <w:color w:val="auto"/>
          <w:sz w:val="24"/>
          <w:szCs w:val="24"/>
        </w:rPr>
      </w:pPr>
      <w:r>
        <w:rPr>
          <w:rStyle w:val="14"/>
          <w:rFonts w:hint="default"/>
          <w:color w:val="auto"/>
          <w:sz w:val="24"/>
          <w:szCs w:val="24"/>
        </w:rPr>
        <w:t>3、乙方出现本协议第四条所列违约情形的，甲方有权解除协议，对于由此给乙方造成的损失甲方不承担赔偿责任，对于由此给甲方造成的损失，乙方应负赔偿责任。</w:t>
      </w:r>
    </w:p>
    <w:p>
      <w:pPr>
        <w:pStyle w:val="4"/>
        <w:numPr>
          <w:ilvl w:val="0"/>
          <w:numId w:val="4"/>
        </w:numPr>
        <w:spacing w:before="0" w:after="0"/>
        <w:rPr>
          <w:rFonts w:hint="default" w:ascii="华文仿宋" w:hAnsi="华文仿宋" w:eastAsia="华文仿宋"/>
          <w:b w:val="0"/>
          <w:color w:val="auto"/>
          <w:sz w:val="24"/>
          <w:szCs w:val="24"/>
        </w:rPr>
      </w:pPr>
      <w:bookmarkStart w:id="41" w:name="_Toc25858"/>
      <w:bookmarkStart w:id="42" w:name="_Toc17886"/>
      <w:bookmarkStart w:id="43" w:name="_Toc12978"/>
      <w:r>
        <w:rPr>
          <w:rFonts w:hint="default" w:ascii="华文仿宋" w:hAnsi="华文仿宋" w:eastAsia="华文仿宋"/>
          <w:b w:val="0"/>
          <w:color w:val="auto"/>
          <w:sz w:val="24"/>
          <w:szCs w:val="24"/>
        </w:rPr>
        <w:t>法律适用</w:t>
      </w:r>
      <w:bookmarkEnd w:id="41"/>
      <w:bookmarkEnd w:id="42"/>
      <w:bookmarkEnd w:id="43"/>
    </w:p>
    <w:p>
      <w:pPr>
        <w:rPr>
          <w:rFonts w:ascii="华文仿宋" w:hAnsi="华文仿宋" w:eastAsia="华文仿宋"/>
          <w:color w:val="auto"/>
          <w:sz w:val="24"/>
          <w:szCs w:val="24"/>
        </w:rPr>
      </w:pPr>
      <w:r>
        <w:rPr>
          <w:rStyle w:val="14"/>
          <w:rFonts w:hint="default"/>
          <w:color w:val="auto"/>
          <w:sz w:val="24"/>
          <w:szCs w:val="24"/>
        </w:rPr>
        <w:t>本协议及附件的订立、效力、解释、履行、争议的解决等适用本协议签订时有效的国家法律、法规的有关规定。</w:t>
      </w:r>
    </w:p>
    <w:p>
      <w:pPr>
        <w:pStyle w:val="4"/>
        <w:numPr>
          <w:ilvl w:val="0"/>
          <w:numId w:val="4"/>
        </w:numPr>
        <w:spacing w:before="0" w:after="0"/>
        <w:rPr>
          <w:rFonts w:hint="default" w:ascii="华文仿宋" w:hAnsi="华文仿宋" w:eastAsia="华文仿宋"/>
          <w:b w:val="0"/>
          <w:color w:val="auto"/>
          <w:sz w:val="24"/>
          <w:szCs w:val="24"/>
        </w:rPr>
      </w:pPr>
      <w:bookmarkStart w:id="44" w:name="_Toc11186"/>
      <w:bookmarkStart w:id="45" w:name="_Toc8256"/>
      <w:bookmarkStart w:id="46" w:name="_Toc23893"/>
      <w:r>
        <w:rPr>
          <w:rFonts w:hint="default" w:ascii="华文仿宋" w:hAnsi="华文仿宋" w:eastAsia="华文仿宋"/>
          <w:b w:val="0"/>
          <w:color w:val="auto"/>
          <w:sz w:val="24"/>
          <w:szCs w:val="24"/>
        </w:rPr>
        <w:t>权利的保留</w:t>
      </w:r>
      <w:bookmarkEnd w:id="44"/>
      <w:bookmarkEnd w:id="45"/>
      <w:bookmarkEnd w:id="46"/>
    </w:p>
    <w:p>
      <w:pPr>
        <w:rPr>
          <w:rFonts w:ascii="Calibri" w:hAnsi="Calibri"/>
          <w:color w:val="auto"/>
          <w:sz w:val="24"/>
          <w:szCs w:val="24"/>
        </w:rPr>
      </w:pPr>
      <w:r>
        <w:rPr>
          <w:rStyle w:val="14"/>
          <w:rFonts w:hint="default"/>
          <w:color w:val="auto"/>
          <w:sz w:val="24"/>
          <w:szCs w:val="24"/>
        </w:rPr>
        <w:t>1、任何一方没有行使其权利或没有就违约方的违约行为采取任何行动，不应被视为是对其权利的放弃或对追究其他各方违约责任权利的放弃。任何一方放弃针对违约方的某种权利，或放弃追究违约方的某种责任，不应视为对其他权利或追究其他责任的放弃。</w:t>
      </w:r>
    </w:p>
    <w:p>
      <w:pPr>
        <w:rPr>
          <w:rFonts w:ascii="华文仿宋" w:hAnsi="华文仿宋" w:eastAsia="华文仿宋"/>
          <w:color w:val="auto"/>
          <w:sz w:val="24"/>
          <w:szCs w:val="24"/>
        </w:rPr>
      </w:pPr>
      <w:r>
        <w:rPr>
          <w:rStyle w:val="14"/>
          <w:rFonts w:hint="default"/>
          <w:color w:val="auto"/>
          <w:sz w:val="24"/>
          <w:szCs w:val="24"/>
        </w:rPr>
        <w:t>2、如果本协议部分条款依据协议生效后颁布的有关法律、法规被确认为无效或无法履行，且该部分无效或无法履行的条款不影响本协议其他条款效力的，本协议其他条款继续有效；同时，协议各方应根据现行有关法律、法规对该部分无效或无法履行的条款进行调整，使其依法成为有效条款，并尽量符合本协议所体现的原则和精神。</w:t>
      </w:r>
    </w:p>
    <w:p>
      <w:pPr>
        <w:rPr>
          <w:rStyle w:val="14"/>
          <w:rFonts w:hint="default"/>
          <w:color w:val="auto"/>
          <w:sz w:val="24"/>
          <w:szCs w:val="24"/>
        </w:rPr>
      </w:pPr>
      <w:r>
        <w:rPr>
          <w:rStyle w:val="14"/>
          <w:rFonts w:hint="default"/>
          <w:color w:val="auto"/>
          <w:sz w:val="24"/>
          <w:szCs w:val="24"/>
        </w:rPr>
        <w:t>3、在本协议履行期间，因国家法律、法规、政策的变化致使本协议的部分条款相冲突、无效或失去可强制执行效力时，甲乙双方应尽快修改本协议中相冲突或无效或失去可强制执行效力的条款。</w:t>
      </w:r>
    </w:p>
    <w:p>
      <w:pPr>
        <w:pStyle w:val="7"/>
        <w:rPr>
          <w:rStyle w:val="14"/>
          <w:rFonts w:hint="default" w:eastAsia="华文仿宋"/>
          <w:color w:val="auto"/>
          <w:sz w:val="24"/>
          <w:szCs w:val="24"/>
          <w:lang w:val="en-US" w:eastAsia="zh-CN"/>
        </w:rPr>
      </w:pPr>
    </w:p>
    <w:p>
      <w:pPr>
        <w:rPr>
          <w:rFonts w:ascii="华文仿宋" w:hAnsi="华文仿宋" w:eastAsia="华文仿宋"/>
          <w:color w:val="auto"/>
          <w:sz w:val="24"/>
          <w:szCs w:val="24"/>
        </w:rPr>
      </w:pPr>
      <w:r>
        <w:rPr>
          <w:rStyle w:val="14"/>
          <w:rFonts w:hint="default"/>
          <w:color w:val="auto"/>
          <w:sz w:val="24"/>
          <w:szCs w:val="24"/>
        </w:rPr>
        <w:t>甲方：                                 乙方：</w:t>
      </w:r>
    </w:p>
    <w:p>
      <w:pPr>
        <w:rPr>
          <w:rFonts w:ascii="华文仿宋" w:hAnsi="华文仿宋" w:eastAsia="华文仿宋"/>
          <w:color w:val="auto"/>
          <w:sz w:val="24"/>
          <w:szCs w:val="24"/>
        </w:rPr>
      </w:pPr>
      <w:r>
        <w:rPr>
          <w:rStyle w:val="14"/>
          <w:rFonts w:hint="default"/>
          <w:color w:val="auto"/>
          <w:sz w:val="24"/>
          <w:szCs w:val="24"/>
        </w:rPr>
        <w:t>单位名称（公章）                       单位名称（公章）</w:t>
      </w:r>
    </w:p>
    <w:p>
      <w:pPr>
        <w:rPr>
          <w:color w:val="auto"/>
        </w:rPr>
      </w:pPr>
      <w:r>
        <w:rPr>
          <w:rStyle w:val="14"/>
          <w:rFonts w:hint="default"/>
          <w:color w:val="auto"/>
          <w:sz w:val="24"/>
          <w:szCs w:val="24"/>
        </w:rPr>
        <w:t>签约日期：                             签约日期：</w:t>
      </w:r>
    </w:p>
    <w:p>
      <w:pPr>
        <w:pStyle w:val="9"/>
        <w:numPr>
          <w:ilvl w:val="0"/>
          <w:numId w:val="0"/>
        </w:numPr>
        <w:rPr>
          <w:rFonts w:hint="default" w:ascii="仿宋" w:hAnsi="仿宋" w:eastAsia="仿宋"/>
          <w:bCs/>
          <w:sz w:val="24"/>
          <w:szCs w:val="24"/>
          <w:lang w:val="en-US" w:eastAsia="zh-CN"/>
        </w:rPr>
      </w:pPr>
    </w:p>
    <w:p>
      <w:pPr>
        <w:pStyle w:val="9"/>
        <w:numPr>
          <w:ilvl w:val="0"/>
          <w:numId w:val="0"/>
        </w:numPr>
        <w:rPr>
          <w:rFonts w:hint="default" w:ascii="仿宋" w:hAnsi="仿宋" w:eastAsia="仿宋"/>
          <w:bCs/>
          <w:sz w:val="24"/>
          <w:szCs w:val="24"/>
          <w:lang w:val="en-US" w:eastAsia="zh-CN"/>
        </w:rPr>
      </w:pPr>
    </w:p>
    <w:p>
      <w:pPr>
        <w:pStyle w:val="9"/>
        <w:numPr>
          <w:ilvl w:val="0"/>
          <w:numId w:val="0"/>
        </w:numPr>
        <w:rPr>
          <w:rFonts w:hint="default" w:ascii="仿宋" w:hAnsi="仿宋" w:eastAsia="仿宋"/>
          <w:bCs/>
          <w:sz w:val="24"/>
          <w:szCs w:val="24"/>
          <w:lang w:val="en-US" w:eastAsia="zh-CN"/>
        </w:rPr>
      </w:pPr>
    </w:p>
    <w:p>
      <w:pPr>
        <w:pStyle w:val="9"/>
        <w:numPr>
          <w:ilvl w:val="0"/>
          <w:numId w:val="0"/>
        </w:numPr>
        <w:rPr>
          <w:rFonts w:hint="default" w:ascii="仿宋" w:hAnsi="仿宋" w:eastAsia="仿宋"/>
          <w:bCs/>
          <w:sz w:val="24"/>
          <w:szCs w:val="24"/>
          <w:lang w:val="en-US" w:eastAsia="zh-CN"/>
        </w:rPr>
      </w:pPr>
    </w:p>
    <w:p>
      <w:pPr>
        <w:pStyle w:val="9"/>
        <w:numPr>
          <w:ilvl w:val="0"/>
          <w:numId w:val="0"/>
        </w:numPr>
        <w:rPr>
          <w:rFonts w:hint="default" w:ascii="仿宋" w:hAnsi="仿宋" w:eastAsia="仿宋"/>
          <w:bCs/>
          <w:sz w:val="24"/>
          <w:szCs w:val="24"/>
          <w:lang w:val="en-US" w:eastAsia="zh-CN"/>
        </w:rPr>
      </w:pPr>
    </w:p>
    <w:p>
      <w:pPr>
        <w:pStyle w:val="9"/>
        <w:numPr>
          <w:ilvl w:val="0"/>
          <w:numId w:val="0"/>
        </w:numPr>
        <w:rPr>
          <w:rFonts w:hint="default" w:ascii="仿宋" w:hAnsi="仿宋" w:eastAsia="仿宋"/>
          <w:bCs/>
          <w:sz w:val="24"/>
          <w:szCs w:val="24"/>
          <w:lang w:val="en-US" w:eastAsia="zh-CN"/>
        </w:rPr>
      </w:pPr>
    </w:p>
    <w:p>
      <w:pPr>
        <w:pStyle w:val="9"/>
        <w:numPr>
          <w:ilvl w:val="0"/>
          <w:numId w:val="0"/>
        </w:numPr>
        <w:rPr>
          <w:rFonts w:hint="eastAsia" w:ascii="仿宋" w:hAnsi="仿宋" w:eastAsia="仿宋"/>
          <w:bCs/>
          <w:sz w:val="24"/>
          <w:szCs w:val="24"/>
          <w:lang w:val="en-US" w:eastAsia="zh-CN"/>
        </w:rPr>
      </w:pPr>
      <w:r>
        <w:rPr>
          <w:rFonts w:hint="eastAsia" w:ascii="仿宋" w:hAnsi="仿宋" w:eastAsia="仿宋"/>
          <w:bCs/>
          <w:sz w:val="24"/>
          <w:szCs w:val="24"/>
          <w:lang w:val="en-US" w:eastAsia="zh-CN"/>
        </w:rPr>
        <w:t>附件1：</w:t>
      </w:r>
    </w:p>
    <w:p>
      <w:pPr>
        <w:pStyle w:val="9"/>
        <w:numPr>
          <w:ilvl w:val="0"/>
          <w:numId w:val="0"/>
        </w:numPr>
        <w:rPr>
          <w:rFonts w:hint="eastAsia" w:ascii="仿宋" w:hAnsi="仿宋" w:eastAsia="仿宋"/>
          <w:bCs/>
          <w:sz w:val="24"/>
          <w:szCs w:val="24"/>
          <w:lang w:val="en-US" w:eastAsia="zh-CN"/>
        </w:rPr>
      </w:pPr>
      <w:r>
        <w:rPr>
          <w:rFonts w:hint="eastAsia" w:ascii="仿宋" w:hAnsi="仿宋" w:eastAsia="仿宋"/>
          <w:bCs/>
          <w:sz w:val="24"/>
          <w:szCs w:val="24"/>
          <w:lang w:val="en-US" w:eastAsia="zh-CN"/>
        </w:rPr>
        <w:t>公务用车采购合同</w:t>
      </w:r>
    </w:p>
    <w:p>
      <w:pPr>
        <w:pStyle w:val="9"/>
        <w:numPr>
          <w:ilvl w:val="0"/>
          <w:numId w:val="0"/>
        </w:numPr>
        <w:rPr>
          <w:rFonts w:hint="eastAsia" w:ascii="仿宋" w:hAnsi="仿宋" w:eastAsia="仿宋"/>
          <w:bCs/>
          <w:sz w:val="24"/>
          <w:szCs w:val="24"/>
          <w:lang w:val="en-US" w:eastAsia="zh-CN"/>
        </w:rPr>
      </w:pPr>
    </w:p>
    <w:p>
      <w:pPr>
        <w:pStyle w:val="9"/>
        <w:numPr>
          <w:ilvl w:val="0"/>
          <w:numId w:val="0"/>
        </w:numPr>
        <w:rPr>
          <w:rFonts w:hint="eastAsia" w:ascii="仿宋" w:hAnsi="仿宋" w:eastAsia="仿宋"/>
          <w:bCs/>
          <w:sz w:val="24"/>
          <w:szCs w:val="24"/>
          <w:lang w:val="en-US" w:eastAsia="zh-CN"/>
        </w:rPr>
      </w:pPr>
      <w:r>
        <w:rPr>
          <w:rFonts w:hint="eastAsia" w:ascii="仿宋" w:hAnsi="仿宋" w:eastAsia="仿宋"/>
          <w:bCs/>
          <w:sz w:val="24"/>
          <w:szCs w:val="24"/>
          <w:lang w:val="en-US" w:eastAsia="zh-CN"/>
        </w:rPr>
        <w:t>项目名称：</w:t>
      </w:r>
    </w:p>
    <w:p>
      <w:pPr>
        <w:pStyle w:val="9"/>
        <w:numPr>
          <w:ilvl w:val="0"/>
          <w:numId w:val="0"/>
        </w:numPr>
        <w:rPr>
          <w:rFonts w:hint="eastAsia" w:ascii="仿宋" w:hAnsi="仿宋" w:eastAsia="仿宋"/>
          <w:bCs/>
          <w:sz w:val="24"/>
          <w:szCs w:val="24"/>
          <w:lang w:val="en-US" w:eastAsia="zh-CN"/>
        </w:rPr>
      </w:pPr>
      <w:r>
        <w:rPr>
          <w:rFonts w:hint="eastAsia" w:ascii="仿宋" w:hAnsi="仿宋" w:eastAsia="仿宋"/>
          <w:bCs/>
          <w:sz w:val="24"/>
          <w:szCs w:val="24"/>
          <w:lang w:val="en-US" w:eastAsia="zh-CN"/>
        </w:rPr>
        <w:t>合同编号：</w:t>
      </w:r>
    </w:p>
    <w:p>
      <w:pPr>
        <w:pStyle w:val="9"/>
        <w:numPr>
          <w:ilvl w:val="0"/>
          <w:numId w:val="0"/>
        </w:numPr>
        <w:rPr>
          <w:rFonts w:hint="eastAsia" w:ascii="仿宋" w:hAnsi="仿宋" w:eastAsia="仿宋"/>
          <w:bCs/>
          <w:sz w:val="24"/>
          <w:szCs w:val="24"/>
          <w:lang w:val="en-US" w:eastAsia="zh-CN"/>
        </w:rPr>
      </w:pPr>
    </w:p>
    <w:p>
      <w:pPr>
        <w:pStyle w:val="9"/>
        <w:numPr>
          <w:ilvl w:val="0"/>
          <w:numId w:val="0"/>
        </w:numPr>
        <w:rPr>
          <w:rFonts w:hint="eastAsia" w:ascii="仿宋" w:hAnsi="仿宋" w:eastAsia="仿宋"/>
          <w:bCs/>
          <w:sz w:val="24"/>
          <w:szCs w:val="24"/>
          <w:lang w:val="en-US" w:eastAsia="zh-CN"/>
        </w:rPr>
      </w:pPr>
    </w:p>
    <w:p>
      <w:pPr>
        <w:pStyle w:val="9"/>
        <w:numPr>
          <w:ilvl w:val="0"/>
          <w:numId w:val="0"/>
        </w:numPr>
        <w:rPr>
          <w:rFonts w:hint="default" w:ascii="仿宋" w:hAnsi="仿宋" w:eastAsia="仿宋"/>
          <w:bCs/>
          <w:sz w:val="24"/>
          <w:szCs w:val="24"/>
          <w:lang w:val="en-US" w:eastAsia="zh-CN"/>
        </w:rPr>
      </w:pPr>
    </w:p>
    <w:p>
      <w:pPr>
        <w:pStyle w:val="9"/>
        <w:numPr>
          <w:ilvl w:val="0"/>
          <w:numId w:val="0"/>
        </w:numPr>
        <w:rPr>
          <w:rFonts w:hint="eastAsia" w:ascii="仿宋" w:hAnsi="仿宋" w:eastAsia="仿宋"/>
          <w:bCs/>
          <w:sz w:val="24"/>
          <w:szCs w:val="24"/>
          <w:lang w:val="en-US" w:eastAsia="zh-CN"/>
        </w:rPr>
      </w:pPr>
      <w:r>
        <w:rPr>
          <w:rFonts w:hint="eastAsia" w:ascii="仿宋" w:hAnsi="仿宋" w:eastAsia="仿宋"/>
          <w:bCs/>
          <w:sz w:val="24"/>
          <w:szCs w:val="24"/>
          <w:lang w:val="en-US" w:eastAsia="zh-CN"/>
        </w:rPr>
        <w:t>甲方（购车方）：</w:t>
      </w:r>
    </w:p>
    <w:p>
      <w:pPr>
        <w:pStyle w:val="9"/>
        <w:numPr>
          <w:ilvl w:val="0"/>
          <w:numId w:val="0"/>
        </w:numPr>
        <w:rPr>
          <w:rFonts w:hint="eastAsia" w:ascii="仿宋" w:hAnsi="仿宋" w:eastAsia="仿宋"/>
          <w:bCs/>
          <w:sz w:val="24"/>
          <w:szCs w:val="24"/>
          <w:lang w:val="en-US" w:eastAsia="zh-CN"/>
        </w:rPr>
      </w:pPr>
      <w:r>
        <w:rPr>
          <w:rFonts w:hint="eastAsia" w:ascii="仿宋" w:hAnsi="仿宋" w:eastAsia="仿宋"/>
          <w:bCs/>
          <w:sz w:val="24"/>
          <w:szCs w:val="24"/>
          <w:lang w:val="en-US" w:eastAsia="zh-CN"/>
        </w:rPr>
        <w:t>联系地址：</w:t>
      </w:r>
    </w:p>
    <w:p>
      <w:pPr>
        <w:pStyle w:val="9"/>
        <w:numPr>
          <w:ilvl w:val="0"/>
          <w:numId w:val="0"/>
        </w:numPr>
        <w:rPr>
          <w:rFonts w:hint="eastAsia" w:ascii="仿宋" w:hAnsi="仿宋" w:eastAsia="仿宋"/>
          <w:bCs/>
          <w:sz w:val="24"/>
          <w:szCs w:val="24"/>
          <w:lang w:val="en-US" w:eastAsia="zh-CN"/>
        </w:rPr>
      </w:pPr>
      <w:r>
        <w:rPr>
          <w:rFonts w:hint="eastAsia" w:ascii="仿宋" w:hAnsi="仿宋" w:eastAsia="仿宋"/>
          <w:bCs/>
          <w:sz w:val="24"/>
          <w:szCs w:val="24"/>
          <w:lang w:val="en-US" w:eastAsia="zh-CN"/>
        </w:rPr>
        <w:t>联系电话：</w:t>
      </w:r>
    </w:p>
    <w:p>
      <w:pPr>
        <w:pStyle w:val="9"/>
        <w:numPr>
          <w:ilvl w:val="0"/>
          <w:numId w:val="0"/>
        </w:numPr>
        <w:rPr>
          <w:rFonts w:hint="eastAsia" w:ascii="仿宋" w:hAnsi="仿宋" w:eastAsia="仿宋"/>
          <w:bCs/>
          <w:sz w:val="24"/>
          <w:szCs w:val="24"/>
          <w:lang w:val="en-US" w:eastAsia="zh-CN"/>
        </w:rPr>
      </w:pPr>
    </w:p>
    <w:p>
      <w:pPr>
        <w:pStyle w:val="9"/>
        <w:numPr>
          <w:ilvl w:val="0"/>
          <w:numId w:val="0"/>
        </w:numPr>
        <w:rPr>
          <w:rFonts w:hint="eastAsia" w:ascii="仿宋" w:hAnsi="仿宋" w:eastAsia="仿宋"/>
          <w:bCs/>
          <w:sz w:val="24"/>
          <w:szCs w:val="24"/>
          <w:lang w:val="en-US" w:eastAsia="zh-CN"/>
        </w:rPr>
      </w:pPr>
      <w:r>
        <w:rPr>
          <w:rFonts w:hint="eastAsia" w:ascii="仿宋" w:hAnsi="仿宋" w:eastAsia="仿宋"/>
          <w:bCs/>
          <w:sz w:val="24"/>
          <w:szCs w:val="24"/>
          <w:lang w:val="en-US" w:eastAsia="zh-CN"/>
        </w:rPr>
        <w:t>乙方（销售方）：</w:t>
      </w:r>
    </w:p>
    <w:p>
      <w:pPr>
        <w:pStyle w:val="9"/>
        <w:numPr>
          <w:ilvl w:val="0"/>
          <w:numId w:val="0"/>
        </w:numPr>
        <w:rPr>
          <w:rFonts w:hint="eastAsia" w:ascii="仿宋" w:hAnsi="仿宋" w:eastAsia="仿宋"/>
          <w:bCs/>
          <w:sz w:val="24"/>
          <w:szCs w:val="24"/>
          <w:lang w:val="en-US" w:eastAsia="zh-CN"/>
        </w:rPr>
      </w:pPr>
      <w:r>
        <w:rPr>
          <w:rFonts w:hint="eastAsia" w:ascii="仿宋" w:hAnsi="仿宋" w:eastAsia="仿宋"/>
          <w:bCs/>
          <w:sz w:val="24"/>
          <w:szCs w:val="24"/>
          <w:lang w:val="en-US" w:eastAsia="zh-CN"/>
        </w:rPr>
        <w:t>联系地址：</w:t>
      </w:r>
    </w:p>
    <w:p>
      <w:pPr>
        <w:pStyle w:val="9"/>
        <w:numPr>
          <w:ilvl w:val="0"/>
          <w:numId w:val="0"/>
        </w:numPr>
        <w:rPr>
          <w:rFonts w:hint="eastAsia" w:ascii="仿宋" w:hAnsi="仿宋" w:eastAsia="仿宋"/>
          <w:bCs/>
          <w:sz w:val="24"/>
          <w:szCs w:val="24"/>
          <w:lang w:val="en-US" w:eastAsia="zh-CN"/>
        </w:rPr>
      </w:pPr>
      <w:r>
        <w:rPr>
          <w:rFonts w:hint="eastAsia" w:ascii="仿宋" w:hAnsi="仿宋" w:eastAsia="仿宋"/>
          <w:bCs/>
          <w:sz w:val="24"/>
          <w:szCs w:val="24"/>
          <w:lang w:val="en-US" w:eastAsia="zh-CN"/>
        </w:rPr>
        <w:t>联系电话：</w:t>
      </w:r>
    </w:p>
    <w:p>
      <w:pPr>
        <w:pStyle w:val="9"/>
        <w:numPr>
          <w:ilvl w:val="0"/>
          <w:numId w:val="0"/>
        </w:numPr>
        <w:rPr>
          <w:rFonts w:hint="eastAsia" w:ascii="仿宋" w:hAnsi="仿宋" w:eastAsia="仿宋"/>
          <w:bCs/>
          <w:sz w:val="24"/>
          <w:szCs w:val="24"/>
          <w:lang w:val="en-US" w:eastAsia="zh-CN"/>
        </w:rPr>
      </w:pPr>
    </w:p>
    <w:p>
      <w:pPr>
        <w:pStyle w:val="9"/>
        <w:numPr>
          <w:ilvl w:val="0"/>
          <w:numId w:val="0"/>
        </w:numPr>
        <w:ind w:firstLine="480" w:firstLineChars="200"/>
        <w:rPr>
          <w:rFonts w:hint="eastAsia" w:ascii="仿宋" w:hAnsi="仿宋" w:eastAsia="仿宋"/>
          <w:bCs/>
          <w:sz w:val="24"/>
          <w:szCs w:val="24"/>
          <w:lang w:val="en-US" w:eastAsia="zh-CN"/>
        </w:rPr>
      </w:pPr>
      <w:r>
        <w:rPr>
          <w:rFonts w:hint="eastAsia" w:ascii="仿宋" w:hAnsi="仿宋" w:eastAsia="仿宋"/>
          <w:bCs/>
          <w:sz w:val="24"/>
          <w:szCs w:val="24"/>
          <w:lang w:val="en-US" w:eastAsia="zh-CN"/>
        </w:rPr>
        <w:t>为了保护甲乙双方合法权益，根据《中华人民共和国政府采购法》、《中华人民共和国民法典》等相关法律、法规，签订本合同，并共同遵守。</w:t>
      </w:r>
    </w:p>
    <w:p>
      <w:pPr>
        <w:pStyle w:val="9"/>
        <w:numPr>
          <w:ilvl w:val="0"/>
          <w:numId w:val="9"/>
        </w:numPr>
        <w:ind w:left="0" w:leftChars="0" w:firstLine="0" w:firstLineChars="0"/>
        <w:rPr>
          <w:rFonts w:hint="eastAsia" w:ascii="仿宋" w:hAnsi="仿宋" w:eastAsia="仿宋"/>
          <w:bCs/>
          <w:sz w:val="24"/>
          <w:szCs w:val="24"/>
          <w:lang w:val="en-US" w:eastAsia="zh-CN"/>
        </w:rPr>
      </w:pPr>
      <w:r>
        <w:rPr>
          <w:rFonts w:hint="eastAsia" w:ascii="仿宋" w:hAnsi="仿宋" w:eastAsia="仿宋"/>
          <w:bCs/>
          <w:sz w:val="24"/>
          <w:szCs w:val="24"/>
          <w:lang w:val="en-US" w:eastAsia="zh-CN"/>
        </w:rPr>
        <w:t>合同标的</w:t>
      </w: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6"/>
        <w:gridCol w:w="947"/>
        <w:gridCol w:w="947"/>
        <w:gridCol w:w="947"/>
        <w:gridCol w:w="947"/>
        <w:gridCol w:w="947"/>
        <w:gridCol w:w="947"/>
        <w:gridCol w:w="947"/>
        <w:gridCol w:w="9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6" w:type="dxa"/>
          </w:tcPr>
          <w:p>
            <w:pPr>
              <w:pStyle w:val="9"/>
              <w:numPr>
                <w:ilvl w:val="0"/>
                <w:numId w:val="0"/>
              </w:numPr>
              <w:rPr>
                <w:rFonts w:hint="default" w:ascii="仿宋" w:hAnsi="仿宋" w:eastAsia="仿宋"/>
                <w:bCs/>
                <w:sz w:val="24"/>
                <w:szCs w:val="24"/>
                <w:vertAlign w:val="baseline"/>
                <w:lang w:val="en-US" w:eastAsia="zh-CN"/>
              </w:rPr>
            </w:pPr>
            <w:r>
              <w:rPr>
                <w:rFonts w:hint="eastAsia" w:ascii="仿宋" w:hAnsi="仿宋" w:eastAsia="仿宋"/>
                <w:bCs/>
                <w:sz w:val="24"/>
                <w:szCs w:val="24"/>
                <w:vertAlign w:val="baseline"/>
                <w:lang w:val="en-US" w:eastAsia="zh-CN"/>
              </w:rPr>
              <w:t>序号</w:t>
            </w:r>
          </w:p>
        </w:tc>
        <w:tc>
          <w:tcPr>
            <w:tcW w:w="947" w:type="dxa"/>
          </w:tcPr>
          <w:p>
            <w:pPr>
              <w:pStyle w:val="9"/>
              <w:numPr>
                <w:ilvl w:val="0"/>
                <w:numId w:val="0"/>
              </w:numPr>
              <w:rPr>
                <w:rFonts w:hint="default" w:ascii="仿宋" w:hAnsi="仿宋" w:eastAsia="仿宋"/>
                <w:bCs/>
                <w:sz w:val="24"/>
                <w:szCs w:val="24"/>
                <w:vertAlign w:val="baseline"/>
                <w:lang w:val="en-US" w:eastAsia="zh-CN"/>
              </w:rPr>
            </w:pPr>
            <w:r>
              <w:rPr>
                <w:rFonts w:hint="eastAsia" w:ascii="仿宋" w:hAnsi="仿宋" w:eastAsia="仿宋"/>
                <w:bCs/>
                <w:sz w:val="24"/>
                <w:szCs w:val="24"/>
                <w:vertAlign w:val="baseline"/>
                <w:lang w:val="en-US" w:eastAsia="zh-CN"/>
              </w:rPr>
              <w:t>商品名称</w:t>
            </w:r>
          </w:p>
        </w:tc>
        <w:tc>
          <w:tcPr>
            <w:tcW w:w="947" w:type="dxa"/>
          </w:tcPr>
          <w:p>
            <w:pPr>
              <w:pStyle w:val="9"/>
              <w:numPr>
                <w:ilvl w:val="0"/>
                <w:numId w:val="0"/>
              </w:numPr>
              <w:rPr>
                <w:rFonts w:hint="default" w:ascii="仿宋" w:hAnsi="仿宋" w:eastAsia="仿宋"/>
                <w:bCs/>
                <w:sz w:val="24"/>
                <w:szCs w:val="24"/>
                <w:vertAlign w:val="baseline"/>
                <w:lang w:val="en-US" w:eastAsia="zh-CN"/>
              </w:rPr>
            </w:pPr>
            <w:r>
              <w:rPr>
                <w:rFonts w:hint="eastAsia" w:ascii="仿宋" w:hAnsi="仿宋" w:eastAsia="仿宋"/>
                <w:bCs/>
                <w:sz w:val="24"/>
                <w:szCs w:val="24"/>
                <w:vertAlign w:val="baseline"/>
                <w:lang w:val="en-US" w:eastAsia="zh-CN"/>
              </w:rPr>
              <w:t>商品品目</w:t>
            </w:r>
          </w:p>
        </w:tc>
        <w:tc>
          <w:tcPr>
            <w:tcW w:w="947" w:type="dxa"/>
            <w:vAlign w:val="top"/>
          </w:tcPr>
          <w:p>
            <w:pPr>
              <w:pStyle w:val="9"/>
              <w:numPr>
                <w:ilvl w:val="0"/>
                <w:numId w:val="0"/>
              </w:numPr>
              <w:ind w:left="0" w:leftChars="0" w:firstLine="0" w:firstLineChars="0"/>
              <w:rPr>
                <w:rFonts w:hint="default" w:ascii="仿宋" w:hAnsi="仿宋" w:eastAsia="仿宋" w:cstheme="minorBidi"/>
                <w:bCs/>
                <w:kern w:val="2"/>
                <w:sz w:val="24"/>
                <w:szCs w:val="24"/>
                <w:vertAlign w:val="baseline"/>
                <w:lang w:val="en-US" w:eastAsia="zh-CN" w:bidi="ar-SA"/>
              </w:rPr>
            </w:pPr>
            <w:r>
              <w:rPr>
                <w:rFonts w:hint="eastAsia" w:ascii="仿宋" w:hAnsi="仿宋" w:eastAsia="仿宋"/>
                <w:bCs/>
                <w:sz w:val="24"/>
                <w:szCs w:val="24"/>
                <w:vertAlign w:val="baseline"/>
                <w:lang w:val="en-US" w:eastAsia="zh-CN"/>
              </w:rPr>
              <w:t>商品编码</w:t>
            </w:r>
          </w:p>
        </w:tc>
        <w:tc>
          <w:tcPr>
            <w:tcW w:w="947" w:type="dxa"/>
            <w:vAlign w:val="top"/>
          </w:tcPr>
          <w:p>
            <w:pPr>
              <w:pStyle w:val="9"/>
              <w:numPr>
                <w:ilvl w:val="0"/>
                <w:numId w:val="0"/>
              </w:numPr>
              <w:ind w:left="0" w:leftChars="0" w:firstLine="0" w:firstLineChars="0"/>
              <w:rPr>
                <w:rFonts w:hint="default" w:ascii="仿宋" w:hAnsi="仿宋" w:eastAsia="仿宋" w:cstheme="minorBidi"/>
                <w:bCs/>
                <w:kern w:val="2"/>
                <w:sz w:val="24"/>
                <w:szCs w:val="24"/>
                <w:vertAlign w:val="baseline"/>
                <w:lang w:val="en-US" w:eastAsia="zh-CN" w:bidi="ar-SA"/>
              </w:rPr>
            </w:pPr>
            <w:r>
              <w:rPr>
                <w:rFonts w:hint="eastAsia" w:ascii="仿宋" w:hAnsi="仿宋" w:eastAsia="仿宋"/>
                <w:bCs/>
                <w:sz w:val="24"/>
                <w:szCs w:val="24"/>
                <w:vertAlign w:val="baseline"/>
                <w:lang w:val="en-US" w:eastAsia="zh-CN"/>
              </w:rPr>
              <w:t>品牌</w:t>
            </w:r>
          </w:p>
        </w:tc>
        <w:tc>
          <w:tcPr>
            <w:tcW w:w="947" w:type="dxa"/>
            <w:vAlign w:val="top"/>
          </w:tcPr>
          <w:p>
            <w:pPr>
              <w:pStyle w:val="9"/>
              <w:numPr>
                <w:ilvl w:val="0"/>
                <w:numId w:val="0"/>
              </w:numPr>
              <w:ind w:left="0" w:leftChars="0" w:firstLine="0" w:firstLineChars="0"/>
              <w:rPr>
                <w:rFonts w:hint="default" w:ascii="仿宋" w:hAnsi="仿宋" w:eastAsia="仿宋" w:cstheme="minorBidi"/>
                <w:bCs/>
                <w:kern w:val="2"/>
                <w:sz w:val="24"/>
                <w:szCs w:val="24"/>
                <w:vertAlign w:val="baseline"/>
                <w:lang w:val="en-US" w:eastAsia="zh-CN" w:bidi="ar-SA"/>
              </w:rPr>
            </w:pPr>
            <w:r>
              <w:rPr>
                <w:rFonts w:hint="eastAsia" w:ascii="仿宋" w:hAnsi="仿宋" w:eastAsia="仿宋"/>
                <w:bCs/>
                <w:sz w:val="24"/>
                <w:szCs w:val="24"/>
                <w:vertAlign w:val="baseline"/>
                <w:lang w:val="en-US" w:eastAsia="zh-CN"/>
              </w:rPr>
              <w:t>型号</w:t>
            </w:r>
          </w:p>
        </w:tc>
        <w:tc>
          <w:tcPr>
            <w:tcW w:w="947" w:type="dxa"/>
            <w:vAlign w:val="top"/>
          </w:tcPr>
          <w:p>
            <w:pPr>
              <w:pStyle w:val="9"/>
              <w:numPr>
                <w:ilvl w:val="0"/>
                <w:numId w:val="0"/>
              </w:numPr>
              <w:ind w:left="0" w:leftChars="0" w:firstLine="0" w:firstLineChars="0"/>
              <w:rPr>
                <w:rFonts w:hint="default" w:ascii="仿宋" w:hAnsi="仿宋" w:eastAsia="仿宋" w:cstheme="minorBidi"/>
                <w:bCs/>
                <w:kern w:val="2"/>
                <w:sz w:val="24"/>
                <w:szCs w:val="24"/>
                <w:vertAlign w:val="baseline"/>
                <w:lang w:val="en-US" w:eastAsia="zh-CN" w:bidi="ar-SA"/>
              </w:rPr>
            </w:pPr>
            <w:r>
              <w:rPr>
                <w:rFonts w:hint="eastAsia" w:ascii="仿宋" w:hAnsi="仿宋" w:eastAsia="仿宋"/>
                <w:bCs/>
                <w:sz w:val="24"/>
                <w:szCs w:val="24"/>
                <w:vertAlign w:val="baseline"/>
                <w:lang w:val="en-US" w:eastAsia="zh-CN"/>
              </w:rPr>
              <w:t>数量</w:t>
            </w:r>
          </w:p>
        </w:tc>
        <w:tc>
          <w:tcPr>
            <w:tcW w:w="947" w:type="dxa"/>
            <w:vAlign w:val="top"/>
          </w:tcPr>
          <w:p>
            <w:pPr>
              <w:pStyle w:val="9"/>
              <w:numPr>
                <w:ilvl w:val="0"/>
                <w:numId w:val="0"/>
              </w:numPr>
              <w:ind w:left="0" w:leftChars="0" w:firstLine="0" w:firstLineChars="0"/>
              <w:rPr>
                <w:rFonts w:hint="eastAsia" w:ascii="仿宋" w:hAnsi="仿宋" w:eastAsia="仿宋" w:cstheme="minorBidi"/>
                <w:bCs/>
                <w:kern w:val="2"/>
                <w:sz w:val="24"/>
                <w:szCs w:val="24"/>
                <w:vertAlign w:val="baseline"/>
                <w:lang w:val="en-US" w:eastAsia="zh-CN" w:bidi="ar-SA"/>
              </w:rPr>
            </w:pPr>
            <w:r>
              <w:rPr>
                <w:rFonts w:hint="eastAsia" w:ascii="仿宋" w:hAnsi="仿宋" w:eastAsia="仿宋"/>
                <w:bCs/>
                <w:sz w:val="24"/>
                <w:szCs w:val="24"/>
                <w:vertAlign w:val="baseline"/>
                <w:lang w:val="en-US" w:eastAsia="zh-CN"/>
              </w:rPr>
              <w:t>单价</w:t>
            </w:r>
          </w:p>
        </w:tc>
        <w:tc>
          <w:tcPr>
            <w:tcW w:w="947" w:type="dxa"/>
          </w:tcPr>
          <w:p>
            <w:pPr>
              <w:pStyle w:val="9"/>
              <w:numPr>
                <w:ilvl w:val="0"/>
                <w:numId w:val="0"/>
              </w:numPr>
              <w:rPr>
                <w:rFonts w:hint="default" w:ascii="仿宋" w:hAnsi="仿宋" w:eastAsia="仿宋"/>
                <w:bCs/>
                <w:sz w:val="24"/>
                <w:szCs w:val="24"/>
                <w:vertAlign w:val="baseline"/>
                <w:lang w:val="en-US" w:eastAsia="zh-CN"/>
              </w:rPr>
            </w:pPr>
            <w:r>
              <w:rPr>
                <w:rFonts w:hint="eastAsia" w:ascii="仿宋" w:hAnsi="仿宋" w:eastAsia="仿宋"/>
                <w:bCs/>
                <w:sz w:val="24"/>
                <w:szCs w:val="24"/>
                <w:vertAlign w:val="baseline"/>
                <w:lang w:val="en-US" w:eastAsia="zh-CN"/>
              </w:rPr>
              <w:t>小计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6" w:type="dxa"/>
          </w:tcPr>
          <w:p>
            <w:pPr>
              <w:pStyle w:val="9"/>
              <w:numPr>
                <w:ilvl w:val="0"/>
                <w:numId w:val="0"/>
              </w:numPr>
              <w:rPr>
                <w:rFonts w:hint="default" w:ascii="仿宋" w:hAnsi="仿宋" w:eastAsia="仿宋"/>
                <w:bCs/>
                <w:sz w:val="24"/>
                <w:szCs w:val="24"/>
                <w:vertAlign w:val="baseline"/>
                <w:lang w:val="en-US" w:eastAsia="zh-CN"/>
              </w:rPr>
            </w:pPr>
            <w:r>
              <w:rPr>
                <w:rFonts w:hint="eastAsia" w:ascii="仿宋" w:hAnsi="仿宋" w:eastAsia="仿宋"/>
                <w:bCs/>
                <w:sz w:val="24"/>
                <w:szCs w:val="24"/>
                <w:vertAlign w:val="baseline"/>
                <w:lang w:val="en-US" w:eastAsia="zh-CN"/>
              </w:rPr>
              <w:t>1</w:t>
            </w:r>
          </w:p>
        </w:tc>
        <w:tc>
          <w:tcPr>
            <w:tcW w:w="947" w:type="dxa"/>
          </w:tcPr>
          <w:p>
            <w:pPr>
              <w:pStyle w:val="9"/>
              <w:numPr>
                <w:ilvl w:val="0"/>
                <w:numId w:val="0"/>
              </w:numPr>
              <w:rPr>
                <w:rFonts w:hint="eastAsia" w:ascii="仿宋" w:hAnsi="仿宋" w:eastAsia="仿宋"/>
                <w:bCs/>
                <w:sz w:val="24"/>
                <w:szCs w:val="24"/>
                <w:vertAlign w:val="baseline"/>
                <w:lang w:val="en-US" w:eastAsia="zh-CN"/>
              </w:rPr>
            </w:pPr>
          </w:p>
        </w:tc>
        <w:tc>
          <w:tcPr>
            <w:tcW w:w="947" w:type="dxa"/>
          </w:tcPr>
          <w:p>
            <w:pPr>
              <w:pStyle w:val="9"/>
              <w:numPr>
                <w:ilvl w:val="0"/>
                <w:numId w:val="0"/>
              </w:numPr>
              <w:rPr>
                <w:rFonts w:hint="eastAsia" w:ascii="仿宋" w:hAnsi="仿宋" w:eastAsia="仿宋"/>
                <w:bCs/>
                <w:sz w:val="24"/>
                <w:szCs w:val="24"/>
                <w:vertAlign w:val="baseline"/>
                <w:lang w:val="en-US" w:eastAsia="zh-CN"/>
              </w:rPr>
            </w:pPr>
          </w:p>
        </w:tc>
        <w:tc>
          <w:tcPr>
            <w:tcW w:w="947" w:type="dxa"/>
          </w:tcPr>
          <w:p>
            <w:pPr>
              <w:pStyle w:val="9"/>
              <w:numPr>
                <w:ilvl w:val="0"/>
                <w:numId w:val="0"/>
              </w:numPr>
              <w:rPr>
                <w:rFonts w:hint="eastAsia" w:ascii="仿宋" w:hAnsi="仿宋" w:eastAsia="仿宋"/>
                <w:bCs/>
                <w:sz w:val="24"/>
                <w:szCs w:val="24"/>
                <w:vertAlign w:val="baseline"/>
                <w:lang w:val="en-US" w:eastAsia="zh-CN"/>
              </w:rPr>
            </w:pPr>
          </w:p>
        </w:tc>
        <w:tc>
          <w:tcPr>
            <w:tcW w:w="947" w:type="dxa"/>
          </w:tcPr>
          <w:p>
            <w:pPr>
              <w:pStyle w:val="9"/>
              <w:numPr>
                <w:ilvl w:val="0"/>
                <w:numId w:val="0"/>
              </w:numPr>
              <w:rPr>
                <w:rFonts w:hint="eastAsia" w:ascii="仿宋" w:hAnsi="仿宋" w:eastAsia="仿宋"/>
                <w:bCs/>
                <w:sz w:val="24"/>
                <w:szCs w:val="24"/>
                <w:vertAlign w:val="baseline"/>
                <w:lang w:val="en-US" w:eastAsia="zh-CN"/>
              </w:rPr>
            </w:pPr>
          </w:p>
        </w:tc>
        <w:tc>
          <w:tcPr>
            <w:tcW w:w="947" w:type="dxa"/>
          </w:tcPr>
          <w:p>
            <w:pPr>
              <w:pStyle w:val="9"/>
              <w:numPr>
                <w:ilvl w:val="0"/>
                <w:numId w:val="0"/>
              </w:numPr>
              <w:rPr>
                <w:rFonts w:hint="eastAsia" w:ascii="仿宋" w:hAnsi="仿宋" w:eastAsia="仿宋"/>
                <w:bCs/>
                <w:sz w:val="24"/>
                <w:szCs w:val="24"/>
                <w:vertAlign w:val="baseline"/>
                <w:lang w:val="en-US" w:eastAsia="zh-CN"/>
              </w:rPr>
            </w:pPr>
          </w:p>
        </w:tc>
        <w:tc>
          <w:tcPr>
            <w:tcW w:w="947" w:type="dxa"/>
          </w:tcPr>
          <w:p>
            <w:pPr>
              <w:pStyle w:val="9"/>
              <w:numPr>
                <w:ilvl w:val="0"/>
                <w:numId w:val="0"/>
              </w:numPr>
              <w:rPr>
                <w:rFonts w:hint="eastAsia" w:ascii="仿宋" w:hAnsi="仿宋" w:eastAsia="仿宋"/>
                <w:bCs/>
                <w:sz w:val="24"/>
                <w:szCs w:val="24"/>
                <w:vertAlign w:val="baseline"/>
                <w:lang w:val="en-US" w:eastAsia="zh-CN"/>
              </w:rPr>
            </w:pPr>
          </w:p>
        </w:tc>
        <w:tc>
          <w:tcPr>
            <w:tcW w:w="947" w:type="dxa"/>
          </w:tcPr>
          <w:p>
            <w:pPr>
              <w:pStyle w:val="9"/>
              <w:numPr>
                <w:ilvl w:val="0"/>
                <w:numId w:val="0"/>
              </w:numPr>
              <w:rPr>
                <w:rFonts w:hint="eastAsia" w:ascii="仿宋" w:hAnsi="仿宋" w:eastAsia="仿宋"/>
                <w:bCs/>
                <w:sz w:val="24"/>
                <w:szCs w:val="24"/>
                <w:vertAlign w:val="baseline"/>
                <w:lang w:val="en-US" w:eastAsia="zh-CN"/>
              </w:rPr>
            </w:pPr>
          </w:p>
        </w:tc>
        <w:tc>
          <w:tcPr>
            <w:tcW w:w="947" w:type="dxa"/>
          </w:tcPr>
          <w:p>
            <w:pPr>
              <w:pStyle w:val="9"/>
              <w:numPr>
                <w:ilvl w:val="0"/>
                <w:numId w:val="0"/>
              </w:numPr>
              <w:rPr>
                <w:rFonts w:hint="eastAsia" w:ascii="仿宋" w:hAnsi="仿宋" w:eastAsia="仿宋"/>
                <w:bCs/>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6" w:type="dxa"/>
          </w:tcPr>
          <w:p>
            <w:pPr>
              <w:pStyle w:val="9"/>
              <w:numPr>
                <w:ilvl w:val="0"/>
                <w:numId w:val="0"/>
              </w:numPr>
              <w:rPr>
                <w:rFonts w:hint="default" w:ascii="仿宋" w:hAnsi="仿宋" w:eastAsia="仿宋"/>
                <w:bCs/>
                <w:sz w:val="24"/>
                <w:szCs w:val="24"/>
                <w:vertAlign w:val="baseline"/>
                <w:lang w:val="en-US" w:eastAsia="zh-CN"/>
              </w:rPr>
            </w:pPr>
            <w:r>
              <w:rPr>
                <w:rFonts w:hint="eastAsia" w:ascii="仿宋" w:hAnsi="仿宋" w:eastAsia="仿宋"/>
                <w:bCs/>
                <w:sz w:val="24"/>
                <w:szCs w:val="24"/>
                <w:vertAlign w:val="baseline"/>
                <w:lang w:val="en-US" w:eastAsia="zh-CN"/>
              </w:rPr>
              <w:t>合同金额（含税）</w:t>
            </w:r>
          </w:p>
        </w:tc>
        <w:tc>
          <w:tcPr>
            <w:tcW w:w="3788" w:type="dxa"/>
            <w:gridSpan w:val="4"/>
          </w:tcPr>
          <w:p>
            <w:pPr>
              <w:pStyle w:val="9"/>
              <w:numPr>
                <w:ilvl w:val="0"/>
                <w:numId w:val="0"/>
              </w:numPr>
              <w:rPr>
                <w:rFonts w:hint="eastAsia" w:ascii="仿宋" w:hAnsi="仿宋" w:eastAsia="仿宋"/>
                <w:bCs/>
                <w:sz w:val="24"/>
                <w:szCs w:val="24"/>
                <w:vertAlign w:val="baseline"/>
                <w:lang w:val="en-US" w:eastAsia="zh-CN"/>
              </w:rPr>
            </w:pPr>
            <w:r>
              <w:rPr>
                <w:rFonts w:hint="eastAsia" w:ascii="仿宋" w:hAnsi="仿宋" w:eastAsia="仿宋"/>
                <w:bCs/>
                <w:sz w:val="24"/>
                <w:szCs w:val="24"/>
                <w:vertAlign w:val="baseline"/>
                <w:lang w:val="en-US" w:eastAsia="zh-CN"/>
              </w:rPr>
              <w:t>（人民币大写）</w:t>
            </w:r>
          </w:p>
        </w:tc>
        <w:tc>
          <w:tcPr>
            <w:tcW w:w="3788" w:type="dxa"/>
            <w:gridSpan w:val="4"/>
          </w:tcPr>
          <w:p>
            <w:pPr>
              <w:pStyle w:val="9"/>
              <w:numPr>
                <w:ilvl w:val="0"/>
                <w:numId w:val="0"/>
              </w:numPr>
              <w:rPr>
                <w:rFonts w:hint="default" w:ascii="仿宋" w:hAnsi="仿宋" w:eastAsia="仿宋"/>
                <w:bCs/>
                <w:sz w:val="24"/>
                <w:szCs w:val="24"/>
                <w:vertAlign w:val="baseline"/>
                <w:lang w:val="en-US" w:eastAsia="zh-CN"/>
              </w:rPr>
            </w:pPr>
            <w:r>
              <w:rPr>
                <w:rFonts w:hint="eastAsia" w:ascii="仿宋" w:hAnsi="仿宋" w:eastAsia="仿宋"/>
                <w:bCs/>
                <w:sz w:val="24"/>
                <w:szCs w:val="24"/>
                <w:vertAlign w:val="baseline"/>
                <w:lang w:val="en-US" w:eastAsia="zh-CN"/>
              </w:rPr>
              <w:t>（人民币小写）</w:t>
            </w:r>
          </w:p>
        </w:tc>
      </w:tr>
    </w:tbl>
    <w:p>
      <w:pPr>
        <w:pStyle w:val="9"/>
        <w:numPr>
          <w:ilvl w:val="0"/>
          <w:numId w:val="0"/>
        </w:numPr>
        <w:ind w:leftChars="0"/>
        <w:rPr>
          <w:rFonts w:hint="eastAsia" w:ascii="仿宋" w:hAnsi="仿宋" w:eastAsia="仿宋"/>
          <w:bCs/>
          <w:sz w:val="24"/>
          <w:szCs w:val="24"/>
          <w:lang w:val="en-US" w:eastAsia="zh-CN"/>
        </w:rPr>
      </w:pPr>
    </w:p>
    <w:p>
      <w:pPr>
        <w:pStyle w:val="9"/>
        <w:numPr>
          <w:ilvl w:val="0"/>
          <w:numId w:val="9"/>
        </w:numPr>
        <w:ind w:left="0" w:leftChars="0" w:firstLine="0" w:firstLineChars="0"/>
        <w:rPr>
          <w:rFonts w:hint="eastAsia" w:ascii="仿宋" w:hAnsi="仿宋" w:eastAsia="仿宋"/>
          <w:bCs/>
          <w:sz w:val="24"/>
          <w:szCs w:val="24"/>
          <w:lang w:val="en-US" w:eastAsia="zh-CN"/>
        </w:rPr>
      </w:pPr>
      <w:r>
        <w:rPr>
          <w:rFonts w:hint="eastAsia" w:ascii="仿宋" w:hAnsi="仿宋" w:eastAsia="仿宋"/>
          <w:bCs/>
          <w:sz w:val="24"/>
          <w:szCs w:val="24"/>
          <w:lang w:val="en-US" w:eastAsia="zh-CN"/>
        </w:rPr>
        <w:t>收货时间、收货地点及联系方式</w:t>
      </w:r>
    </w:p>
    <w:p>
      <w:pPr>
        <w:pStyle w:val="9"/>
        <w:numPr>
          <w:ilvl w:val="0"/>
          <w:numId w:val="10"/>
        </w:numPr>
        <w:ind w:left="480" w:leftChars="0" w:firstLine="0" w:firstLineChars="0"/>
        <w:rPr>
          <w:rFonts w:hint="default" w:ascii="仿宋" w:hAnsi="仿宋" w:eastAsia="仿宋"/>
          <w:bCs/>
          <w:sz w:val="24"/>
          <w:szCs w:val="24"/>
          <w:lang w:val="en-US" w:eastAsia="zh-CN"/>
        </w:rPr>
      </w:pPr>
      <w:r>
        <w:rPr>
          <w:rFonts w:hint="eastAsia" w:ascii="仿宋" w:hAnsi="仿宋" w:eastAsia="仿宋"/>
          <w:bCs/>
          <w:sz w:val="24"/>
          <w:szCs w:val="24"/>
          <w:lang w:val="en-US" w:eastAsia="zh-CN"/>
        </w:rPr>
        <w:t>收货时间：</w:t>
      </w:r>
      <w:r>
        <w:rPr>
          <w:rFonts w:hint="eastAsia" w:ascii="仿宋" w:hAnsi="仿宋" w:eastAsia="仿宋"/>
          <w:bCs/>
          <w:sz w:val="24"/>
          <w:szCs w:val="24"/>
          <w:u w:val="single"/>
          <w:lang w:val="en-US" w:eastAsia="zh-CN"/>
        </w:rPr>
        <w:t xml:space="preserve">                                  </w:t>
      </w:r>
    </w:p>
    <w:p>
      <w:pPr>
        <w:pStyle w:val="9"/>
        <w:numPr>
          <w:ilvl w:val="0"/>
          <w:numId w:val="10"/>
        </w:numPr>
        <w:ind w:left="480" w:leftChars="0" w:firstLine="0" w:firstLineChars="0"/>
        <w:rPr>
          <w:rFonts w:hint="default" w:ascii="仿宋" w:hAnsi="仿宋" w:eastAsia="仿宋"/>
          <w:bCs/>
          <w:sz w:val="24"/>
          <w:szCs w:val="24"/>
          <w:lang w:val="en-US" w:eastAsia="zh-CN"/>
        </w:rPr>
      </w:pPr>
      <w:r>
        <w:rPr>
          <w:rFonts w:hint="eastAsia" w:ascii="仿宋" w:hAnsi="仿宋" w:eastAsia="仿宋"/>
          <w:bCs/>
          <w:sz w:val="24"/>
          <w:szCs w:val="24"/>
          <w:lang w:val="en-US" w:eastAsia="zh-CN"/>
        </w:rPr>
        <w:t>收货地点：</w:t>
      </w:r>
      <w:r>
        <w:rPr>
          <w:rFonts w:hint="eastAsia" w:ascii="仿宋" w:hAnsi="仿宋" w:eastAsia="仿宋"/>
          <w:bCs/>
          <w:sz w:val="24"/>
          <w:szCs w:val="24"/>
          <w:u w:val="single"/>
          <w:lang w:val="en-US" w:eastAsia="zh-CN"/>
        </w:rPr>
        <w:t xml:space="preserve">                                  </w:t>
      </w:r>
    </w:p>
    <w:p>
      <w:pPr>
        <w:pStyle w:val="9"/>
        <w:numPr>
          <w:ilvl w:val="0"/>
          <w:numId w:val="10"/>
        </w:numPr>
        <w:ind w:left="480" w:leftChars="0" w:firstLine="0" w:firstLineChars="0"/>
        <w:rPr>
          <w:rFonts w:hint="default" w:ascii="仿宋" w:hAnsi="仿宋" w:eastAsia="仿宋"/>
          <w:bCs/>
          <w:sz w:val="24"/>
          <w:szCs w:val="24"/>
          <w:lang w:val="en-US" w:eastAsia="zh-CN"/>
        </w:rPr>
      </w:pPr>
      <w:r>
        <w:rPr>
          <w:rFonts w:hint="eastAsia" w:ascii="仿宋" w:hAnsi="仿宋" w:eastAsia="仿宋"/>
          <w:bCs/>
          <w:sz w:val="24"/>
          <w:szCs w:val="24"/>
          <w:lang w:val="en-US" w:eastAsia="zh-CN"/>
        </w:rPr>
        <w:t>收货联系人及联系方式：</w:t>
      </w:r>
      <w:r>
        <w:rPr>
          <w:rFonts w:hint="eastAsia" w:ascii="仿宋" w:hAnsi="仿宋" w:eastAsia="仿宋"/>
          <w:bCs/>
          <w:sz w:val="24"/>
          <w:szCs w:val="24"/>
          <w:u w:val="single"/>
          <w:lang w:val="en-US" w:eastAsia="zh-CN"/>
        </w:rPr>
        <w:t xml:space="preserve">                      </w:t>
      </w:r>
    </w:p>
    <w:p>
      <w:pPr>
        <w:pStyle w:val="9"/>
        <w:numPr>
          <w:ilvl w:val="0"/>
          <w:numId w:val="9"/>
        </w:numPr>
        <w:ind w:left="0" w:leftChars="0" w:firstLine="0" w:firstLineChars="0"/>
        <w:rPr>
          <w:rFonts w:hint="eastAsia" w:ascii="仿宋" w:hAnsi="仿宋" w:eastAsia="仿宋"/>
          <w:bCs/>
          <w:sz w:val="24"/>
          <w:szCs w:val="24"/>
          <w:lang w:val="en-US" w:eastAsia="zh-CN"/>
        </w:rPr>
      </w:pPr>
      <w:r>
        <w:rPr>
          <w:rFonts w:hint="eastAsia" w:ascii="仿宋" w:hAnsi="仿宋" w:eastAsia="仿宋"/>
          <w:bCs/>
          <w:sz w:val="24"/>
          <w:szCs w:val="24"/>
          <w:lang w:val="en-US" w:eastAsia="zh-CN"/>
        </w:rPr>
        <w:t>质保期：</w:t>
      </w:r>
      <w:r>
        <w:rPr>
          <w:rFonts w:hint="eastAsia" w:ascii="仿宋" w:hAnsi="仿宋" w:eastAsia="仿宋"/>
          <w:bCs/>
          <w:sz w:val="24"/>
          <w:szCs w:val="24"/>
          <w:u w:val="single"/>
          <w:lang w:val="en-US" w:eastAsia="zh-CN"/>
        </w:rPr>
        <w:t xml:space="preserve">                                       </w:t>
      </w:r>
    </w:p>
    <w:p>
      <w:pPr>
        <w:pStyle w:val="9"/>
        <w:numPr>
          <w:ilvl w:val="0"/>
          <w:numId w:val="9"/>
        </w:numPr>
        <w:ind w:left="0" w:leftChars="0" w:firstLine="0" w:firstLineChars="0"/>
        <w:rPr>
          <w:rFonts w:hint="eastAsia" w:ascii="仿宋" w:hAnsi="仿宋" w:eastAsia="仿宋"/>
          <w:bCs/>
          <w:sz w:val="24"/>
          <w:szCs w:val="24"/>
          <w:lang w:val="en-US" w:eastAsia="zh-CN"/>
        </w:rPr>
      </w:pPr>
      <w:r>
        <w:rPr>
          <w:rFonts w:hint="eastAsia" w:ascii="仿宋" w:hAnsi="仿宋" w:eastAsia="仿宋"/>
          <w:bCs/>
          <w:sz w:val="24"/>
          <w:szCs w:val="24"/>
          <w:lang w:val="en-US" w:eastAsia="zh-CN"/>
        </w:rPr>
        <w:t>售后服务要求：</w:t>
      </w:r>
    </w:p>
    <w:p>
      <w:pPr>
        <w:pStyle w:val="9"/>
        <w:numPr>
          <w:ilvl w:val="0"/>
          <w:numId w:val="11"/>
        </w:numPr>
        <w:ind w:left="480" w:leftChars="0" w:firstLine="0" w:firstLineChars="0"/>
        <w:rPr>
          <w:rFonts w:hint="default" w:ascii="仿宋" w:hAnsi="仿宋" w:eastAsia="仿宋"/>
          <w:bCs/>
          <w:sz w:val="24"/>
          <w:szCs w:val="24"/>
          <w:lang w:val="en-US" w:eastAsia="zh-CN"/>
        </w:rPr>
      </w:pPr>
      <w:r>
        <w:rPr>
          <w:rFonts w:hint="eastAsia" w:ascii="仿宋" w:hAnsi="仿宋" w:eastAsia="仿宋"/>
          <w:bCs/>
          <w:sz w:val="24"/>
          <w:szCs w:val="24"/>
          <w:lang w:val="en-US" w:eastAsia="zh-CN"/>
        </w:rPr>
        <w:t>乙方应保证提供的货物是全新、未使用过的原装合格正品，并完全符合生产厂家和国家规定的质量、规格和性能的要求。</w:t>
      </w:r>
    </w:p>
    <w:p>
      <w:pPr>
        <w:pStyle w:val="9"/>
        <w:numPr>
          <w:ilvl w:val="0"/>
          <w:numId w:val="11"/>
        </w:numPr>
        <w:ind w:left="480" w:leftChars="0" w:firstLine="0" w:firstLineChars="0"/>
        <w:rPr>
          <w:rFonts w:hint="default" w:ascii="仿宋" w:hAnsi="仿宋" w:eastAsia="仿宋"/>
          <w:bCs/>
          <w:sz w:val="24"/>
          <w:szCs w:val="24"/>
          <w:lang w:val="en-US" w:eastAsia="zh-CN"/>
        </w:rPr>
      </w:pPr>
      <w:r>
        <w:rPr>
          <w:rFonts w:hint="eastAsia" w:ascii="仿宋" w:hAnsi="仿宋" w:eastAsia="仿宋"/>
          <w:bCs/>
          <w:sz w:val="24"/>
          <w:szCs w:val="24"/>
          <w:lang w:val="en-US" w:eastAsia="zh-CN"/>
        </w:rPr>
        <w:t>乙方应保证在质保期内按照生产厂家的服务标准向甲方提供售后服务。</w:t>
      </w:r>
    </w:p>
    <w:p>
      <w:pPr>
        <w:pStyle w:val="9"/>
        <w:numPr>
          <w:ilvl w:val="0"/>
          <w:numId w:val="9"/>
        </w:numPr>
        <w:ind w:left="0" w:leftChars="0" w:firstLine="0" w:firstLineChars="0"/>
        <w:rPr>
          <w:rFonts w:hint="eastAsia" w:ascii="仿宋" w:hAnsi="仿宋" w:eastAsia="仿宋"/>
          <w:bCs/>
          <w:sz w:val="24"/>
          <w:szCs w:val="24"/>
          <w:lang w:val="en-US" w:eastAsia="zh-CN"/>
        </w:rPr>
      </w:pPr>
      <w:r>
        <w:rPr>
          <w:rFonts w:hint="eastAsia" w:ascii="仿宋" w:hAnsi="仿宋" w:eastAsia="仿宋"/>
          <w:bCs/>
          <w:sz w:val="24"/>
          <w:szCs w:val="24"/>
          <w:lang w:val="en-US" w:eastAsia="zh-CN"/>
        </w:rPr>
        <w:t>验收标准</w:t>
      </w:r>
    </w:p>
    <w:p>
      <w:pPr>
        <w:pStyle w:val="9"/>
        <w:numPr>
          <w:ilvl w:val="0"/>
          <w:numId w:val="12"/>
        </w:numPr>
        <w:ind w:left="480" w:leftChars="0" w:firstLine="0" w:firstLineChars="0"/>
        <w:rPr>
          <w:rFonts w:hint="default" w:ascii="仿宋" w:hAnsi="仿宋" w:eastAsia="仿宋"/>
          <w:bCs/>
          <w:sz w:val="24"/>
          <w:szCs w:val="24"/>
          <w:lang w:val="en-US" w:eastAsia="zh-CN"/>
        </w:rPr>
      </w:pPr>
      <w:r>
        <w:rPr>
          <w:rFonts w:hint="eastAsia" w:ascii="仿宋" w:hAnsi="仿宋" w:eastAsia="仿宋"/>
          <w:bCs/>
          <w:sz w:val="24"/>
          <w:szCs w:val="24"/>
          <w:lang w:val="en-US" w:eastAsia="zh-CN"/>
        </w:rPr>
        <w:t>装箱单（包括但不限于质量合格证书、保修证书、产品使用说明书及其他应随产品一同装箱的技术资料等）。</w:t>
      </w:r>
    </w:p>
    <w:p>
      <w:pPr>
        <w:pStyle w:val="9"/>
        <w:numPr>
          <w:ilvl w:val="0"/>
          <w:numId w:val="12"/>
        </w:numPr>
        <w:ind w:left="480" w:leftChars="0" w:firstLine="0" w:firstLineChars="0"/>
        <w:rPr>
          <w:rFonts w:hint="default" w:ascii="仿宋" w:hAnsi="仿宋" w:eastAsia="仿宋"/>
          <w:bCs/>
          <w:sz w:val="24"/>
          <w:szCs w:val="24"/>
          <w:lang w:val="en-US" w:eastAsia="zh-CN"/>
        </w:rPr>
      </w:pPr>
      <w:r>
        <w:rPr>
          <w:rFonts w:hint="eastAsia" w:ascii="仿宋" w:hAnsi="仿宋" w:eastAsia="仿宋"/>
          <w:bCs/>
          <w:sz w:val="24"/>
          <w:szCs w:val="24"/>
          <w:lang w:val="en-US" w:eastAsia="zh-CN"/>
        </w:rPr>
        <w:t>合格率大于98%。</w:t>
      </w:r>
    </w:p>
    <w:p>
      <w:pPr>
        <w:pStyle w:val="9"/>
        <w:numPr>
          <w:ilvl w:val="0"/>
          <w:numId w:val="9"/>
        </w:numPr>
        <w:ind w:left="0" w:leftChars="0" w:firstLine="0" w:firstLineChars="0"/>
        <w:rPr>
          <w:rFonts w:hint="eastAsia" w:ascii="仿宋" w:hAnsi="仿宋" w:eastAsia="仿宋"/>
          <w:bCs/>
          <w:sz w:val="24"/>
          <w:szCs w:val="24"/>
          <w:lang w:val="en-US" w:eastAsia="zh-CN"/>
        </w:rPr>
      </w:pPr>
      <w:r>
        <w:rPr>
          <w:rFonts w:hint="eastAsia" w:ascii="仿宋" w:hAnsi="仿宋" w:eastAsia="仿宋"/>
          <w:bCs/>
          <w:sz w:val="24"/>
          <w:szCs w:val="24"/>
          <w:lang w:val="en-US" w:eastAsia="zh-CN"/>
        </w:rPr>
        <w:t>特别说明：</w:t>
      </w:r>
    </w:p>
    <w:p>
      <w:pPr>
        <w:pStyle w:val="9"/>
        <w:numPr>
          <w:ilvl w:val="0"/>
          <w:numId w:val="13"/>
        </w:numPr>
        <w:ind w:left="480" w:leftChars="0" w:firstLine="0" w:firstLineChars="0"/>
        <w:rPr>
          <w:rFonts w:hint="default" w:ascii="仿宋" w:hAnsi="仿宋" w:eastAsia="仿宋"/>
          <w:bCs/>
          <w:sz w:val="24"/>
          <w:szCs w:val="24"/>
          <w:lang w:val="en-US" w:eastAsia="zh-CN"/>
        </w:rPr>
      </w:pPr>
      <w:r>
        <w:rPr>
          <w:rFonts w:hint="eastAsia" w:ascii="仿宋" w:hAnsi="仿宋" w:eastAsia="仿宋"/>
          <w:bCs/>
          <w:sz w:val="24"/>
          <w:szCs w:val="24"/>
          <w:lang w:val="en-US" w:eastAsia="zh-CN"/>
        </w:rPr>
        <w:t>货物的保修期或与质量相关的其他期限均自完成最终验收并由甲方签署了货物验收单之日算起。</w:t>
      </w:r>
    </w:p>
    <w:p>
      <w:pPr>
        <w:pStyle w:val="9"/>
        <w:numPr>
          <w:ilvl w:val="0"/>
          <w:numId w:val="9"/>
        </w:numPr>
        <w:ind w:left="0" w:leftChars="0" w:firstLine="0" w:firstLineChars="0"/>
        <w:rPr>
          <w:rFonts w:hint="eastAsia" w:ascii="仿宋" w:hAnsi="仿宋" w:eastAsia="仿宋"/>
          <w:bCs/>
          <w:sz w:val="24"/>
          <w:szCs w:val="24"/>
          <w:lang w:val="en-US" w:eastAsia="zh-CN"/>
        </w:rPr>
      </w:pPr>
      <w:r>
        <w:rPr>
          <w:rFonts w:hint="eastAsia" w:ascii="仿宋" w:hAnsi="仿宋" w:eastAsia="仿宋"/>
          <w:bCs/>
          <w:sz w:val="24"/>
          <w:szCs w:val="24"/>
          <w:lang w:val="en-US" w:eastAsia="zh-CN"/>
        </w:rPr>
        <w:t>货款支付：</w:t>
      </w:r>
    </w:p>
    <w:p>
      <w:pPr>
        <w:pStyle w:val="9"/>
        <w:numPr>
          <w:ilvl w:val="0"/>
          <w:numId w:val="14"/>
        </w:numPr>
        <w:ind w:left="480" w:leftChars="0" w:firstLine="0" w:firstLineChars="0"/>
        <w:rPr>
          <w:rFonts w:hint="default" w:ascii="仿宋" w:hAnsi="仿宋" w:eastAsia="仿宋"/>
          <w:bCs/>
          <w:sz w:val="24"/>
          <w:szCs w:val="24"/>
          <w:lang w:val="en-US" w:eastAsia="zh-CN"/>
        </w:rPr>
      </w:pPr>
      <w:r>
        <w:rPr>
          <w:rFonts w:hint="eastAsia" w:ascii="仿宋" w:hAnsi="仿宋" w:eastAsia="仿宋"/>
          <w:bCs/>
          <w:sz w:val="24"/>
          <w:szCs w:val="24"/>
          <w:lang w:val="en-US" w:eastAsia="zh-CN"/>
        </w:rPr>
        <w:t>付款方式：</w:t>
      </w:r>
    </w:p>
    <w:p>
      <w:pPr>
        <w:pStyle w:val="9"/>
        <w:numPr>
          <w:ilvl w:val="0"/>
          <w:numId w:val="14"/>
        </w:numPr>
        <w:ind w:left="480" w:leftChars="0" w:firstLine="0" w:firstLineChars="0"/>
        <w:rPr>
          <w:rFonts w:hint="default" w:ascii="仿宋" w:hAnsi="仿宋" w:eastAsia="仿宋"/>
          <w:bCs/>
          <w:sz w:val="24"/>
          <w:szCs w:val="24"/>
          <w:lang w:val="en-US" w:eastAsia="zh-CN"/>
        </w:rPr>
      </w:pPr>
      <w:r>
        <w:rPr>
          <w:rFonts w:hint="eastAsia" w:ascii="仿宋" w:hAnsi="仿宋" w:eastAsia="仿宋"/>
          <w:bCs/>
          <w:sz w:val="24"/>
          <w:szCs w:val="24"/>
          <w:lang w:val="en-US" w:eastAsia="zh-CN"/>
        </w:rPr>
        <w:t>乙方账户信息：</w:t>
      </w:r>
    </w:p>
    <w:p>
      <w:pPr>
        <w:pStyle w:val="9"/>
        <w:numPr>
          <w:ilvl w:val="0"/>
          <w:numId w:val="14"/>
        </w:numPr>
        <w:ind w:left="480" w:leftChars="0" w:firstLine="0" w:firstLineChars="0"/>
        <w:rPr>
          <w:rFonts w:hint="default" w:ascii="仿宋" w:hAnsi="仿宋" w:eastAsia="仿宋"/>
          <w:bCs/>
          <w:sz w:val="24"/>
          <w:szCs w:val="24"/>
          <w:lang w:val="en-US" w:eastAsia="zh-CN"/>
        </w:rPr>
      </w:pPr>
      <w:r>
        <w:rPr>
          <w:rFonts w:hint="eastAsia" w:ascii="仿宋" w:hAnsi="仿宋" w:eastAsia="仿宋"/>
          <w:bCs/>
          <w:sz w:val="24"/>
          <w:szCs w:val="24"/>
          <w:lang w:val="en-US" w:eastAsia="zh-CN"/>
        </w:rPr>
        <w:t>乙方联系人及联系方式：</w:t>
      </w:r>
    </w:p>
    <w:p>
      <w:pPr>
        <w:pStyle w:val="9"/>
        <w:numPr>
          <w:ilvl w:val="0"/>
          <w:numId w:val="9"/>
        </w:numPr>
        <w:ind w:left="0" w:leftChars="0" w:firstLine="0" w:firstLineChars="0"/>
        <w:rPr>
          <w:rFonts w:hint="eastAsia" w:ascii="仿宋" w:hAnsi="仿宋" w:eastAsia="仿宋"/>
          <w:bCs/>
          <w:sz w:val="24"/>
          <w:szCs w:val="24"/>
          <w:lang w:val="en-US" w:eastAsia="zh-CN"/>
        </w:rPr>
      </w:pPr>
      <w:r>
        <w:rPr>
          <w:rFonts w:hint="eastAsia" w:ascii="仿宋" w:hAnsi="仿宋" w:eastAsia="仿宋"/>
          <w:bCs/>
          <w:sz w:val="24"/>
          <w:szCs w:val="24"/>
          <w:lang w:val="en-US" w:eastAsia="zh-CN"/>
        </w:rPr>
        <w:t>违约责任</w:t>
      </w:r>
    </w:p>
    <w:p>
      <w:pPr>
        <w:pStyle w:val="9"/>
        <w:numPr>
          <w:ilvl w:val="0"/>
          <w:numId w:val="15"/>
        </w:numPr>
        <w:ind w:left="480" w:leftChars="0" w:firstLine="0" w:firstLineChars="0"/>
        <w:rPr>
          <w:rFonts w:hint="default" w:ascii="仿宋" w:hAnsi="仿宋" w:eastAsia="仿宋"/>
          <w:bCs/>
          <w:sz w:val="24"/>
          <w:szCs w:val="24"/>
          <w:lang w:val="en-US" w:eastAsia="zh-CN"/>
        </w:rPr>
      </w:pPr>
      <w:r>
        <w:rPr>
          <w:rFonts w:hint="eastAsia" w:ascii="仿宋" w:hAnsi="仿宋" w:eastAsia="仿宋"/>
          <w:bCs/>
          <w:sz w:val="24"/>
          <w:szCs w:val="24"/>
          <w:lang w:val="en-US" w:eastAsia="zh-CN"/>
        </w:rPr>
        <w:t>如乙方延期交货，每逾期一日，违约方应按照合同金额1%向对方支付违约金，但该违约金累计不超过合同金额的5%，逾期超过5日，守约方有权解除合同，并要求违约方赔偿由此造成的损失。</w:t>
      </w:r>
    </w:p>
    <w:p>
      <w:pPr>
        <w:pStyle w:val="9"/>
        <w:numPr>
          <w:ilvl w:val="0"/>
          <w:numId w:val="15"/>
        </w:numPr>
        <w:ind w:left="480" w:leftChars="0" w:firstLine="0" w:firstLineChars="0"/>
        <w:rPr>
          <w:rFonts w:hint="default" w:ascii="仿宋" w:hAnsi="仿宋" w:eastAsia="仿宋"/>
          <w:bCs/>
          <w:sz w:val="24"/>
          <w:szCs w:val="24"/>
          <w:lang w:val="en-US" w:eastAsia="zh-CN"/>
        </w:rPr>
      </w:pPr>
      <w:r>
        <w:rPr>
          <w:rFonts w:hint="eastAsia" w:ascii="仿宋" w:hAnsi="仿宋" w:eastAsia="仿宋"/>
          <w:bCs/>
          <w:sz w:val="24"/>
          <w:szCs w:val="24"/>
          <w:lang w:val="en-US" w:eastAsia="zh-CN"/>
        </w:rPr>
        <w:t>如任何一方无故解除合同或有其他违约行为，应向对方支付合同金额5%的违约金。</w:t>
      </w:r>
    </w:p>
    <w:p>
      <w:pPr>
        <w:pStyle w:val="9"/>
        <w:numPr>
          <w:ilvl w:val="0"/>
          <w:numId w:val="9"/>
        </w:numPr>
        <w:ind w:left="0" w:leftChars="0" w:firstLine="0" w:firstLineChars="0"/>
        <w:rPr>
          <w:rFonts w:hint="eastAsia" w:ascii="仿宋" w:hAnsi="仿宋" w:eastAsia="仿宋"/>
          <w:bCs/>
          <w:sz w:val="24"/>
          <w:szCs w:val="24"/>
          <w:lang w:val="en-US" w:eastAsia="zh-CN"/>
        </w:rPr>
      </w:pPr>
      <w:r>
        <w:rPr>
          <w:rFonts w:hint="eastAsia" w:ascii="仿宋" w:hAnsi="仿宋" w:eastAsia="仿宋"/>
          <w:bCs/>
          <w:sz w:val="24"/>
          <w:szCs w:val="24"/>
          <w:lang w:val="en-US" w:eastAsia="zh-CN"/>
        </w:rPr>
        <w:t>解决纠纷方式：</w:t>
      </w:r>
    </w:p>
    <w:p>
      <w:pPr>
        <w:pStyle w:val="9"/>
        <w:numPr>
          <w:ilvl w:val="0"/>
          <w:numId w:val="16"/>
        </w:numPr>
        <w:ind w:left="480" w:leftChars="0" w:firstLine="0" w:firstLineChars="0"/>
        <w:rPr>
          <w:rFonts w:hint="default" w:ascii="仿宋" w:hAnsi="仿宋" w:eastAsia="仿宋"/>
          <w:bCs/>
          <w:sz w:val="24"/>
          <w:szCs w:val="24"/>
          <w:lang w:val="en-US" w:eastAsia="zh-CN"/>
        </w:rPr>
      </w:pPr>
      <w:r>
        <w:rPr>
          <w:rFonts w:hint="eastAsia" w:ascii="仿宋" w:hAnsi="仿宋" w:eastAsia="仿宋"/>
          <w:bCs/>
          <w:sz w:val="24"/>
          <w:szCs w:val="24"/>
          <w:lang w:val="en-US" w:eastAsia="zh-CN"/>
        </w:rPr>
        <w:t>双方协商。</w:t>
      </w:r>
    </w:p>
    <w:p>
      <w:pPr>
        <w:pStyle w:val="9"/>
        <w:numPr>
          <w:ilvl w:val="0"/>
          <w:numId w:val="16"/>
        </w:numPr>
        <w:ind w:left="480" w:leftChars="0" w:firstLine="0" w:firstLineChars="0"/>
        <w:rPr>
          <w:rFonts w:hint="default" w:ascii="仿宋" w:hAnsi="仿宋" w:eastAsia="仿宋"/>
          <w:bCs/>
          <w:sz w:val="24"/>
          <w:szCs w:val="24"/>
          <w:lang w:val="en-US" w:eastAsia="zh-CN"/>
        </w:rPr>
      </w:pPr>
      <w:r>
        <w:rPr>
          <w:rFonts w:hint="eastAsia" w:ascii="仿宋" w:hAnsi="仿宋" w:eastAsia="仿宋"/>
          <w:bCs/>
          <w:sz w:val="24"/>
          <w:szCs w:val="24"/>
          <w:lang w:val="en-US" w:eastAsia="zh-CN"/>
        </w:rPr>
        <w:t>协商不一致，可提请仲裁委员会仲裁。</w:t>
      </w:r>
    </w:p>
    <w:p>
      <w:pPr>
        <w:pStyle w:val="9"/>
        <w:numPr>
          <w:ilvl w:val="0"/>
          <w:numId w:val="16"/>
        </w:numPr>
        <w:ind w:left="480" w:leftChars="0" w:firstLine="0" w:firstLineChars="0"/>
        <w:rPr>
          <w:rFonts w:hint="default" w:ascii="仿宋" w:hAnsi="仿宋" w:eastAsia="仿宋"/>
          <w:bCs/>
          <w:sz w:val="24"/>
          <w:szCs w:val="24"/>
          <w:lang w:val="en-US" w:eastAsia="zh-CN"/>
        </w:rPr>
      </w:pPr>
      <w:r>
        <w:rPr>
          <w:rFonts w:hint="eastAsia" w:ascii="仿宋" w:hAnsi="仿宋" w:eastAsia="仿宋"/>
          <w:bCs/>
          <w:sz w:val="24"/>
          <w:szCs w:val="24"/>
          <w:lang w:val="en-US" w:eastAsia="zh-CN"/>
        </w:rPr>
        <w:t>没有达成仲裁协议，可向甲方所在地人民法院提请诉讼。</w:t>
      </w:r>
    </w:p>
    <w:p>
      <w:pPr>
        <w:pStyle w:val="9"/>
        <w:numPr>
          <w:ilvl w:val="0"/>
          <w:numId w:val="9"/>
        </w:numPr>
        <w:ind w:left="0" w:leftChars="0" w:firstLine="0" w:firstLineChars="0"/>
        <w:rPr>
          <w:rFonts w:hint="eastAsia" w:ascii="仿宋" w:hAnsi="仿宋" w:eastAsia="仿宋"/>
          <w:bCs/>
          <w:sz w:val="24"/>
          <w:szCs w:val="24"/>
          <w:lang w:val="en-US" w:eastAsia="zh-CN"/>
        </w:rPr>
      </w:pPr>
      <w:r>
        <w:rPr>
          <w:rFonts w:hint="eastAsia" w:ascii="仿宋" w:hAnsi="仿宋" w:eastAsia="仿宋"/>
          <w:bCs/>
          <w:sz w:val="24"/>
          <w:szCs w:val="24"/>
          <w:lang w:val="en-US" w:eastAsia="zh-CN"/>
        </w:rPr>
        <w:t>其他</w:t>
      </w:r>
    </w:p>
    <w:p>
      <w:pPr>
        <w:pStyle w:val="9"/>
        <w:numPr>
          <w:ilvl w:val="0"/>
          <w:numId w:val="17"/>
        </w:numPr>
        <w:ind w:left="480" w:leftChars="0" w:firstLine="0" w:firstLineChars="0"/>
        <w:rPr>
          <w:rFonts w:hint="default" w:ascii="仿宋" w:hAnsi="仿宋" w:eastAsia="仿宋"/>
          <w:bCs/>
          <w:sz w:val="24"/>
          <w:szCs w:val="24"/>
          <w:lang w:val="en-US" w:eastAsia="zh-CN"/>
        </w:rPr>
      </w:pPr>
      <w:r>
        <w:rPr>
          <w:rFonts w:hint="eastAsia" w:ascii="仿宋" w:hAnsi="仿宋" w:eastAsia="仿宋"/>
          <w:bCs/>
          <w:sz w:val="24"/>
          <w:szCs w:val="24"/>
          <w:lang w:val="en-US" w:eastAsia="zh-CN"/>
        </w:rPr>
        <w:t>本合同一式肆份，中文书写，均具有同等法律效力。甲、乙双方各执贰份。</w:t>
      </w:r>
    </w:p>
    <w:p>
      <w:pPr>
        <w:pStyle w:val="9"/>
        <w:numPr>
          <w:ilvl w:val="0"/>
          <w:numId w:val="17"/>
        </w:numPr>
        <w:ind w:left="480" w:leftChars="0" w:firstLine="0" w:firstLineChars="0"/>
        <w:rPr>
          <w:rFonts w:hint="default" w:ascii="仿宋" w:hAnsi="仿宋" w:eastAsia="仿宋"/>
          <w:bCs/>
          <w:sz w:val="24"/>
          <w:szCs w:val="24"/>
          <w:lang w:val="en-US" w:eastAsia="zh-CN"/>
        </w:rPr>
      </w:pPr>
      <w:r>
        <w:rPr>
          <w:rFonts w:hint="eastAsia" w:ascii="仿宋" w:hAnsi="仿宋" w:eastAsia="仿宋"/>
          <w:bCs/>
          <w:sz w:val="24"/>
          <w:szCs w:val="24"/>
          <w:lang w:val="en-US" w:eastAsia="zh-CN"/>
        </w:rPr>
        <w:t>本合同需双方签字并盖章后生效，合同内容如遇国家、法规、政策另行有规定的，从其规定。</w:t>
      </w:r>
    </w:p>
    <w:p>
      <w:pPr>
        <w:pStyle w:val="9"/>
        <w:widowControl w:val="0"/>
        <w:numPr>
          <w:ilvl w:val="0"/>
          <w:numId w:val="0"/>
        </w:numPr>
        <w:spacing w:after="120"/>
        <w:jc w:val="both"/>
        <w:rPr>
          <w:rFonts w:hint="eastAsia" w:ascii="仿宋" w:hAnsi="仿宋" w:eastAsia="仿宋"/>
          <w:bCs/>
          <w:sz w:val="24"/>
          <w:szCs w:val="24"/>
          <w:lang w:val="en-US" w:eastAsia="zh-CN"/>
        </w:rPr>
      </w:pPr>
    </w:p>
    <w:p>
      <w:pPr>
        <w:pStyle w:val="9"/>
        <w:widowControl w:val="0"/>
        <w:numPr>
          <w:ilvl w:val="0"/>
          <w:numId w:val="0"/>
        </w:numPr>
        <w:spacing w:after="120"/>
        <w:jc w:val="both"/>
        <w:rPr>
          <w:rFonts w:hint="eastAsia" w:ascii="仿宋" w:hAnsi="仿宋" w:eastAsia="仿宋"/>
          <w:bCs/>
          <w:sz w:val="24"/>
          <w:szCs w:val="24"/>
          <w:lang w:val="en-US" w:eastAsia="zh-CN"/>
        </w:rPr>
      </w:pPr>
    </w:p>
    <w:p>
      <w:pPr>
        <w:pStyle w:val="9"/>
        <w:widowControl w:val="0"/>
        <w:numPr>
          <w:ilvl w:val="0"/>
          <w:numId w:val="0"/>
        </w:numPr>
        <w:spacing w:after="120"/>
        <w:jc w:val="both"/>
        <w:rPr>
          <w:rFonts w:hint="default" w:ascii="仿宋" w:hAnsi="仿宋" w:eastAsia="仿宋"/>
          <w:bCs/>
          <w:sz w:val="24"/>
          <w:szCs w:val="24"/>
          <w:lang w:val="en-US" w:eastAsia="zh-CN"/>
        </w:rPr>
      </w:pPr>
      <w:r>
        <w:rPr>
          <w:rFonts w:hint="eastAsia" w:ascii="仿宋" w:hAnsi="仿宋" w:eastAsia="仿宋"/>
          <w:bCs/>
          <w:sz w:val="24"/>
          <w:szCs w:val="24"/>
          <w:lang w:val="en-US" w:eastAsia="zh-CN"/>
        </w:rPr>
        <w:t>甲方（公章）：                    乙方（公章）：</w:t>
      </w:r>
    </w:p>
    <w:p>
      <w:pPr>
        <w:pStyle w:val="9"/>
        <w:widowControl w:val="0"/>
        <w:numPr>
          <w:ilvl w:val="0"/>
          <w:numId w:val="0"/>
        </w:numPr>
        <w:spacing w:after="120"/>
        <w:jc w:val="both"/>
        <w:rPr>
          <w:rFonts w:hint="default" w:ascii="仿宋" w:hAnsi="仿宋" w:eastAsia="仿宋"/>
          <w:bCs/>
          <w:sz w:val="24"/>
          <w:szCs w:val="24"/>
          <w:lang w:val="en-US" w:eastAsia="zh-CN"/>
        </w:rPr>
      </w:pPr>
      <w:r>
        <w:rPr>
          <w:rFonts w:hint="eastAsia" w:ascii="仿宋" w:hAnsi="仿宋" w:eastAsia="仿宋"/>
          <w:bCs/>
          <w:sz w:val="24"/>
          <w:szCs w:val="24"/>
          <w:lang w:val="en-US" w:eastAsia="zh-CN"/>
        </w:rPr>
        <w:t>法定（授权）代表人：              法定（授权）代表人：</w:t>
      </w:r>
    </w:p>
    <w:p>
      <w:pPr>
        <w:pStyle w:val="9"/>
        <w:widowControl w:val="0"/>
        <w:numPr>
          <w:ilvl w:val="0"/>
          <w:numId w:val="0"/>
        </w:numPr>
        <w:spacing w:after="120"/>
        <w:jc w:val="both"/>
        <w:rPr>
          <w:rFonts w:hint="eastAsia" w:ascii="仿宋" w:hAnsi="仿宋" w:eastAsia="仿宋"/>
          <w:bCs/>
          <w:sz w:val="24"/>
          <w:szCs w:val="24"/>
          <w:lang w:val="en-US" w:eastAsia="zh-CN"/>
        </w:rPr>
      </w:pPr>
      <w:r>
        <w:rPr>
          <w:rFonts w:hint="eastAsia" w:ascii="仿宋" w:hAnsi="仿宋" w:eastAsia="仿宋"/>
          <w:bCs/>
          <w:sz w:val="24"/>
          <w:szCs w:val="24"/>
          <w:lang w:val="en-US" w:eastAsia="zh-CN"/>
        </w:rPr>
        <w:t>合同签订日期：                    统一社会信用代码：</w:t>
      </w:r>
    </w:p>
    <w:p>
      <w:pPr>
        <w:pStyle w:val="9"/>
        <w:widowControl w:val="0"/>
        <w:numPr>
          <w:ilvl w:val="0"/>
          <w:numId w:val="0"/>
        </w:numPr>
        <w:spacing w:after="120"/>
        <w:jc w:val="both"/>
        <w:rPr>
          <w:rFonts w:hint="eastAsia" w:ascii="仿宋" w:hAnsi="仿宋" w:eastAsia="仿宋"/>
          <w:bCs/>
          <w:sz w:val="24"/>
          <w:szCs w:val="24"/>
          <w:lang w:val="en-US" w:eastAsia="zh-CN"/>
        </w:rPr>
      </w:pPr>
      <w:r>
        <w:rPr>
          <w:rFonts w:hint="eastAsia" w:ascii="仿宋" w:hAnsi="仿宋" w:eastAsia="仿宋"/>
          <w:bCs/>
          <w:sz w:val="24"/>
          <w:szCs w:val="24"/>
          <w:lang w:val="en-US" w:eastAsia="zh-CN"/>
        </w:rPr>
        <w:t xml:space="preserve">                                  地址：</w:t>
      </w:r>
    </w:p>
    <w:p>
      <w:pPr>
        <w:pStyle w:val="9"/>
        <w:widowControl w:val="0"/>
        <w:numPr>
          <w:ilvl w:val="0"/>
          <w:numId w:val="0"/>
        </w:numPr>
        <w:spacing w:after="120"/>
        <w:jc w:val="both"/>
        <w:rPr>
          <w:rFonts w:hint="default" w:ascii="仿宋" w:hAnsi="仿宋" w:eastAsia="仿宋"/>
          <w:bCs/>
          <w:sz w:val="24"/>
          <w:szCs w:val="24"/>
          <w:lang w:val="en-US" w:eastAsia="zh-CN"/>
        </w:rPr>
      </w:pPr>
      <w:r>
        <w:rPr>
          <w:rFonts w:hint="eastAsia" w:ascii="仿宋" w:hAnsi="仿宋" w:eastAsia="仿宋"/>
          <w:bCs/>
          <w:sz w:val="24"/>
          <w:szCs w:val="24"/>
          <w:lang w:val="en-US" w:eastAsia="zh-CN"/>
        </w:rPr>
        <w:t xml:space="preserve">                                  合同签订日期：</w:t>
      </w:r>
    </w:p>
    <w:p>
      <w:pPr>
        <w:pStyle w:val="9"/>
        <w:widowControl w:val="0"/>
        <w:numPr>
          <w:ilvl w:val="0"/>
          <w:numId w:val="0"/>
        </w:numPr>
        <w:spacing w:after="120"/>
        <w:jc w:val="both"/>
        <w:rPr>
          <w:rFonts w:hint="default" w:ascii="仿宋" w:hAnsi="仿宋" w:eastAsia="仿宋"/>
          <w:bCs/>
          <w:sz w:val="24"/>
          <w:szCs w:val="24"/>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2"/>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626E78B"/>
    <w:multiLevelType w:val="singleLevel"/>
    <w:tmpl w:val="8626E78B"/>
    <w:lvl w:ilvl="0" w:tentative="0">
      <w:start w:val="1"/>
      <w:numFmt w:val="chineseCounting"/>
      <w:suff w:val="nothing"/>
      <w:lvlText w:val="%1、"/>
      <w:lvlJc w:val="left"/>
      <w:pPr>
        <w:ind w:left="480" w:leftChars="0" w:firstLine="0" w:firstLineChars="0"/>
      </w:pPr>
      <w:rPr>
        <w:rFonts w:hint="eastAsia"/>
      </w:rPr>
    </w:lvl>
  </w:abstractNum>
  <w:abstractNum w:abstractNumId="1">
    <w:nsid w:val="951C21CE"/>
    <w:multiLevelType w:val="singleLevel"/>
    <w:tmpl w:val="951C21CE"/>
    <w:lvl w:ilvl="0" w:tentative="0">
      <w:start w:val="1"/>
      <w:numFmt w:val="decimal"/>
      <w:suff w:val="space"/>
      <w:lvlText w:val="%1."/>
      <w:lvlJc w:val="left"/>
      <w:pPr>
        <w:ind w:left="480" w:leftChars="0" w:firstLine="0" w:firstLineChars="0"/>
      </w:pPr>
    </w:lvl>
  </w:abstractNum>
  <w:abstractNum w:abstractNumId="2">
    <w:nsid w:val="9B203A11"/>
    <w:multiLevelType w:val="singleLevel"/>
    <w:tmpl w:val="9B203A11"/>
    <w:lvl w:ilvl="0" w:tentative="0">
      <w:start w:val="1"/>
      <w:numFmt w:val="decimal"/>
      <w:suff w:val="space"/>
      <w:lvlText w:val="%1."/>
      <w:lvlJc w:val="left"/>
      <w:pPr>
        <w:ind w:left="480" w:leftChars="0" w:firstLine="0" w:firstLineChars="0"/>
      </w:pPr>
    </w:lvl>
  </w:abstractNum>
  <w:abstractNum w:abstractNumId="3">
    <w:nsid w:val="C2815054"/>
    <w:multiLevelType w:val="singleLevel"/>
    <w:tmpl w:val="C2815054"/>
    <w:lvl w:ilvl="0" w:tentative="0">
      <w:start w:val="1"/>
      <w:numFmt w:val="chineseCounting"/>
      <w:suff w:val="nothing"/>
      <w:lvlText w:val="%1、"/>
      <w:lvlJc w:val="left"/>
      <w:rPr>
        <w:rFonts w:hint="eastAsia"/>
      </w:rPr>
    </w:lvl>
  </w:abstractNum>
  <w:abstractNum w:abstractNumId="4">
    <w:nsid w:val="C501EC70"/>
    <w:multiLevelType w:val="singleLevel"/>
    <w:tmpl w:val="C501EC70"/>
    <w:lvl w:ilvl="0" w:tentative="0">
      <w:start w:val="1"/>
      <w:numFmt w:val="decimal"/>
      <w:lvlText w:val="%1."/>
      <w:lvlJc w:val="left"/>
      <w:pPr>
        <w:tabs>
          <w:tab w:val="left" w:pos="312"/>
        </w:tabs>
      </w:pPr>
    </w:lvl>
  </w:abstractNum>
  <w:abstractNum w:abstractNumId="5">
    <w:nsid w:val="C81C84F0"/>
    <w:multiLevelType w:val="singleLevel"/>
    <w:tmpl w:val="C81C84F0"/>
    <w:lvl w:ilvl="0" w:tentative="0">
      <w:start w:val="1"/>
      <w:numFmt w:val="decimal"/>
      <w:suff w:val="space"/>
      <w:lvlText w:val="%1."/>
      <w:lvlJc w:val="left"/>
      <w:pPr>
        <w:ind w:left="480" w:leftChars="0" w:firstLine="0" w:firstLineChars="0"/>
      </w:pPr>
    </w:lvl>
  </w:abstractNum>
  <w:abstractNum w:abstractNumId="6">
    <w:nsid w:val="E5ACFE7B"/>
    <w:multiLevelType w:val="singleLevel"/>
    <w:tmpl w:val="E5ACFE7B"/>
    <w:lvl w:ilvl="0" w:tentative="0">
      <w:start w:val="1"/>
      <w:numFmt w:val="chineseCounting"/>
      <w:suff w:val="nothing"/>
      <w:lvlText w:val="（%1）"/>
      <w:lvlJc w:val="left"/>
      <w:rPr>
        <w:rFonts w:hint="eastAsia"/>
      </w:rPr>
    </w:lvl>
  </w:abstractNum>
  <w:abstractNum w:abstractNumId="7">
    <w:nsid w:val="0A20102E"/>
    <w:multiLevelType w:val="singleLevel"/>
    <w:tmpl w:val="0A20102E"/>
    <w:lvl w:ilvl="0" w:tentative="0">
      <w:start w:val="1"/>
      <w:numFmt w:val="decimal"/>
      <w:suff w:val="space"/>
      <w:lvlText w:val="%1."/>
      <w:lvlJc w:val="left"/>
      <w:pPr>
        <w:ind w:left="480" w:leftChars="0" w:firstLine="0" w:firstLineChars="0"/>
      </w:pPr>
    </w:lvl>
  </w:abstractNum>
  <w:abstractNum w:abstractNumId="8">
    <w:nsid w:val="0D9C22B6"/>
    <w:multiLevelType w:val="singleLevel"/>
    <w:tmpl w:val="0D9C22B6"/>
    <w:lvl w:ilvl="0" w:tentative="0">
      <w:start w:val="1"/>
      <w:numFmt w:val="decimal"/>
      <w:suff w:val="space"/>
      <w:lvlText w:val="%1."/>
      <w:lvlJc w:val="left"/>
      <w:pPr>
        <w:ind w:left="480" w:leftChars="0" w:firstLine="0" w:firstLineChars="0"/>
      </w:pPr>
    </w:lvl>
  </w:abstractNum>
  <w:abstractNum w:abstractNumId="9">
    <w:nsid w:val="2FBECA7C"/>
    <w:multiLevelType w:val="singleLevel"/>
    <w:tmpl w:val="2FBECA7C"/>
    <w:lvl w:ilvl="0" w:tentative="0">
      <w:start w:val="1"/>
      <w:numFmt w:val="decimal"/>
      <w:suff w:val="space"/>
      <w:lvlText w:val="%1."/>
      <w:lvlJc w:val="left"/>
      <w:pPr>
        <w:ind w:left="480" w:leftChars="0" w:firstLine="0" w:firstLineChars="0"/>
      </w:pPr>
    </w:lvl>
  </w:abstractNum>
  <w:abstractNum w:abstractNumId="10">
    <w:nsid w:val="2FE020E2"/>
    <w:multiLevelType w:val="singleLevel"/>
    <w:tmpl w:val="2FE020E2"/>
    <w:lvl w:ilvl="0" w:tentative="0">
      <w:start w:val="2"/>
      <w:numFmt w:val="chineseCounting"/>
      <w:suff w:val="space"/>
      <w:lvlText w:val="第%1章"/>
      <w:lvlJc w:val="left"/>
      <w:rPr>
        <w:rFonts w:hint="eastAsia"/>
      </w:rPr>
    </w:lvl>
  </w:abstractNum>
  <w:abstractNum w:abstractNumId="11">
    <w:nsid w:val="453E171A"/>
    <w:multiLevelType w:val="singleLevel"/>
    <w:tmpl w:val="453E171A"/>
    <w:lvl w:ilvl="0" w:tentative="0">
      <w:start w:val="1"/>
      <w:numFmt w:val="decimal"/>
      <w:lvlText w:val="%1."/>
      <w:lvlJc w:val="left"/>
      <w:pPr>
        <w:tabs>
          <w:tab w:val="left" w:pos="312"/>
        </w:tabs>
      </w:pPr>
    </w:lvl>
  </w:abstractNum>
  <w:abstractNum w:abstractNumId="12">
    <w:nsid w:val="4B9B445F"/>
    <w:multiLevelType w:val="singleLevel"/>
    <w:tmpl w:val="4B9B445F"/>
    <w:lvl w:ilvl="0" w:tentative="0">
      <w:start w:val="1"/>
      <w:numFmt w:val="decimal"/>
      <w:suff w:val="space"/>
      <w:lvlText w:val="%1."/>
      <w:lvlJc w:val="left"/>
      <w:pPr>
        <w:ind w:left="480" w:leftChars="0" w:firstLine="0" w:firstLineChars="0"/>
      </w:pPr>
    </w:lvl>
  </w:abstractNum>
  <w:abstractNum w:abstractNumId="13">
    <w:nsid w:val="4EAF5455"/>
    <w:multiLevelType w:val="multilevel"/>
    <w:tmpl w:val="4EAF5455"/>
    <w:lvl w:ilvl="0" w:tentative="0">
      <w:start w:val="1"/>
      <w:numFmt w:val="chineseCountingThousand"/>
      <w:lvlText w:val="第%1章  "/>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54BA4ACD"/>
    <w:multiLevelType w:val="singleLevel"/>
    <w:tmpl w:val="54BA4ACD"/>
    <w:lvl w:ilvl="0" w:tentative="0">
      <w:start w:val="1"/>
      <w:numFmt w:val="decimal"/>
      <w:suff w:val="space"/>
      <w:lvlText w:val="%1."/>
      <w:lvlJc w:val="left"/>
      <w:pPr>
        <w:ind w:left="480" w:leftChars="0" w:firstLine="0" w:firstLineChars="0"/>
      </w:pPr>
    </w:lvl>
  </w:abstractNum>
  <w:abstractNum w:abstractNumId="15">
    <w:nsid w:val="62177967"/>
    <w:multiLevelType w:val="singleLevel"/>
    <w:tmpl w:val="62177967"/>
    <w:lvl w:ilvl="0" w:tentative="0">
      <w:start w:val="1"/>
      <w:numFmt w:val="chineseCounting"/>
      <w:suff w:val="nothing"/>
      <w:lvlText w:val="%1、"/>
      <w:lvlJc w:val="left"/>
      <w:rPr>
        <w:rFonts w:hint="eastAsia"/>
      </w:rPr>
    </w:lvl>
  </w:abstractNum>
  <w:abstractNum w:abstractNumId="16">
    <w:nsid w:val="7B455492"/>
    <w:multiLevelType w:val="singleLevel"/>
    <w:tmpl w:val="7B455492"/>
    <w:lvl w:ilvl="0" w:tentative="0">
      <w:start w:val="1"/>
      <w:numFmt w:val="decimal"/>
      <w:lvlText w:val="%1."/>
      <w:lvlJc w:val="left"/>
      <w:pPr>
        <w:ind w:left="425" w:hanging="425"/>
      </w:pPr>
      <w:rPr>
        <w:rFonts w:hint="default"/>
      </w:rPr>
    </w:lvl>
  </w:abstractNum>
  <w:num w:numId="1">
    <w:abstractNumId w:val="13"/>
  </w:num>
  <w:num w:numId="2">
    <w:abstractNumId w:val="10"/>
  </w:num>
  <w:num w:numId="3">
    <w:abstractNumId w:val="0"/>
  </w:num>
  <w:num w:numId="4">
    <w:abstractNumId w:val="15"/>
  </w:num>
  <w:num w:numId="5">
    <w:abstractNumId w:val="4"/>
  </w:num>
  <w:num w:numId="6">
    <w:abstractNumId w:val="11"/>
  </w:num>
  <w:num w:numId="7">
    <w:abstractNumId w:val="6"/>
  </w:num>
  <w:num w:numId="8">
    <w:abstractNumId w:val="16"/>
  </w:num>
  <w:num w:numId="9">
    <w:abstractNumId w:val="3"/>
  </w:num>
  <w:num w:numId="10">
    <w:abstractNumId w:val="1"/>
  </w:num>
  <w:num w:numId="11">
    <w:abstractNumId w:val="12"/>
  </w:num>
  <w:num w:numId="12">
    <w:abstractNumId w:val="7"/>
  </w:num>
  <w:num w:numId="13">
    <w:abstractNumId w:val="5"/>
  </w:num>
  <w:num w:numId="14">
    <w:abstractNumId w:val="9"/>
  </w:num>
  <w:num w:numId="15">
    <w:abstractNumId w:val="8"/>
  </w:num>
  <w:num w:numId="16">
    <w:abstractNumId w:val="14"/>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8"/>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dlMGEyOWU1Zjc4MGEyMGRmM2NjMDQ3MTc5YTkzZWUifQ=="/>
  </w:docVars>
  <w:rsids>
    <w:rsidRoot w:val="21FF7CF2"/>
    <w:rsid w:val="009D46E0"/>
    <w:rsid w:val="08BD472B"/>
    <w:rsid w:val="21FF7CF2"/>
    <w:rsid w:val="24DC2867"/>
    <w:rsid w:val="357434C6"/>
    <w:rsid w:val="3E495F9C"/>
    <w:rsid w:val="45AC5D68"/>
    <w:rsid w:val="463224E8"/>
    <w:rsid w:val="53EE055D"/>
    <w:rsid w:val="5508625B"/>
    <w:rsid w:val="5CCC5A33"/>
    <w:rsid w:val="752E58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iPriority="99"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iPriority="99"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qFormat/>
    <w:uiPriority w:val="9"/>
    <w:pPr>
      <w:keepNext/>
      <w:keepLines/>
      <w:spacing w:before="340" w:after="330" w:line="578" w:lineRule="auto"/>
      <w:outlineLvl w:val="0"/>
    </w:pPr>
    <w:rPr>
      <w:b/>
      <w:bCs/>
      <w:kern w:val="44"/>
      <w:sz w:val="44"/>
      <w:szCs w:val="44"/>
    </w:rPr>
  </w:style>
  <w:style w:type="paragraph" w:styleId="4">
    <w:name w:val="heading 2"/>
    <w:basedOn w:val="1"/>
    <w:next w:val="1"/>
    <w:unhideWhenUsed/>
    <w:qFormat/>
    <w:uiPriority w:val="9"/>
    <w:pPr>
      <w:keepNext/>
      <w:keepLines/>
      <w:spacing w:before="260" w:after="260" w:line="416" w:lineRule="auto"/>
      <w:outlineLvl w:val="1"/>
    </w:pPr>
    <w:rPr>
      <w:rFonts w:ascii="Cambria" w:hAnsi="Cambria" w:eastAsia="宋体" w:cs="Times New Roman"/>
      <w:b/>
      <w:bCs/>
      <w:sz w:val="32"/>
      <w:szCs w:val="32"/>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Normal Indent"/>
    <w:basedOn w:val="1"/>
    <w:qFormat/>
    <w:uiPriority w:val="99"/>
    <w:pPr>
      <w:ind w:firstLine="420"/>
    </w:pPr>
  </w:style>
  <w:style w:type="paragraph" w:styleId="6">
    <w:name w:val="annotation text"/>
    <w:basedOn w:val="1"/>
    <w:qFormat/>
    <w:uiPriority w:val="0"/>
    <w:pPr>
      <w:jc w:val="left"/>
    </w:pPr>
  </w:style>
  <w:style w:type="paragraph" w:styleId="7">
    <w:name w:val="Body Text"/>
    <w:basedOn w:val="1"/>
    <w:unhideWhenUsed/>
    <w:qFormat/>
    <w:uiPriority w:val="99"/>
    <w:pPr>
      <w:spacing w:after="120"/>
    </w:pPr>
  </w:style>
  <w:style w:type="paragraph" w:styleId="8">
    <w:name w:val="Body Text Indent"/>
    <w:basedOn w:val="1"/>
    <w:semiHidden/>
    <w:unhideWhenUsed/>
    <w:qFormat/>
    <w:uiPriority w:val="99"/>
    <w:pPr>
      <w:spacing w:after="120"/>
      <w:ind w:left="420" w:leftChars="200"/>
    </w:pPr>
  </w:style>
  <w:style w:type="paragraph" w:styleId="9">
    <w:name w:val="Body Text First Indent 2"/>
    <w:basedOn w:val="8"/>
    <w:semiHidden/>
    <w:unhideWhenUsed/>
    <w:qFormat/>
    <w:uiPriority w:val="99"/>
    <w:pPr>
      <w:ind w:firstLine="420" w:firstLineChars="200"/>
    </w:pPr>
  </w:style>
  <w:style w:type="table" w:styleId="11">
    <w:name w:val="Table Grid"/>
    <w:basedOn w:val="10"/>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3">
    <w:name w:val="普通正文"/>
    <w:basedOn w:val="1"/>
    <w:qFormat/>
    <w:uiPriority w:val="0"/>
    <w:pPr>
      <w:adjustRightInd w:val="0"/>
      <w:spacing w:before="120" w:after="120" w:line="360" w:lineRule="auto"/>
      <w:ind w:firstLine="480"/>
      <w:jc w:val="left"/>
      <w:textAlignment w:val="baseline"/>
    </w:pPr>
    <w:rPr>
      <w:rFonts w:ascii="Arial" w:hAnsi="Arial"/>
      <w:kern w:val="0"/>
      <w:sz w:val="24"/>
      <w:szCs w:val="24"/>
    </w:rPr>
  </w:style>
  <w:style w:type="character" w:customStyle="1" w:styleId="14">
    <w:name w:val="fontstyle21"/>
    <w:basedOn w:val="12"/>
    <w:qFormat/>
    <w:uiPriority w:val="0"/>
    <w:rPr>
      <w:rFonts w:hint="eastAsia" w:ascii="华文仿宋" w:hAnsi="华文仿宋" w:eastAsia="华文仿宋"/>
      <w:color w:val="000000"/>
      <w:sz w:val="28"/>
      <w:szCs w:val="2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17</Pages>
  <Words>11241</Words>
  <Characters>11880</Characters>
  <Lines>0</Lines>
  <Paragraphs>0</Paragraphs>
  <TotalTime>202</TotalTime>
  <ScaleCrop>false</ScaleCrop>
  <LinksUpToDate>false</LinksUpToDate>
  <CharactersWithSpaces>12223</CharactersWithSpaces>
  <Application>WPS Office_11.1.0.12313_F1E327BC-269C-435d-A152-05C5408002CA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2022-08-02T02:50:00Z</dcterms:created>
  <dc:creator>NS</dc:creator>
  <cp:lastModifiedBy>张三</cp:lastModifiedBy>
  <dcterms:modified xsi:type="dcterms:W3CDTF">2022-09-06T07:36:28Z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2052-11.1.0.12313</vt:lpwstr>
  </property>
  <property fmtid="{D5CDD505-2E9C-101B-9397-08002B2CF9AE}" pid="3" name="ICV">
    <vt:lpwstr>A35DF3F957864B55A2242D430B094F4F</vt:lpwstr>
  </property>
</Properties>
</file>