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after="321" w:afterLines="100"/>
        <w:jc w:val="center"/>
        <w:rPr>
          <w:rFonts w:hint="eastAsia" w:ascii="宋体" w:hAnsi="宋体" w:eastAsia="宋体"/>
          <w:b/>
          <w:color w:val="auto"/>
          <w:sz w:val="44"/>
          <w:szCs w:val="30"/>
          <w:lang w:val="en-US" w:eastAsia="zh-CN"/>
        </w:rPr>
      </w:pPr>
      <w:bookmarkStart w:id="1" w:name="_GoBack"/>
      <w:bookmarkEnd w:id="1"/>
      <w:bookmarkStart w:id="0" w:name="OLE_LINK4"/>
      <w:r>
        <w:rPr>
          <w:rFonts w:hint="eastAsia" w:ascii="宋体" w:hAnsi="宋体" w:eastAsia="宋体"/>
          <w:b/>
          <w:color w:val="auto"/>
          <w:sz w:val="44"/>
          <w:szCs w:val="30"/>
          <w:lang w:val="en-US" w:eastAsia="zh-CN"/>
        </w:rPr>
        <w:t>需求文件</w:t>
      </w:r>
    </w:p>
    <w:p>
      <w:pPr>
        <w:spacing w:line="480" w:lineRule="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en-US" w:eastAsia="zh-CN"/>
        </w:rPr>
        <w:t>一、</w:t>
      </w:r>
      <w:r>
        <w:rPr>
          <w:rFonts w:hint="eastAsia" w:ascii="仿宋" w:hAnsi="仿宋" w:eastAsia="仿宋" w:cs="仿宋"/>
          <w:color w:val="auto"/>
          <w:sz w:val="24"/>
          <w:szCs w:val="24"/>
          <w:lang w:val="zh-CN" w:eastAsia="zh-CN"/>
        </w:rPr>
        <w:t>项目基本情况</w:t>
      </w:r>
    </w:p>
    <w:p>
      <w:pPr>
        <w:spacing w:line="48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zh-CN" w:eastAsia="zh-CN"/>
        </w:rPr>
        <w:t>（</w:t>
      </w:r>
      <w:r>
        <w:rPr>
          <w:rFonts w:hint="eastAsia" w:ascii="仿宋" w:hAnsi="仿宋" w:eastAsia="仿宋" w:cs="仿宋"/>
          <w:color w:val="auto"/>
          <w:sz w:val="24"/>
          <w:szCs w:val="24"/>
          <w:lang w:val="en-US" w:eastAsia="zh-CN"/>
        </w:rPr>
        <w:t>一</w:t>
      </w:r>
      <w:r>
        <w:rPr>
          <w:rFonts w:hint="eastAsia" w:ascii="仿宋" w:hAnsi="仿宋" w:eastAsia="仿宋" w:cs="仿宋"/>
          <w:color w:val="auto"/>
          <w:sz w:val="24"/>
          <w:szCs w:val="24"/>
          <w:lang w:val="zh-CN" w:eastAsia="zh-CN"/>
        </w:rPr>
        <w:t>）项目名称：</w:t>
      </w:r>
      <w:r>
        <w:rPr>
          <w:rFonts w:hint="eastAsia" w:ascii="仿宋" w:hAnsi="仿宋" w:eastAsia="仿宋" w:cs="仿宋"/>
          <w:color w:val="auto"/>
          <w:sz w:val="24"/>
          <w:szCs w:val="24"/>
          <w:lang w:val="en-US" w:eastAsia="zh-CN"/>
        </w:rPr>
        <w:t>数据库运维服务</w:t>
      </w:r>
    </w:p>
    <w:p>
      <w:pPr>
        <w:spacing w:line="480" w:lineRule="auto"/>
        <w:ind w:firstLine="480" w:firstLineChars="200"/>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w:t>
      </w:r>
      <w:r>
        <w:rPr>
          <w:rFonts w:hint="eastAsia" w:ascii="仿宋" w:hAnsi="仿宋" w:eastAsia="仿宋" w:cs="仿宋"/>
          <w:color w:val="auto"/>
          <w:sz w:val="24"/>
          <w:szCs w:val="24"/>
          <w:lang w:val="en-US" w:eastAsia="zh-CN"/>
        </w:rPr>
        <w:t>二</w:t>
      </w:r>
      <w:r>
        <w:rPr>
          <w:rFonts w:hint="eastAsia" w:ascii="仿宋" w:hAnsi="仿宋" w:eastAsia="仿宋" w:cs="仿宋"/>
          <w:color w:val="auto"/>
          <w:sz w:val="24"/>
          <w:szCs w:val="24"/>
          <w:lang w:val="zh-CN" w:eastAsia="zh-CN"/>
        </w:rPr>
        <w:t>）项目预算：</w:t>
      </w:r>
      <w:r>
        <w:rPr>
          <w:rFonts w:hint="eastAsia" w:ascii="仿宋" w:hAnsi="仿宋" w:eastAsia="仿宋" w:cs="仿宋"/>
          <w:color w:val="auto"/>
          <w:sz w:val="24"/>
          <w:szCs w:val="24"/>
          <w:lang w:val="en-US" w:eastAsia="zh-CN"/>
        </w:rPr>
        <w:t>11</w:t>
      </w:r>
      <w:r>
        <w:rPr>
          <w:rFonts w:hint="eastAsia" w:ascii="仿宋" w:hAnsi="仿宋" w:eastAsia="仿宋" w:cs="仿宋"/>
          <w:color w:val="auto"/>
          <w:sz w:val="24"/>
          <w:szCs w:val="24"/>
          <w:lang w:val="zh-CN" w:eastAsia="zh-CN"/>
        </w:rPr>
        <w:t>万元（供应商超出报价视为无效报价）</w:t>
      </w:r>
    </w:p>
    <w:p>
      <w:pPr>
        <w:spacing w:line="48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（三）本项目不接受联合体，部分报价或不齐全的视为无效。</w:t>
      </w:r>
    </w:p>
    <w:bookmarkEnd w:id="0"/>
    <w:p>
      <w:pPr>
        <w:spacing w:line="48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二、采购需求</w:t>
      </w:r>
    </w:p>
    <w:p>
      <w:pPr>
        <w:spacing w:line="48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（一）Oracle数据库维保服务要求</w:t>
      </w:r>
    </w:p>
    <w:p>
      <w:pPr>
        <w:spacing w:line="48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1.提供ORACLE数据库的定期巡检、故障响应、数据库调优等服务。</w:t>
      </w:r>
    </w:p>
    <w:p>
      <w:pPr>
        <w:spacing w:line="48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2.针对系统进行Windows/Linux主机系统维护及调试优化。</w:t>
      </w:r>
    </w:p>
    <w:p>
      <w:pPr>
        <w:spacing w:line="48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3.针对系统进行数据库安全备份，保障数据完整及安全。</w:t>
      </w:r>
    </w:p>
    <w:p>
      <w:pPr>
        <w:spacing w:line="48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4.保证数据库高效运行。</w:t>
      </w:r>
    </w:p>
    <w:p>
      <w:pPr>
        <w:spacing w:line="48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（二）Oracle数据库维保服务方式要求</w:t>
      </w:r>
    </w:p>
    <w:p>
      <w:pPr>
        <w:spacing w:line="48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乙方应提供7×24（即每周 7个工作日，每天24小时，紧急事件半小时内响应到场，1小时提出应急方案）全天技术支持服务，并根据甲方的需要提供现场支持服务。服务内容包括：</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2"/>
        <w:gridCol w:w="846"/>
        <w:gridCol w:w="85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序号</w:t>
            </w:r>
          </w:p>
        </w:tc>
        <w:tc>
          <w:tcPr>
            <w:tcW w:w="84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功能项</w:t>
            </w:r>
          </w:p>
        </w:tc>
        <w:tc>
          <w:tcPr>
            <w:tcW w:w="850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参数要求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2" w:type="dxa"/>
            <w:noWrap w:val="0"/>
            <w:vAlign w:val="center"/>
          </w:tcPr>
          <w:p>
            <w:pPr>
              <w:keepNext w:val="0"/>
              <w:keepLines w:val="0"/>
              <w:pageBreakBefore w:val="0"/>
              <w:widowControl w:val="0"/>
              <w:numPr>
                <w:ilvl w:val="0"/>
                <w:numId w:val="1"/>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84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color w:val="auto"/>
                <w:sz w:val="24"/>
                <w:szCs w:val="24"/>
                <w:lang w:val="en-US" w:eastAsia="zh-CN"/>
              </w:rPr>
              <w:t>健康检查</w:t>
            </w:r>
          </w:p>
        </w:tc>
        <w:tc>
          <w:tcPr>
            <w:tcW w:w="8504" w:type="dxa"/>
            <w:noWrap w:val="0"/>
            <w:vAlign w:val="center"/>
          </w:tcPr>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ORACLE工程师每月一次到用户现场，对数据库系统进行例行健康检查，并提交报告。检查的内容应包括但不限于以下内容：</w:t>
            </w:r>
          </w:p>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a)</w:t>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lang w:val="en-US" w:eastAsia="zh-CN"/>
              </w:rPr>
              <w:t>容错检查，检查并分析系统日志及跟踪文件，发现并排除数据库及应用系统的错误隐患；</w:t>
            </w:r>
          </w:p>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b)</w:t>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lang w:val="en-US" w:eastAsia="zh-CN"/>
              </w:rPr>
              <w:t>检查数据库的配置健康情况；</w:t>
            </w:r>
          </w:p>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c)</w:t>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lang w:val="en-US" w:eastAsia="zh-CN"/>
              </w:rPr>
              <w:t>发现并排除数据库系统错误隐患；</w:t>
            </w:r>
          </w:p>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d)</w:t>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lang w:val="en-US" w:eastAsia="zh-CN"/>
              </w:rPr>
              <w:t>检查数据库系统是否需要应用最新的补丁集；</w:t>
            </w:r>
          </w:p>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e)</w:t>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lang w:val="en-US" w:eastAsia="zh-CN"/>
              </w:rPr>
              <w:t>检查数据库空间的使用情况，协助进行数据库空间的规划管理；</w:t>
            </w:r>
          </w:p>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f)</w:t>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lang w:val="en-US" w:eastAsia="zh-CN"/>
              </w:rPr>
              <w:t>检查数据库备份的完整性；</w:t>
            </w:r>
          </w:p>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g)</w:t>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lang w:val="en-US" w:eastAsia="zh-CN"/>
              </w:rPr>
              <w:t>监控数据库性能、数据库运行状态、运行效率、是否存在安全隐患；</w:t>
            </w:r>
          </w:p>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h)</w:t>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lang w:val="en-US" w:eastAsia="zh-CN"/>
              </w:rPr>
              <w:t>备份方式是否合理、备份数据是否可恢复；</w:t>
            </w:r>
          </w:p>
          <w:p>
            <w:pPr>
              <w:pageBreakBefore w:val="0"/>
              <w:kinsoku/>
              <w:wordWrap/>
              <w:overflowPunct/>
              <w:topLinePunct w:val="0"/>
              <w:autoSpaceDE/>
              <w:autoSpaceDN/>
              <w:bidi w:val="0"/>
              <w:adjustRightInd/>
              <w:snapToGrid/>
              <w:spacing w:line="240" w:lineRule="auto"/>
              <w:ind w:firstLine="480" w:firstLineChars="200"/>
              <w:rPr>
                <w:rFonts w:hint="default" w:ascii="仿宋" w:hAnsi="仿宋" w:eastAsia="仿宋" w:cs="仿宋"/>
                <w:b w:val="0"/>
                <w:bCs w:val="0"/>
                <w:color w:val="auto"/>
                <w:sz w:val="24"/>
                <w:szCs w:val="24"/>
                <w:highlight w:val="none"/>
                <w:vertAlign w:val="baseline"/>
                <w:lang w:val="en-US" w:eastAsia="zh-CN"/>
              </w:rPr>
            </w:pPr>
            <w:r>
              <w:rPr>
                <w:rFonts w:hint="eastAsia" w:ascii="仿宋" w:hAnsi="仿宋" w:eastAsia="仿宋" w:cs="仿宋"/>
                <w:color w:val="auto"/>
                <w:sz w:val="24"/>
                <w:szCs w:val="24"/>
                <w:lang w:val="en-US" w:eastAsia="zh-CN"/>
              </w:rPr>
              <w:t>i)</w:t>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lang w:val="en-US" w:eastAsia="zh-CN"/>
              </w:rPr>
              <w:t>提供系统健康检查报告；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2" w:type="dxa"/>
            <w:noWrap w:val="0"/>
            <w:vAlign w:val="center"/>
          </w:tcPr>
          <w:p>
            <w:pPr>
              <w:keepNext w:val="0"/>
              <w:keepLines w:val="0"/>
              <w:pageBreakBefore w:val="0"/>
              <w:widowControl w:val="0"/>
              <w:numPr>
                <w:ilvl w:val="0"/>
                <w:numId w:val="1"/>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84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系统监控</w:t>
            </w:r>
          </w:p>
        </w:tc>
        <w:tc>
          <w:tcPr>
            <w:tcW w:w="8504" w:type="dxa"/>
            <w:noWrap w:val="0"/>
            <w:vAlign w:val="center"/>
          </w:tcPr>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负责搭建ZABBIX运维监控系统，监控负责运维数据库运行状况，及时发现问题报警并处理解决。</w:t>
            </w:r>
          </w:p>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监控（但不限于）下列项目:</w:t>
            </w:r>
          </w:p>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-实例运行状态</w:t>
            </w:r>
          </w:p>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-空间使用率</w:t>
            </w:r>
          </w:p>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-系统资源使用率（CPU/IO/MEMORY）</w:t>
            </w:r>
          </w:p>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-会话及锁</w:t>
            </w:r>
          </w:p>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-Session/Processes</w:t>
            </w:r>
          </w:p>
          <w:p>
            <w:pPr>
              <w:pageBreakBefore w:val="0"/>
              <w:kinsoku/>
              <w:wordWrap/>
              <w:overflowPunct/>
              <w:topLinePunct w:val="0"/>
              <w:autoSpaceDE/>
              <w:autoSpaceDN/>
              <w:bidi w:val="0"/>
              <w:adjustRightInd/>
              <w:snapToGrid/>
              <w:spacing w:line="240" w:lineRule="auto"/>
              <w:ind w:firstLine="480" w:firstLineChars="200"/>
              <w:rPr>
                <w:rFonts w:hint="default" w:ascii="仿宋" w:hAnsi="仿宋" w:eastAsia="仿宋" w:cs="仿宋"/>
                <w:b w:val="0"/>
                <w:bCs w:val="0"/>
                <w:color w:val="auto"/>
                <w:sz w:val="24"/>
                <w:szCs w:val="24"/>
                <w:highlight w:val="none"/>
                <w:vertAlign w:val="baseline"/>
                <w:lang w:val="en-US" w:eastAsia="zh-CN"/>
              </w:rPr>
            </w:pPr>
            <w:r>
              <w:rPr>
                <w:rFonts w:hint="eastAsia" w:ascii="仿宋" w:hAnsi="仿宋" w:eastAsia="仿宋" w:cs="仿宋"/>
                <w:color w:val="auto"/>
                <w:sz w:val="24"/>
                <w:szCs w:val="24"/>
                <w:lang w:val="en-US" w:eastAsia="zh-CN"/>
              </w:rPr>
              <w:t>-DATAGUARD同步状态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2" w:type="dxa"/>
            <w:noWrap w:val="0"/>
            <w:vAlign w:val="center"/>
          </w:tcPr>
          <w:p>
            <w:pPr>
              <w:keepNext w:val="0"/>
              <w:keepLines w:val="0"/>
              <w:pageBreakBefore w:val="0"/>
              <w:widowControl w:val="0"/>
              <w:numPr>
                <w:ilvl w:val="0"/>
                <w:numId w:val="1"/>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846" w:type="dxa"/>
            <w:noWrap w:val="0"/>
            <w:vAlign w:val="center"/>
          </w:tcPr>
          <w:p>
            <w:pPr>
              <w:pageBreakBefore w:val="0"/>
              <w:kinsoku/>
              <w:wordWrap/>
              <w:overflowPunct/>
              <w:topLinePunct w:val="0"/>
              <w:autoSpaceDE/>
              <w:autoSpaceDN/>
              <w:bidi w:val="0"/>
              <w:adjustRightInd/>
              <w:snapToGrid/>
              <w:spacing w:line="24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RAC/DATAGUARD数据库容灾服务</w:t>
            </w:r>
          </w:p>
        </w:tc>
        <w:tc>
          <w:tcPr>
            <w:tcW w:w="8504" w:type="dxa"/>
            <w:noWrap w:val="0"/>
            <w:vAlign w:val="center"/>
          </w:tcPr>
          <w:p>
            <w:pPr>
              <w:pageBreakBefore w:val="0"/>
              <w:kinsoku/>
              <w:wordWrap/>
              <w:overflowPunct/>
              <w:topLinePunct w:val="0"/>
              <w:autoSpaceDE/>
              <w:autoSpaceDN/>
              <w:bidi w:val="0"/>
              <w:adjustRightInd/>
              <w:snapToGrid/>
              <w:spacing w:line="240" w:lineRule="auto"/>
              <w:ind w:firstLine="480" w:firstLineChars="200"/>
              <w:rPr>
                <w:rFonts w:hint="default" w:ascii="仿宋" w:hAnsi="仿宋" w:eastAsia="仿宋" w:cs="仿宋"/>
                <w:b w:val="0"/>
                <w:bCs w:val="0"/>
                <w:color w:val="auto"/>
                <w:sz w:val="24"/>
                <w:szCs w:val="24"/>
                <w:highlight w:val="none"/>
                <w:vertAlign w:val="baseline"/>
                <w:lang w:val="en-US" w:eastAsia="zh-CN"/>
              </w:rPr>
            </w:pPr>
            <w:r>
              <w:rPr>
                <w:rFonts w:hint="eastAsia" w:ascii="仿宋" w:hAnsi="仿宋" w:eastAsia="仿宋" w:cs="仿宋"/>
                <w:color w:val="auto"/>
                <w:sz w:val="24"/>
                <w:szCs w:val="24"/>
                <w:lang w:val="en-US" w:eastAsia="zh-CN"/>
              </w:rPr>
              <w:t>乙方协助甲方完善数据库备份恢复策略，提供完整的备份恢复策略方案，在甲乙双方协商确定并进行实施，确保数据安全，防止出现数据的灾难。定期对RAC/DATAGUARD环境进行维护、监控，确保RAC/DATAGUARD系统正常运行，当RAC/DATAGUARD中出现预警信号时，及时查明告警原因，及时消除事故隐患；定期为用户做数据备份及验证工作，保证用户的数据安全；当RAC/DATAGUARD系统出现突发事故时，第一时间到达现场，排除故障，减少意外宕机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2" w:type="dxa"/>
            <w:noWrap w:val="0"/>
            <w:vAlign w:val="center"/>
          </w:tcPr>
          <w:p>
            <w:pPr>
              <w:keepNext w:val="0"/>
              <w:keepLines w:val="0"/>
              <w:pageBreakBefore w:val="0"/>
              <w:widowControl w:val="0"/>
              <w:numPr>
                <w:ilvl w:val="0"/>
                <w:numId w:val="1"/>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846" w:type="dxa"/>
            <w:noWrap w:val="0"/>
            <w:vAlign w:val="center"/>
          </w:tcPr>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配合甲方实施及保障工作</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lang w:val="en-US" w:eastAsia="zh-CN"/>
              </w:rPr>
            </w:pPr>
          </w:p>
        </w:tc>
        <w:tc>
          <w:tcPr>
            <w:tcW w:w="8504" w:type="dxa"/>
            <w:noWrap w:val="0"/>
            <w:vAlign w:val="center"/>
          </w:tcPr>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a)</w:t>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lang w:val="en-US" w:eastAsia="zh-CN"/>
              </w:rPr>
              <w:t>出现灾难性故障时现场协助系统和数据的恢复工作,保障数据库系统的正常运行。</w:t>
            </w:r>
          </w:p>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b)</w:t>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lang w:val="en-US" w:eastAsia="zh-CN"/>
              </w:rPr>
              <w:t>配合甲方实施数据迁移。</w:t>
            </w:r>
          </w:p>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c)</w:t>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lang w:val="en-US" w:eastAsia="zh-CN"/>
              </w:rPr>
              <w:t>配合甲方进行数据库整体规划。</w:t>
            </w:r>
          </w:p>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d)</w:t>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lang w:val="en-US" w:eastAsia="zh-CN"/>
              </w:rPr>
              <w:t>配合系统上线数据库影响评估。</w:t>
            </w:r>
          </w:p>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e)</w:t>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lang w:val="en-US" w:eastAsia="zh-CN"/>
              </w:rPr>
              <w:t>配合处理数据库方面相关问题。</w:t>
            </w:r>
          </w:p>
          <w:p>
            <w:pPr>
              <w:pageBreakBefore w:val="0"/>
              <w:kinsoku/>
              <w:wordWrap/>
              <w:overflowPunct/>
              <w:topLinePunct w:val="0"/>
              <w:autoSpaceDE/>
              <w:autoSpaceDN/>
              <w:bidi w:val="0"/>
              <w:adjustRightInd/>
              <w:snapToGrid/>
              <w:spacing w:line="240" w:lineRule="auto"/>
              <w:ind w:firstLine="480" w:firstLineChars="200"/>
              <w:rPr>
                <w:rFonts w:hint="default" w:ascii="仿宋" w:hAnsi="仿宋" w:eastAsia="仿宋" w:cs="仿宋"/>
                <w:b w:val="0"/>
                <w:bCs w:val="0"/>
                <w:color w:val="auto"/>
                <w:sz w:val="24"/>
                <w:szCs w:val="24"/>
                <w:highlight w:val="none"/>
                <w:vertAlign w:val="baseline"/>
                <w:lang w:val="en-US" w:eastAsia="zh-CN"/>
              </w:rPr>
            </w:pPr>
            <w:r>
              <w:rPr>
                <w:rFonts w:hint="eastAsia" w:ascii="仿宋" w:hAnsi="仿宋" w:eastAsia="仿宋" w:cs="仿宋"/>
                <w:color w:val="auto"/>
                <w:sz w:val="24"/>
                <w:szCs w:val="24"/>
                <w:lang w:val="en-US" w:eastAsia="zh-CN"/>
              </w:rPr>
              <w:t>f)</w:t>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lang w:val="en-US" w:eastAsia="zh-CN"/>
              </w:rPr>
              <w:t>配合甲方实施整体数据库安全方案。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2" w:type="dxa"/>
            <w:noWrap w:val="0"/>
            <w:vAlign w:val="center"/>
          </w:tcPr>
          <w:p>
            <w:pPr>
              <w:keepNext w:val="0"/>
              <w:keepLines w:val="0"/>
              <w:pageBreakBefore w:val="0"/>
              <w:widowControl w:val="0"/>
              <w:numPr>
                <w:ilvl w:val="0"/>
                <w:numId w:val="1"/>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84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技术支持</w:t>
            </w:r>
          </w:p>
        </w:tc>
        <w:tc>
          <w:tcPr>
            <w:tcW w:w="8504" w:type="dxa"/>
            <w:noWrap w:val="0"/>
            <w:vAlign w:val="center"/>
          </w:tcPr>
          <w:p>
            <w:pPr>
              <w:pageBreakBefore w:val="0"/>
              <w:kinsoku/>
              <w:wordWrap/>
              <w:overflowPunct/>
              <w:topLinePunct w:val="0"/>
              <w:autoSpaceDE/>
              <w:autoSpaceDN/>
              <w:bidi w:val="0"/>
              <w:adjustRightInd/>
              <w:snapToGrid/>
              <w:spacing w:line="240" w:lineRule="auto"/>
              <w:ind w:firstLine="480" w:firstLineChars="200"/>
              <w:rPr>
                <w:rFonts w:hint="default" w:ascii="仿宋" w:hAnsi="仿宋" w:eastAsia="仿宋" w:cs="仿宋"/>
                <w:b w:val="0"/>
                <w:bCs w:val="0"/>
                <w:color w:val="auto"/>
                <w:sz w:val="24"/>
                <w:szCs w:val="24"/>
                <w:highlight w:val="none"/>
                <w:vertAlign w:val="baseline"/>
                <w:lang w:val="en-US" w:eastAsia="zh-CN"/>
              </w:rPr>
            </w:pPr>
            <w:r>
              <w:rPr>
                <w:rFonts w:hint="eastAsia" w:ascii="仿宋" w:hAnsi="仿宋" w:eastAsia="仿宋" w:cs="仿宋"/>
                <w:color w:val="auto"/>
                <w:sz w:val="24"/>
                <w:szCs w:val="24"/>
                <w:lang w:val="en-US" w:eastAsia="zh-CN"/>
              </w:rPr>
              <w:t>负责解答甲方提出的问题，提供维护技术人员联系方式，无限次电话及邮件支持，必要时现场响应并及时解决。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2" w:type="dxa"/>
            <w:noWrap w:val="0"/>
            <w:vAlign w:val="center"/>
          </w:tcPr>
          <w:p>
            <w:pPr>
              <w:keepNext w:val="0"/>
              <w:keepLines w:val="0"/>
              <w:pageBreakBefore w:val="0"/>
              <w:widowControl w:val="0"/>
              <w:numPr>
                <w:ilvl w:val="0"/>
                <w:numId w:val="1"/>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84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巡检与培训服务</w:t>
            </w:r>
          </w:p>
        </w:tc>
        <w:tc>
          <w:tcPr>
            <w:tcW w:w="8504" w:type="dxa"/>
            <w:noWrap w:val="0"/>
            <w:vAlign w:val="center"/>
          </w:tcPr>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t>a)</w:t>
            </w:r>
            <w:r>
              <w:rPr>
                <w:rFonts w:hint="eastAsia" w:ascii="仿宋" w:hAnsi="仿宋" w:eastAsia="仿宋" w:cs="仿宋"/>
                <w:b w:val="0"/>
                <w:bCs/>
                <w:color w:val="auto"/>
                <w:sz w:val="24"/>
                <w:szCs w:val="24"/>
                <w:lang w:val="en-US" w:eastAsia="zh-CN"/>
              </w:rPr>
              <w:tab/>
            </w:r>
            <w:r>
              <w:rPr>
                <w:rFonts w:hint="eastAsia" w:ascii="仿宋" w:hAnsi="仿宋" w:eastAsia="仿宋" w:cs="仿宋"/>
                <w:b w:val="0"/>
                <w:bCs/>
                <w:color w:val="auto"/>
                <w:sz w:val="24"/>
                <w:szCs w:val="24"/>
                <w:lang w:val="en-US" w:eastAsia="zh-CN"/>
              </w:rPr>
              <w:t>提供特殊时段（如：结账日、春节、劳动节、国庆节、年终、系统停机维护、数据集中及用户认为必须的重要时段）的服务，以及产品安装、系统变更和迁移等的现场支持服务。</w:t>
            </w:r>
          </w:p>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t>b)</w:t>
            </w:r>
            <w:r>
              <w:rPr>
                <w:rFonts w:hint="eastAsia" w:ascii="仿宋" w:hAnsi="仿宋" w:eastAsia="仿宋" w:cs="仿宋"/>
                <w:b w:val="0"/>
                <w:bCs/>
                <w:color w:val="auto"/>
                <w:sz w:val="24"/>
                <w:szCs w:val="24"/>
                <w:lang w:val="en-US" w:eastAsia="zh-CN"/>
              </w:rPr>
              <w:tab/>
            </w:r>
            <w:r>
              <w:rPr>
                <w:rFonts w:hint="eastAsia" w:ascii="仿宋" w:hAnsi="仿宋" w:eastAsia="仿宋" w:cs="仿宋"/>
                <w:b w:val="0"/>
                <w:bCs/>
                <w:color w:val="auto"/>
                <w:sz w:val="24"/>
                <w:szCs w:val="24"/>
                <w:lang w:val="en-US" w:eastAsia="zh-CN"/>
              </w:rPr>
              <w:t>每月一次例行巡检即预防性维护并提供例行巡检报告。</w:t>
            </w:r>
          </w:p>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t>c)</w:t>
            </w:r>
            <w:r>
              <w:rPr>
                <w:rFonts w:hint="eastAsia" w:ascii="仿宋" w:hAnsi="仿宋" w:eastAsia="仿宋" w:cs="仿宋"/>
                <w:b w:val="0"/>
                <w:bCs/>
                <w:color w:val="auto"/>
                <w:sz w:val="24"/>
                <w:szCs w:val="24"/>
                <w:lang w:val="en-US" w:eastAsia="zh-CN"/>
              </w:rPr>
              <w:tab/>
            </w:r>
            <w:r>
              <w:rPr>
                <w:rFonts w:hint="eastAsia" w:ascii="仿宋" w:hAnsi="仿宋" w:eastAsia="仿宋" w:cs="仿宋"/>
                <w:b w:val="0"/>
                <w:bCs/>
                <w:color w:val="auto"/>
                <w:sz w:val="24"/>
                <w:szCs w:val="24"/>
                <w:lang w:val="en-US" w:eastAsia="zh-CN"/>
              </w:rPr>
              <w:t>每次处理ORACLE数据库故障后提交报告。</w:t>
            </w:r>
          </w:p>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t>d)</w:t>
            </w:r>
            <w:r>
              <w:rPr>
                <w:rFonts w:hint="eastAsia" w:ascii="仿宋" w:hAnsi="仿宋" w:eastAsia="仿宋" w:cs="仿宋"/>
                <w:b w:val="0"/>
                <w:bCs/>
                <w:color w:val="auto"/>
                <w:sz w:val="24"/>
                <w:szCs w:val="24"/>
                <w:lang w:val="en-US" w:eastAsia="zh-CN"/>
              </w:rPr>
              <w:tab/>
            </w:r>
            <w:r>
              <w:rPr>
                <w:rFonts w:hint="eastAsia" w:ascii="仿宋" w:hAnsi="仿宋" w:eastAsia="仿宋" w:cs="仿宋"/>
                <w:b w:val="0"/>
                <w:bCs/>
                <w:color w:val="auto"/>
                <w:sz w:val="24"/>
                <w:szCs w:val="24"/>
                <w:lang w:val="en-US" w:eastAsia="zh-CN"/>
              </w:rPr>
              <w:t>每季度一次健康性检查，全面进行容错检查，检查并分析系统日志及跟踪文件，发现并排除数据库及应用系统的错误隐患，并提供季度巡检报告，甲方签署后方可进行季度付款。在维保期内如遇到乙方不能解决的问题，甲方有权请其他公司进行解决，产生的费用全部由乙方负担。</w:t>
            </w:r>
          </w:p>
          <w:p>
            <w:pPr>
              <w:pStyle w:val="5"/>
              <w:pageBreakBefore w:val="0"/>
              <w:numPr>
                <w:ilvl w:val="0"/>
                <w:numId w:val="0"/>
              </w:numPr>
              <w:kinsoku/>
              <w:wordWrap/>
              <w:overflowPunct/>
              <w:topLinePunct w:val="0"/>
              <w:autoSpaceDE/>
              <w:autoSpaceDN/>
              <w:bidi w:val="0"/>
              <w:adjustRightInd/>
              <w:snapToGrid/>
              <w:spacing w:before="0" w:after="0" w:line="240" w:lineRule="auto"/>
              <w:ind w:firstLine="480" w:firstLineChars="200"/>
              <w:jc w:val="left"/>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t>e)</w:t>
            </w:r>
            <w:r>
              <w:rPr>
                <w:rFonts w:hint="eastAsia" w:ascii="仿宋" w:hAnsi="仿宋" w:eastAsia="仿宋" w:cs="仿宋"/>
                <w:b w:val="0"/>
                <w:bCs/>
                <w:color w:val="auto"/>
                <w:sz w:val="24"/>
                <w:szCs w:val="24"/>
                <w:lang w:val="en-US" w:eastAsia="zh-CN"/>
              </w:rPr>
              <w:tab/>
            </w:r>
            <w:r>
              <w:rPr>
                <w:rFonts w:hint="eastAsia" w:ascii="仿宋" w:hAnsi="仿宋" w:eastAsia="仿宋" w:cs="仿宋"/>
                <w:b w:val="0"/>
                <w:bCs/>
                <w:color w:val="auto"/>
                <w:sz w:val="24"/>
                <w:szCs w:val="24"/>
                <w:lang w:val="en-US" w:eastAsia="zh-CN"/>
              </w:rPr>
              <w:t>每半年并进行一次维护工作总结，并提交报告书；</w:t>
            </w:r>
          </w:p>
          <w:p>
            <w:pPr>
              <w:pStyle w:val="5"/>
              <w:pageBreakBefore w:val="0"/>
              <w:numPr>
                <w:ilvl w:val="0"/>
                <w:numId w:val="0"/>
              </w:numPr>
              <w:kinsoku/>
              <w:wordWrap/>
              <w:overflowPunct/>
              <w:topLinePunct w:val="0"/>
              <w:autoSpaceDE/>
              <w:autoSpaceDN/>
              <w:bidi w:val="0"/>
              <w:adjustRightInd/>
              <w:snapToGrid/>
              <w:spacing w:before="0" w:after="0" w:line="240" w:lineRule="auto"/>
              <w:ind w:firstLine="480" w:firstLineChars="200"/>
              <w:jc w:val="left"/>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t>f)</w:t>
            </w:r>
            <w:r>
              <w:rPr>
                <w:rFonts w:hint="eastAsia" w:ascii="仿宋" w:hAnsi="仿宋" w:eastAsia="仿宋" w:cs="仿宋"/>
                <w:b w:val="0"/>
                <w:bCs/>
                <w:color w:val="auto"/>
                <w:sz w:val="24"/>
                <w:szCs w:val="24"/>
                <w:lang w:val="en-US" w:eastAsia="zh-CN"/>
              </w:rPr>
              <w:tab/>
            </w:r>
            <w:r>
              <w:rPr>
                <w:rFonts w:hint="eastAsia" w:ascii="仿宋" w:hAnsi="仿宋" w:eastAsia="仿宋" w:cs="仿宋"/>
                <w:b w:val="0"/>
                <w:bCs/>
                <w:color w:val="auto"/>
                <w:sz w:val="24"/>
                <w:szCs w:val="24"/>
                <w:lang w:val="en-US" w:eastAsia="zh-CN"/>
              </w:rPr>
              <w:t>乙方在服务年度期满前十五天应通知甲方，并完成年度现场维护，提供年度服务总结报告。</w:t>
            </w:r>
          </w:p>
          <w:p>
            <w:pPr>
              <w:pStyle w:val="5"/>
              <w:pageBreakBefore w:val="0"/>
              <w:numPr>
                <w:ilvl w:val="0"/>
                <w:numId w:val="0"/>
              </w:numPr>
              <w:kinsoku/>
              <w:wordWrap/>
              <w:overflowPunct/>
              <w:topLinePunct w:val="0"/>
              <w:autoSpaceDE/>
              <w:autoSpaceDN/>
              <w:bidi w:val="0"/>
              <w:adjustRightInd/>
              <w:snapToGrid/>
              <w:spacing w:before="0" w:after="0" w:line="240" w:lineRule="auto"/>
              <w:ind w:firstLine="480" w:firstLineChars="200"/>
              <w:jc w:val="left"/>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t>g)</w:t>
            </w:r>
            <w:r>
              <w:rPr>
                <w:rFonts w:hint="eastAsia" w:ascii="仿宋" w:hAnsi="仿宋" w:eastAsia="仿宋" w:cs="仿宋"/>
                <w:b w:val="0"/>
                <w:bCs/>
                <w:color w:val="auto"/>
                <w:sz w:val="24"/>
                <w:szCs w:val="24"/>
                <w:lang w:val="en-US" w:eastAsia="zh-CN"/>
              </w:rPr>
              <w:tab/>
            </w:r>
            <w:r>
              <w:rPr>
                <w:rFonts w:hint="eastAsia" w:ascii="仿宋" w:hAnsi="仿宋" w:eastAsia="仿宋" w:cs="仿宋"/>
                <w:b w:val="0"/>
                <w:bCs/>
                <w:color w:val="auto"/>
                <w:sz w:val="24"/>
                <w:szCs w:val="24"/>
                <w:lang w:val="en-US" w:eastAsia="zh-CN"/>
              </w:rPr>
              <w:t>所有的检查报告乙方均按照甲方要求进行装订，并于当月末三日内交送甲方负责人员。</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仿宋" w:hAnsi="仿宋" w:eastAsia="仿宋" w:cs="仿宋"/>
                <w:b w:val="0"/>
                <w:bCs w:val="0"/>
                <w:color w:val="auto"/>
                <w:sz w:val="24"/>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2" w:type="dxa"/>
            <w:noWrap w:val="0"/>
            <w:vAlign w:val="center"/>
          </w:tcPr>
          <w:p>
            <w:pPr>
              <w:keepNext w:val="0"/>
              <w:keepLines w:val="0"/>
              <w:pageBreakBefore w:val="0"/>
              <w:widowControl w:val="0"/>
              <w:numPr>
                <w:ilvl w:val="0"/>
                <w:numId w:val="1"/>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84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b w:val="0"/>
                <w:bCs/>
                <w:color w:val="auto"/>
                <w:sz w:val="24"/>
                <w:szCs w:val="24"/>
                <w:lang w:val="en-US" w:eastAsia="zh-CN"/>
              </w:rPr>
              <w:t>技术监督</w:t>
            </w:r>
          </w:p>
        </w:tc>
        <w:tc>
          <w:tcPr>
            <w:tcW w:w="8504" w:type="dxa"/>
            <w:noWrap w:val="0"/>
            <w:vAlign w:val="center"/>
          </w:tcPr>
          <w:p>
            <w:pPr>
              <w:pStyle w:val="5"/>
              <w:pageBreakBefore w:val="0"/>
              <w:numPr>
                <w:ilvl w:val="0"/>
                <w:numId w:val="0"/>
              </w:numPr>
              <w:kinsoku/>
              <w:wordWrap/>
              <w:overflowPunct/>
              <w:topLinePunct w:val="0"/>
              <w:autoSpaceDE/>
              <w:autoSpaceDN/>
              <w:bidi w:val="0"/>
              <w:adjustRightInd/>
              <w:snapToGrid/>
              <w:spacing w:before="0" w:after="0" w:line="240" w:lineRule="auto"/>
              <w:ind w:firstLine="480" w:firstLineChars="200"/>
              <w:jc w:val="left"/>
              <w:rPr>
                <w:rFonts w:hint="default"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color w:val="auto"/>
                <w:sz w:val="24"/>
                <w:szCs w:val="24"/>
                <w:lang w:val="en-US" w:eastAsia="zh-CN"/>
              </w:rPr>
              <w:t>安装调试过程中接受用户技术人员的技术监督，听取合理意见。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2" w:type="dxa"/>
            <w:noWrap w:val="0"/>
            <w:vAlign w:val="center"/>
          </w:tcPr>
          <w:p>
            <w:pPr>
              <w:keepNext w:val="0"/>
              <w:keepLines w:val="0"/>
              <w:pageBreakBefore w:val="0"/>
              <w:widowControl w:val="0"/>
              <w:numPr>
                <w:ilvl w:val="0"/>
                <w:numId w:val="1"/>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84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b w:val="0"/>
                <w:bCs/>
                <w:color w:val="auto"/>
                <w:sz w:val="24"/>
                <w:szCs w:val="24"/>
                <w:lang w:val="en-US" w:eastAsia="zh-CN"/>
              </w:rPr>
              <w:t>响应时效</w:t>
            </w:r>
          </w:p>
        </w:tc>
        <w:tc>
          <w:tcPr>
            <w:tcW w:w="8504" w:type="dxa"/>
            <w:noWrap w:val="0"/>
            <w:vAlign w:val="center"/>
          </w:tcPr>
          <w:p>
            <w:pPr>
              <w:pStyle w:val="5"/>
              <w:pageBreakBefore w:val="0"/>
              <w:numPr>
                <w:ilvl w:val="0"/>
                <w:numId w:val="0"/>
              </w:numPr>
              <w:kinsoku/>
              <w:wordWrap/>
              <w:overflowPunct/>
              <w:topLinePunct w:val="0"/>
              <w:autoSpaceDE/>
              <w:autoSpaceDN/>
              <w:bidi w:val="0"/>
              <w:adjustRightInd/>
              <w:snapToGrid/>
              <w:spacing w:before="0" w:after="0" w:line="240" w:lineRule="auto"/>
              <w:ind w:firstLine="480" w:firstLineChars="200"/>
              <w:jc w:val="left"/>
              <w:rPr>
                <w:rFonts w:hint="default"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color w:val="auto"/>
                <w:sz w:val="24"/>
                <w:szCs w:val="24"/>
                <w:lang w:val="en-US" w:eastAsia="zh-CN"/>
              </w:rPr>
              <w:t>快速响应客户需求, 7×24小时技术支持服务。遇到紧急事件半小时到场处理问题。</w:t>
            </w:r>
          </w:p>
        </w:tc>
      </w:tr>
    </w:tbl>
    <w:p>
      <w:pPr>
        <w:pStyle w:val="5"/>
        <w:numPr>
          <w:ilvl w:val="0"/>
          <w:numId w:val="0"/>
        </w:numPr>
        <w:snapToGrid w:val="0"/>
        <w:spacing w:before="0" w:after="0" w:line="576" w:lineRule="exact"/>
        <w:ind w:firstLine="480" w:firstLineChars="200"/>
        <w:jc w:val="left"/>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t>（三）服务方式：</w:t>
      </w:r>
    </w:p>
    <w:p>
      <w:pPr>
        <w:pStyle w:val="5"/>
        <w:numPr>
          <w:ilvl w:val="0"/>
          <w:numId w:val="0"/>
        </w:numPr>
        <w:snapToGrid w:val="0"/>
        <w:spacing w:before="0" w:after="0" w:line="576" w:lineRule="exact"/>
        <w:ind w:firstLine="480" w:firstLineChars="200"/>
        <w:jc w:val="left"/>
        <w:rPr>
          <w:rFonts w:hint="eastAsia" w:ascii="仿宋" w:hAnsi="仿宋" w:eastAsia="仿宋" w:cs="仿宋"/>
          <w:b w:val="0"/>
          <w:bCs/>
          <w:color w:val="auto"/>
          <w:sz w:val="24"/>
          <w:szCs w:val="24"/>
          <w:lang w:val="en-US" w:eastAsia="zh-Hans"/>
        </w:rPr>
      </w:pPr>
      <w:r>
        <w:rPr>
          <w:rFonts w:hint="eastAsia" w:ascii="仿宋" w:hAnsi="仿宋" w:eastAsia="仿宋" w:cs="仿宋"/>
          <w:b w:val="0"/>
          <w:bCs/>
          <w:color w:val="auto"/>
          <w:sz w:val="24"/>
          <w:szCs w:val="24"/>
          <w:lang w:val="en-US" w:eastAsia="zh-CN"/>
        </w:rPr>
        <w:t>1.</w:t>
      </w:r>
      <w:r>
        <w:rPr>
          <w:rFonts w:hint="eastAsia" w:ascii="仿宋" w:hAnsi="仿宋" w:eastAsia="仿宋" w:cs="仿宋"/>
          <w:b w:val="0"/>
          <w:bCs/>
          <w:color w:val="auto"/>
          <w:sz w:val="24"/>
          <w:szCs w:val="24"/>
          <w:lang w:val="en-US" w:eastAsia="zh-Hans"/>
        </w:rPr>
        <w:t>维保、服务期限：</w:t>
      </w:r>
      <w:r>
        <w:rPr>
          <w:rFonts w:hint="eastAsia" w:ascii="仿宋" w:hAnsi="仿宋" w:eastAsia="仿宋" w:cs="仿宋"/>
          <w:b w:val="0"/>
          <w:bCs/>
          <w:color w:val="auto"/>
          <w:sz w:val="24"/>
          <w:szCs w:val="24"/>
          <w:lang w:val="en-US" w:eastAsia="zh-CN"/>
        </w:rPr>
        <w:t>1</w:t>
      </w:r>
      <w:r>
        <w:rPr>
          <w:rFonts w:hint="eastAsia" w:ascii="仿宋" w:hAnsi="仿宋" w:eastAsia="仿宋" w:cs="仿宋"/>
          <w:b w:val="0"/>
          <w:bCs/>
          <w:color w:val="auto"/>
          <w:sz w:val="24"/>
          <w:szCs w:val="24"/>
          <w:lang w:val="en-US" w:eastAsia="zh-Hans"/>
        </w:rPr>
        <w:t>年。</w:t>
      </w:r>
    </w:p>
    <w:p>
      <w:pPr>
        <w:pStyle w:val="5"/>
        <w:numPr>
          <w:ilvl w:val="0"/>
          <w:numId w:val="0"/>
        </w:numPr>
        <w:snapToGrid w:val="0"/>
        <w:spacing w:before="0" w:after="0" w:line="576" w:lineRule="exact"/>
        <w:ind w:firstLine="480" w:firstLineChars="200"/>
        <w:jc w:val="left"/>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t>2.维保、服务地址：武汉市武昌医院及其分支机构。</w:t>
      </w:r>
    </w:p>
    <w:p>
      <w:pPr>
        <w:tabs>
          <w:tab w:val="left" w:pos="1260"/>
        </w:tabs>
        <w:snapToGrid w:val="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三、供应商重点推介内容</w:t>
      </w:r>
    </w:p>
    <w:p>
      <w:pPr>
        <w:tabs>
          <w:tab w:val="left" w:pos="1260"/>
        </w:tabs>
        <w:snapToGrid w:val="0"/>
        <w:spacing w:line="400" w:lineRule="exact"/>
        <w:ind w:firstLine="480" w:firstLineChars="2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（一）</w:t>
      </w:r>
      <w:r>
        <w:rPr>
          <w:rFonts w:hint="eastAsia" w:ascii="仿宋" w:hAnsi="仿宋" w:eastAsia="仿宋" w:cs="仿宋"/>
          <w:color w:val="auto"/>
          <w:sz w:val="24"/>
          <w:szCs w:val="24"/>
          <w:highlight w:val="none"/>
          <w:lang w:val="zh-CN"/>
        </w:rPr>
        <w:t>技术响应偏离表（</w:t>
      </w:r>
      <w:r>
        <w:rPr>
          <w:rFonts w:hint="eastAsia" w:ascii="仿宋" w:hAnsi="仿宋" w:eastAsia="仿宋" w:cs="仿宋"/>
          <w:color w:val="auto"/>
          <w:sz w:val="24"/>
          <w:szCs w:val="24"/>
          <w:highlight w:val="none"/>
          <w:lang w:val="en-US" w:eastAsia="zh-CN"/>
        </w:rPr>
        <w:t>全部技术</w:t>
      </w:r>
      <w:r>
        <w:rPr>
          <w:rFonts w:hint="eastAsia" w:ascii="仿宋" w:hAnsi="仿宋" w:eastAsia="仿宋" w:cs="仿宋"/>
          <w:color w:val="auto"/>
          <w:sz w:val="24"/>
          <w:szCs w:val="24"/>
          <w:highlight w:val="none"/>
          <w:lang w:val="zh-CN"/>
        </w:rPr>
        <w:t>）</w:t>
      </w:r>
    </w:p>
    <w:tbl>
      <w:tblPr>
        <w:tblStyle w:val="19"/>
        <w:tblW w:w="103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2"/>
        <w:gridCol w:w="846"/>
        <w:gridCol w:w="5102"/>
        <w:gridCol w:w="1247"/>
        <w:gridCol w:w="1683"/>
        <w:gridCol w:w="8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序号</w:t>
            </w:r>
          </w:p>
        </w:tc>
        <w:tc>
          <w:tcPr>
            <w:tcW w:w="84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功能项</w:t>
            </w:r>
          </w:p>
        </w:tc>
        <w:tc>
          <w:tcPr>
            <w:tcW w:w="510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参数要求</w:t>
            </w:r>
          </w:p>
        </w:tc>
        <w:tc>
          <w:tcPr>
            <w:tcW w:w="1247" w:type="dxa"/>
            <w:shd w:val="clear" w:color="auto" w:fill="auto"/>
            <w:noWrap w:val="0"/>
            <w:vAlign w:val="center"/>
          </w:tcPr>
          <w:p>
            <w:pPr>
              <w:pStyle w:val="37"/>
              <w:pageBreakBefore w:val="0"/>
              <w:kinsoku/>
              <w:wordWrap/>
              <w:overflowPunct/>
              <w:topLinePunct w:val="0"/>
              <w:autoSpaceDE/>
              <w:autoSpaceDN/>
              <w:bidi w:val="0"/>
              <w:adjustRightInd/>
              <w:snapToGrid/>
              <w:spacing w:line="240" w:lineRule="auto"/>
              <w:jc w:val="center"/>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b w:val="0"/>
                <w:bCs w:val="0"/>
                <w:color w:val="auto"/>
                <w:sz w:val="24"/>
                <w:szCs w:val="24"/>
              </w:rPr>
              <w:t>技术要求条款投标文件内容对应简述</w:t>
            </w:r>
          </w:p>
        </w:tc>
        <w:tc>
          <w:tcPr>
            <w:tcW w:w="1683" w:type="dxa"/>
            <w:shd w:val="clear" w:color="auto" w:fill="auto"/>
            <w:noWrap w:val="0"/>
            <w:vAlign w:val="center"/>
          </w:tcPr>
          <w:p>
            <w:pPr>
              <w:pStyle w:val="37"/>
              <w:pageBreakBefore w:val="0"/>
              <w:kinsoku/>
              <w:wordWrap/>
              <w:overflowPunct/>
              <w:topLinePunct w:val="0"/>
              <w:autoSpaceDE/>
              <w:autoSpaceDN/>
              <w:bidi w:val="0"/>
              <w:adjustRightInd/>
              <w:snapToGrid/>
              <w:spacing w:line="240" w:lineRule="auto"/>
              <w:jc w:val="center"/>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b w:val="0"/>
                <w:bCs w:val="0"/>
                <w:color w:val="auto"/>
                <w:sz w:val="24"/>
                <w:szCs w:val="24"/>
              </w:rPr>
              <w:t>响应情况</w:t>
            </w:r>
          </w:p>
        </w:tc>
        <w:tc>
          <w:tcPr>
            <w:tcW w:w="844" w:type="dxa"/>
            <w:shd w:val="clear" w:color="auto" w:fill="auto"/>
            <w:noWrap w:val="0"/>
            <w:vAlign w:val="center"/>
          </w:tcPr>
          <w:p>
            <w:pPr>
              <w:pStyle w:val="37"/>
              <w:pageBreakBefore w:val="0"/>
              <w:kinsoku/>
              <w:wordWrap/>
              <w:overflowPunct/>
              <w:topLinePunct w:val="0"/>
              <w:autoSpaceDE/>
              <w:autoSpaceDN/>
              <w:bidi w:val="0"/>
              <w:adjustRightInd/>
              <w:snapToGrid/>
              <w:spacing w:line="240" w:lineRule="auto"/>
              <w:jc w:val="center"/>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b w:val="0"/>
                <w:bCs w:val="0"/>
                <w:color w:val="auto"/>
                <w:sz w:val="24"/>
                <w:szCs w:val="24"/>
              </w:rPr>
              <w:t>说明及索引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2" w:type="dxa"/>
            <w:noWrap w:val="0"/>
            <w:vAlign w:val="center"/>
          </w:tcPr>
          <w:p>
            <w:pPr>
              <w:keepNext w:val="0"/>
              <w:keepLines w:val="0"/>
              <w:pageBreakBefore w:val="0"/>
              <w:widowControl w:val="0"/>
              <w:numPr>
                <w:ilvl w:val="0"/>
                <w:numId w:val="2"/>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84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color w:val="auto"/>
                <w:sz w:val="24"/>
                <w:szCs w:val="24"/>
                <w:lang w:val="en-US" w:eastAsia="zh-CN"/>
              </w:rPr>
              <w:t>健康检查</w:t>
            </w:r>
          </w:p>
        </w:tc>
        <w:tc>
          <w:tcPr>
            <w:tcW w:w="5102" w:type="dxa"/>
            <w:noWrap w:val="0"/>
            <w:vAlign w:val="center"/>
          </w:tcPr>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ORACLE工程师每月一次到用户现场，对数据库系统进行例行健康检查，并提交报告。检查的内容应包括但不限于以下内容：</w:t>
            </w:r>
          </w:p>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a)</w:t>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lang w:val="en-US" w:eastAsia="zh-CN"/>
              </w:rPr>
              <w:t>容错检查，检查并分析系统日志及跟踪文件，发现并排除数据库及应用系统的错误隐患；</w:t>
            </w:r>
          </w:p>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b)</w:t>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lang w:val="en-US" w:eastAsia="zh-CN"/>
              </w:rPr>
              <w:t>检查数据库的配置健康情况；</w:t>
            </w:r>
          </w:p>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c)</w:t>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lang w:val="en-US" w:eastAsia="zh-CN"/>
              </w:rPr>
              <w:t>发现并排除数据库系统错误隐患；</w:t>
            </w:r>
          </w:p>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d)</w:t>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lang w:val="en-US" w:eastAsia="zh-CN"/>
              </w:rPr>
              <w:t>检查数据库系统是否需要应用最新的补丁集；</w:t>
            </w:r>
          </w:p>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e)</w:t>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lang w:val="en-US" w:eastAsia="zh-CN"/>
              </w:rPr>
              <w:t>检查数据库空间的使用情况，协助进行数据库空间的规划管理；</w:t>
            </w:r>
          </w:p>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f)</w:t>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lang w:val="en-US" w:eastAsia="zh-CN"/>
              </w:rPr>
              <w:t>检查数据库备份的完整性；</w:t>
            </w:r>
          </w:p>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g)</w:t>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lang w:val="en-US" w:eastAsia="zh-CN"/>
              </w:rPr>
              <w:t>监控数据库性能、数据库运行状态、运行效率、是否存在安全隐患；</w:t>
            </w:r>
          </w:p>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h)</w:t>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lang w:val="en-US" w:eastAsia="zh-CN"/>
              </w:rPr>
              <w:t>备份方式是否合理、备份数据是否可恢复；</w:t>
            </w:r>
          </w:p>
          <w:p>
            <w:pPr>
              <w:pageBreakBefore w:val="0"/>
              <w:kinsoku/>
              <w:wordWrap/>
              <w:overflowPunct/>
              <w:topLinePunct w:val="0"/>
              <w:autoSpaceDE/>
              <w:autoSpaceDN/>
              <w:bidi w:val="0"/>
              <w:adjustRightInd/>
              <w:snapToGrid/>
              <w:spacing w:line="240" w:lineRule="auto"/>
              <w:ind w:firstLine="480" w:firstLineChars="200"/>
              <w:rPr>
                <w:rFonts w:hint="default" w:ascii="仿宋" w:hAnsi="仿宋" w:eastAsia="仿宋" w:cs="仿宋"/>
                <w:b w:val="0"/>
                <w:bCs w:val="0"/>
                <w:color w:val="auto"/>
                <w:sz w:val="24"/>
                <w:szCs w:val="24"/>
                <w:highlight w:val="none"/>
                <w:vertAlign w:val="baseline"/>
                <w:lang w:val="en-US" w:eastAsia="zh-CN"/>
              </w:rPr>
            </w:pPr>
            <w:r>
              <w:rPr>
                <w:rFonts w:hint="eastAsia" w:ascii="仿宋" w:hAnsi="仿宋" w:eastAsia="仿宋" w:cs="仿宋"/>
                <w:color w:val="auto"/>
                <w:sz w:val="24"/>
                <w:szCs w:val="24"/>
                <w:lang w:val="en-US" w:eastAsia="zh-CN"/>
              </w:rPr>
              <w:t>i)</w:t>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lang w:val="en-US" w:eastAsia="zh-CN"/>
              </w:rPr>
              <w:t>提供系统健康检查报告；</w:t>
            </w:r>
          </w:p>
        </w:tc>
        <w:tc>
          <w:tcPr>
            <w:tcW w:w="1247" w:type="dxa"/>
            <w:shd w:val="clear" w:color="auto" w:fill="auto"/>
            <w:noWrap w:val="0"/>
            <w:vAlign w:val="center"/>
          </w:tcPr>
          <w:p>
            <w:pPr>
              <w:pStyle w:val="37"/>
              <w:pageBreakBefore w:val="0"/>
              <w:kinsoku/>
              <w:wordWrap/>
              <w:overflowPunct/>
              <w:topLinePunct w:val="0"/>
              <w:autoSpaceDE/>
              <w:autoSpaceDN/>
              <w:bidi w:val="0"/>
              <w:adjustRightInd/>
              <w:snapToGrid/>
              <w:spacing w:line="240" w:lineRule="auto"/>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响应/正偏离/负偏离</w:t>
            </w:r>
          </w:p>
        </w:tc>
        <w:tc>
          <w:tcPr>
            <w:tcW w:w="1683" w:type="dxa"/>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i w:val="0"/>
                <w:iCs w:val="0"/>
                <w:color w:val="auto"/>
                <w:kern w:val="0"/>
                <w:sz w:val="24"/>
                <w:szCs w:val="24"/>
                <w:u w:val="none"/>
                <w:lang w:val="en-US" w:eastAsia="zh-CN" w:bidi="ar"/>
              </w:rPr>
            </w:pPr>
          </w:p>
        </w:tc>
        <w:tc>
          <w:tcPr>
            <w:tcW w:w="84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val="0"/>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2" w:type="dxa"/>
            <w:noWrap w:val="0"/>
            <w:vAlign w:val="center"/>
          </w:tcPr>
          <w:p>
            <w:pPr>
              <w:keepNext w:val="0"/>
              <w:keepLines w:val="0"/>
              <w:pageBreakBefore w:val="0"/>
              <w:widowControl w:val="0"/>
              <w:numPr>
                <w:ilvl w:val="0"/>
                <w:numId w:val="2"/>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84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系统监控</w:t>
            </w:r>
          </w:p>
        </w:tc>
        <w:tc>
          <w:tcPr>
            <w:tcW w:w="5102" w:type="dxa"/>
            <w:noWrap w:val="0"/>
            <w:vAlign w:val="center"/>
          </w:tcPr>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负责搭建ZABBIX运维监控系统，监控负责运维数据库运行状况，及时发现问题报警并处理解决。</w:t>
            </w:r>
          </w:p>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监控（但不限于）下列项目:</w:t>
            </w:r>
          </w:p>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-实例运行状态</w:t>
            </w:r>
          </w:p>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-空间使用率</w:t>
            </w:r>
          </w:p>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-系统资源使用率（CPU/IO/MEMORY）</w:t>
            </w:r>
          </w:p>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-会话及锁</w:t>
            </w:r>
          </w:p>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-Session/Processes</w:t>
            </w:r>
          </w:p>
          <w:p>
            <w:pPr>
              <w:pageBreakBefore w:val="0"/>
              <w:kinsoku/>
              <w:wordWrap/>
              <w:overflowPunct/>
              <w:topLinePunct w:val="0"/>
              <w:autoSpaceDE/>
              <w:autoSpaceDN/>
              <w:bidi w:val="0"/>
              <w:adjustRightInd/>
              <w:snapToGrid/>
              <w:spacing w:line="240" w:lineRule="auto"/>
              <w:ind w:firstLine="480" w:firstLineChars="200"/>
              <w:rPr>
                <w:rFonts w:hint="default" w:ascii="仿宋" w:hAnsi="仿宋" w:eastAsia="仿宋" w:cs="仿宋"/>
                <w:b w:val="0"/>
                <w:bCs w:val="0"/>
                <w:color w:val="auto"/>
                <w:sz w:val="24"/>
                <w:szCs w:val="24"/>
                <w:highlight w:val="none"/>
                <w:vertAlign w:val="baseline"/>
                <w:lang w:val="en-US" w:eastAsia="zh-CN"/>
              </w:rPr>
            </w:pPr>
            <w:r>
              <w:rPr>
                <w:rFonts w:hint="eastAsia" w:ascii="仿宋" w:hAnsi="仿宋" w:eastAsia="仿宋" w:cs="仿宋"/>
                <w:color w:val="auto"/>
                <w:sz w:val="24"/>
                <w:szCs w:val="24"/>
                <w:lang w:val="en-US" w:eastAsia="zh-CN"/>
              </w:rPr>
              <w:t>-DATAGUARD同步状态</w:t>
            </w:r>
          </w:p>
        </w:tc>
        <w:tc>
          <w:tcPr>
            <w:tcW w:w="1247" w:type="dxa"/>
            <w:shd w:val="clear" w:color="auto" w:fill="auto"/>
            <w:noWrap w:val="0"/>
            <w:vAlign w:val="center"/>
          </w:tcPr>
          <w:p>
            <w:pPr>
              <w:pStyle w:val="37"/>
              <w:pageBreakBefore w:val="0"/>
              <w:kinsoku/>
              <w:wordWrap/>
              <w:overflowPunct/>
              <w:topLinePunct w:val="0"/>
              <w:autoSpaceDE/>
              <w:autoSpaceDN/>
              <w:bidi w:val="0"/>
              <w:adjustRightInd/>
              <w:snapToGrid/>
              <w:spacing w:line="240" w:lineRule="auto"/>
              <w:jc w:val="center"/>
              <w:rPr>
                <w:rFonts w:hint="eastAsia" w:ascii="仿宋" w:hAnsi="仿宋" w:eastAsia="仿宋" w:cs="仿宋"/>
                <w:color w:val="auto"/>
                <w:sz w:val="24"/>
                <w:szCs w:val="24"/>
              </w:rPr>
            </w:pPr>
          </w:p>
        </w:tc>
        <w:tc>
          <w:tcPr>
            <w:tcW w:w="1683" w:type="dxa"/>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i w:val="0"/>
                <w:iCs w:val="0"/>
                <w:color w:val="auto"/>
                <w:kern w:val="0"/>
                <w:sz w:val="24"/>
                <w:szCs w:val="24"/>
                <w:u w:val="none"/>
                <w:lang w:val="en-US" w:eastAsia="zh-CN" w:bidi="ar"/>
              </w:rPr>
            </w:pPr>
          </w:p>
        </w:tc>
        <w:tc>
          <w:tcPr>
            <w:tcW w:w="84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val="0"/>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2" w:type="dxa"/>
            <w:noWrap w:val="0"/>
            <w:vAlign w:val="center"/>
          </w:tcPr>
          <w:p>
            <w:pPr>
              <w:keepNext w:val="0"/>
              <w:keepLines w:val="0"/>
              <w:pageBreakBefore w:val="0"/>
              <w:widowControl w:val="0"/>
              <w:numPr>
                <w:ilvl w:val="0"/>
                <w:numId w:val="2"/>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846" w:type="dxa"/>
            <w:noWrap w:val="0"/>
            <w:vAlign w:val="center"/>
          </w:tcPr>
          <w:p>
            <w:pPr>
              <w:pageBreakBefore w:val="0"/>
              <w:kinsoku/>
              <w:wordWrap/>
              <w:overflowPunct/>
              <w:topLinePunct w:val="0"/>
              <w:autoSpaceDE/>
              <w:autoSpaceDN/>
              <w:bidi w:val="0"/>
              <w:adjustRightInd/>
              <w:snapToGrid/>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RAC/DATAGUARD数据库容灾服务</w:t>
            </w:r>
          </w:p>
        </w:tc>
        <w:tc>
          <w:tcPr>
            <w:tcW w:w="5102" w:type="dxa"/>
            <w:noWrap w:val="0"/>
            <w:vAlign w:val="center"/>
          </w:tcPr>
          <w:p>
            <w:pPr>
              <w:pageBreakBefore w:val="0"/>
              <w:kinsoku/>
              <w:wordWrap/>
              <w:overflowPunct/>
              <w:topLinePunct w:val="0"/>
              <w:autoSpaceDE/>
              <w:autoSpaceDN/>
              <w:bidi w:val="0"/>
              <w:adjustRightInd/>
              <w:snapToGrid/>
              <w:spacing w:line="240" w:lineRule="auto"/>
              <w:ind w:firstLine="480" w:firstLineChars="200"/>
              <w:rPr>
                <w:rFonts w:hint="default" w:ascii="仿宋" w:hAnsi="仿宋" w:eastAsia="仿宋" w:cs="仿宋"/>
                <w:b w:val="0"/>
                <w:bCs w:val="0"/>
                <w:color w:val="auto"/>
                <w:sz w:val="24"/>
                <w:szCs w:val="24"/>
                <w:highlight w:val="none"/>
                <w:vertAlign w:val="baseline"/>
                <w:lang w:val="en-US" w:eastAsia="zh-CN"/>
              </w:rPr>
            </w:pPr>
            <w:r>
              <w:rPr>
                <w:rFonts w:hint="eastAsia" w:ascii="仿宋" w:hAnsi="仿宋" w:eastAsia="仿宋" w:cs="仿宋"/>
                <w:color w:val="auto"/>
                <w:sz w:val="24"/>
                <w:szCs w:val="24"/>
                <w:lang w:val="en-US" w:eastAsia="zh-CN"/>
              </w:rPr>
              <w:t>乙方协助甲方完善数据库备份恢复策略，提供完整的备份恢复策略方案，在甲乙双方协商确定并进行实施，确保数据安全，防止出现数据的灾难。定期对RAC/DATAGUARD环境进行维护、监控，确保RAC/DATAGUARD系统正常运行，当RAC/DATAGUARD中出现预警信号时，及时查明告警原因，及时消除事故隐患；定期为用户做数据备份及验证工作，保证用户的数据安全；当RAC/DATAGUARD系统出现突发事故时，第一时间到达现场，排除故障，减少意外宕机时间。</w:t>
            </w:r>
          </w:p>
        </w:tc>
        <w:tc>
          <w:tcPr>
            <w:tcW w:w="1247" w:type="dxa"/>
            <w:shd w:val="clear" w:color="auto" w:fill="auto"/>
            <w:noWrap w:val="0"/>
            <w:vAlign w:val="center"/>
          </w:tcPr>
          <w:p>
            <w:pPr>
              <w:pStyle w:val="37"/>
              <w:pageBreakBefore w:val="0"/>
              <w:kinsoku/>
              <w:wordWrap/>
              <w:overflowPunct/>
              <w:topLinePunct w:val="0"/>
              <w:autoSpaceDE/>
              <w:autoSpaceDN/>
              <w:bidi w:val="0"/>
              <w:adjustRightInd/>
              <w:snapToGrid/>
              <w:spacing w:line="240" w:lineRule="auto"/>
              <w:jc w:val="center"/>
              <w:rPr>
                <w:rFonts w:hint="eastAsia" w:ascii="仿宋" w:hAnsi="仿宋" w:eastAsia="仿宋" w:cs="仿宋"/>
                <w:color w:val="auto"/>
                <w:sz w:val="24"/>
                <w:szCs w:val="24"/>
              </w:rPr>
            </w:pPr>
          </w:p>
        </w:tc>
        <w:tc>
          <w:tcPr>
            <w:tcW w:w="1683" w:type="dxa"/>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i w:val="0"/>
                <w:iCs w:val="0"/>
                <w:color w:val="auto"/>
                <w:kern w:val="0"/>
                <w:sz w:val="24"/>
                <w:szCs w:val="24"/>
                <w:u w:val="none"/>
                <w:lang w:val="en-US" w:eastAsia="zh-CN" w:bidi="ar"/>
              </w:rPr>
            </w:pPr>
          </w:p>
        </w:tc>
        <w:tc>
          <w:tcPr>
            <w:tcW w:w="84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val="0"/>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2" w:type="dxa"/>
            <w:noWrap w:val="0"/>
            <w:vAlign w:val="center"/>
          </w:tcPr>
          <w:p>
            <w:pPr>
              <w:keepNext w:val="0"/>
              <w:keepLines w:val="0"/>
              <w:pageBreakBefore w:val="0"/>
              <w:widowControl w:val="0"/>
              <w:numPr>
                <w:ilvl w:val="0"/>
                <w:numId w:val="2"/>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846" w:type="dxa"/>
            <w:noWrap w:val="0"/>
            <w:vAlign w:val="center"/>
          </w:tcPr>
          <w:p>
            <w:pPr>
              <w:pageBreakBefore w:val="0"/>
              <w:kinsoku/>
              <w:wordWrap/>
              <w:overflowPunct/>
              <w:topLinePunct w:val="0"/>
              <w:autoSpaceDE/>
              <w:autoSpaceDN/>
              <w:bidi w:val="0"/>
              <w:adjustRightInd/>
              <w:snapToGrid/>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配合甲方实施及保障工作</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lang w:val="en-US" w:eastAsia="zh-CN"/>
              </w:rPr>
            </w:pPr>
          </w:p>
        </w:tc>
        <w:tc>
          <w:tcPr>
            <w:tcW w:w="5102" w:type="dxa"/>
            <w:noWrap w:val="0"/>
            <w:vAlign w:val="center"/>
          </w:tcPr>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a)</w:t>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lang w:val="en-US" w:eastAsia="zh-CN"/>
              </w:rPr>
              <w:t>出现灾难性故障时现场协助系统和数据的恢复工作,保障数据库系统的正常运行。</w:t>
            </w:r>
          </w:p>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b)</w:t>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lang w:val="en-US" w:eastAsia="zh-CN"/>
              </w:rPr>
              <w:t>配合甲方实施数据迁移。</w:t>
            </w:r>
          </w:p>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c)</w:t>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lang w:val="en-US" w:eastAsia="zh-CN"/>
              </w:rPr>
              <w:t>配合甲方进行数据库整体规划。</w:t>
            </w:r>
          </w:p>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d)</w:t>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lang w:val="en-US" w:eastAsia="zh-CN"/>
              </w:rPr>
              <w:t>配合系统上线数据库影响评估。</w:t>
            </w:r>
          </w:p>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e)</w:t>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lang w:val="en-US" w:eastAsia="zh-CN"/>
              </w:rPr>
              <w:t>配合处理数据库方面相关问题。</w:t>
            </w:r>
          </w:p>
          <w:p>
            <w:pPr>
              <w:pageBreakBefore w:val="0"/>
              <w:kinsoku/>
              <w:wordWrap/>
              <w:overflowPunct/>
              <w:topLinePunct w:val="0"/>
              <w:autoSpaceDE/>
              <w:autoSpaceDN/>
              <w:bidi w:val="0"/>
              <w:adjustRightInd/>
              <w:snapToGrid/>
              <w:spacing w:line="240" w:lineRule="auto"/>
              <w:ind w:firstLine="480" w:firstLineChars="200"/>
              <w:rPr>
                <w:rFonts w:hint="default" w:ascii="仿宋" w:hAnsi="仿宋" w:eastAsia="仿宋" w:cs="仿宋"/>
                <w:b w:val="0"/>
                <w:bCs w:val="0"/>
                <w:color w:val="auto"/>
                <w:sz w:val="24"/>
                <w:szCs w:val="24"/>
                <w:highlight w:val="none"/>
                <w:vertAlign w:val="baseline"/>
                <w:lang w:val="en-US" w:eastAsia="zh-CN"/>
              </w:rPr>
            </w:pPr>
            <w:r>
              <w:rPr>
                <w:rFonts w:hint="eastAsia" w:ascii="仿宋" w:hAnsi="仿宋" w:eastAsia="仿宋" w:cs="仿宋"/>
                <w:color w:val="auto"/>
                <w:sz w:val="24"/>
                <w:szCs w:val="24"/>
                <w:lang w:val="en-US" w:eastAsia="zh-CN"/>
              </w:rPr>
              <w:t>f)</w:t>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lang w:val="en-US" w:eastAsia="zh-CN"/>
              </w:rPr>
              <w:t>配合甲方实施整体数据库安全方案。</w:t>
            </w:r>
          </w:p>
        </w:tc>
        <w:tc>
          <w:tcPr>
            <w:tcW w:w="1247" w:type="dxa"/>
            <w:shd w:val="clear" w:color="auto" w:fill="auto"/>
            <w:noWrap w:val="0"/>
            <w:vAlign w:val="center"/>
          </w:tcPr>
          <w:p>
            <w:pPr>
              <w:pStyle w:val="37"/>
              <w:pageBreakBefore w:val="0"/>
              <w:kinsoku/>
              <w:wordWrap/>
              <w:overflowPunct/>
              <w:topLinePunct w:val="0"/>
              <w:autoSpaceDE/>
              <w:autoSpaceDN/>
              <w:bidi w:val="0"/>
              <w:adjustRightInd/>
              <w:snapToGrid/>
              <w:spacing w:line="240" w:lineRule="auto"/>
              <w:jc w:val="center"/>
              <w:rPr>
                <w:rFonts w:hint="eastAsia" w:ascii="仿宋" w:hAnsi="仿宋" w:eastAsia="仿宋" w:cs="仿宋"/>
                <w:color w:val="auto"/>
                <w:sz w:val="24"/>
                <w:szCs w:val="24"/>
              </w:rPr>
            </w:pPr>
          </w:p>
        </w:tc>
        <w:tc>
          <w:tcPr>
            <w:tcW w:w="1683" w:type="dxa"/>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i w:val="0"/>
                <w:iCs w:val="0"/>
                <w:color w:val="auto"/>
                <w:kern w:val="0"/>
                <w:sz w:val="24"/>
                <w:szCs w:val="24"/>
                <w:u w:val="none"/>
                <w:lang w:val="en-US" w:eastAsia="zh-CN" w:bidi="ar"/>
              </w:rPr>
            </w:pPr>
          </w:p>
        </w:tc>
        <w:tc>
          <w:tcPr>
            <w:tcW w:w="84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val="0"/>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2" w:type="dxa"/>
            <w:noWrap w:val="0"/>
            <w:vAlign w:val="center"/>
          </w:tcPr>
          <w:p>
            <w:pPr>
              <w:keepNext w:val="0"/>
              <w:keepLines w:val="0"/>
              <w:pageBreakBefore w:val="0"/>
              <w:widowControl w:val="0"/>
              <w:numPr>
                <w:ilvl w:val="0"/>
                <w:numId w:val="2"/>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84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技术支持</w:t>
            </w:r>
          </w:p>
        </w:tc>
        <w:tc>
          <w:tcPr>
            <w:tcW w:w="5102" w:type="dxa"/>
            <w:noWrap w:val="0"/>
            <w:vAlign w:val="center"/>
          </w:tcPr>
          <w:p>
            <w:pPr>
              <w:pageBreakBefore w:val="0"/>
              <w:kinsoku/>
              <w:wordWrap/>
              <w:overflowPunct/>
              <w:topLinePunct w:val="0"/>
              <w:autoSpaceDE/>
              <w:autoSpaceDN/>
              <w:bidi w:val="0"/>
              <w:adjustRightInd/>
              <w:snapToGrid/>
              <w:spacing w:line="240" w:lineRule="auto"/>
              <w:ind w:firstLine="480" w:firstLineChars="200"/>
              <w:rPr>
                <w:rFonts w:hint="default" w:ascii="仿宋" w:hAnsi="仿宋" w:eastAsia="仿宋" w:cs="仿宋"/>
                <w:b w:val="0"/>
                <w:bCs w:val="0"/>
                <w:color w:val="auto"/>
                <w:sz w:val="24"/>
                <w:szCs w:val="24"/>
                <w:highlight w:val="none"/>
                <w:vertAlign w:val="baseline"/>
                <w:lang w:val="en-US" w:eastAsia="zh-CN"/>
              </w:rPr>
            </w:pPr>
            <w:r>
              <w:rPr>
                <w:rFonts w:hint="eastAsia" w:ascii="仿宋" w:hAnsi="仿宋" w:eastAsia="仿宋" w:cs="仿宋"/>
                <w:color w:val="auto"/>
                <w:sz w:val="24"/>
                <w:szCs w:val="24"/>
                <w:lang w:val="en-US" w:eastAsia="zh-CN"/>
              </w:rPr>
              <w:t>负责解答甲方提出的问题，提供维护技术人员联系方式，无限次电话及邮件支持，必要时现场响应并及时解决。</w:t>
            </w:r>
          </w:p>
        </w:tc>
        <w:tc>
          <w:tcPr>
            <w:tcW w:w="1247" w:type="dxa"/>
            <w:shd w:val="clear" w:color="auto" w:fill="auto"/>
            <w:noWrap w:val="0"/>
            <w:vAlign w:val="center"/>
          </w:tcPr>
          <w:p>
            <w:pPr>
              <w:pStyle w:val="37"/>
              <w:pageBreakBefore w:val="0"/>
              <w:kinsoku/>
              <w:wordWrap/>
              <w:overflowPunct/>
              <w:topLinePunct w:val="0"/>
              <w:autoSpaceDE/>
              <w:autoSpaceDN/>
              <w:bidi w:val="0"/>
              <w:adjustRightInd/>
              <w:snapToGrid/>
              <w:spacing w:line="240" w:lineRule="auto"/>
              <w:jc w:val="center"/>
              <w:rPr>
                <w:rFonts w:hint="eastAsia" w:ascii="仿宋" w:hAnsi="仿宋" w:eastAsia="仿宋" w:cs="仿宋"/>
                <w:color w:val="auto"/>
                <w:sz w:val="24"/>
                <w:szCs w:val="24"/>
              </w:rPr>
            </w:pPr>
          </w:p>
        </w:tc>
        <w:tc>
          <w:tcPr>
            <w:tcW w:w="1683" w:type="dxa"/>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i w:val="0"/>
                <w:iCs w:val="0"/>
                <w:color w:val="auto"/>
                <w:kern w:val="0"/>
                <w:sz w:val="24"/>
                <w:szCs w:val="24"/>
                <w:u w:val="none"/>
                <w:lang w:val="en-US" w:eastAsia="zh-CN" w:bidi="ar"/>
              </w:rPr>
            </w:pPr>
          </w:p>
        </w:tc>
        <w:tc>
          <w:tcPr>
            <w:tcW w:w="84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val="0"/>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2" w:type="dxa"/>
            <w:noWrap w:val="0"/>
            <w:vAlign w:val="center"/>
          </w:tcPr>
          <w:p>
            <w:pPr>
              <w:keepNext w:val="0"/>
              <w:keepLines w:val="0"/>
              <w:pageBreakBefore w:val="0"/>
              <w:widowControl w:val="0"/>
              <w:numPr>
                <w:ilvl w:val="0"/>
                <w:numId w:val="2"/>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84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巡检与培训服务</w:t>
            </w:r>
          </w:p>
        </w:tc>
        <w:tc>
          <w:tcPr>
            <w:tcW w:w="5102" w:type="dxa"/>
            <w:noWrap w:val="0"/>
            <w:vAlign w:val="center"/>
          </w:tcPr>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t>a)</w:t>
            </w:r>
            <w:r>
              <w:rPr>
                <w:rFonts w:hint="eastAsia" w:ascii="仿宋" w:hAnsi="仿宋" w:eastAsia="仿宋" w:cs="仿宋"/>
                <w:b w:val="0"/>
                <w:bCs/>
                <w:color w:val="auto"/>
                <w:sz w:val="24"/>
                <w:szCs w:val="24"/>
                <w:lang w:val="en-US" w:eastAsia="zh-CN"/>
              </w:rPr>
              <w:tab/>
            </w:r>
            <w:r>
              <w:rPr>
                <w:rFonts w:hint="eastAsia" w:ascii="仿宋" w:hAnsi="仿宋" w:eastAsia="仿宋" w:cs="仿宋"/>
                <w:b w:val="0"/>
                <w:bCs/>
                <w:color w:val="auto"/>
                <w:sz w:val="24"/>
                <w:szCs w:val="24"/>
                <w:lang w:val="en-US" w:eastAsia="zh-CN"/>
              </w:rPr>
              <w:t>提供特殊时段（如：结账日、春节、劳动节、国庆节、年终、系统停机维护、数据集中及用户认为必须的重要时段）的服务，以及产品安装、系统变更和迁移等的现场支持服务。</w:t>
            </w:r>
          </w:p>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t>b)</w:t>
            </w:r>
            <w:r>
              <w:rPr>
                <w:rFonts w:hint="eastAsia" w:ascii="仿宋" w:hAnsi="仿宋" w:eastAsia="仿宋" w:cs="仿宋"/>
                <w:b w:val="0"/>
                <w:bCs/>
                <w:color w:val="auto"/>
                <w:sz w:val="24"/>
                <w:szCs w:val="24"/>
                <w:lang w:val="en-US" w:eastAsia="zh-CN"/>
              </w:rPr>
              <w:tab/>
            </w:r>
            <w:r>
              <w:rPr>
                <w:rFonts w:hint="eastAsia" w:ascii="仿宋" w:hAnsi="仿宋" w:eastAsia="仿宋" w:cs="仿宋"/>
                <w:b w:val="0"/>
                <w:bCs/>
                <w:color w:val="auto"/>
                <w:sz w:val="24"/>
                <w:szCs w:val="24"/>
                <w:lang w:val="en-US" w:eastAsia="zh-CN"/>
              </w:rPr>
              <w:t>每月一次例行巡检即预防性维护并提供例行巡检报告。</w:t>
            </w:r>
          </w:p>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t>c)</w:t>
            </w:r>
            <w:r>
              <w:rPr>
                <w:rFonts w:hint="eastAsia" w:ascii="仿宋" w:hAnsi="仿宋" w:eastAsia="仿宋" w:cs="仿宋"/>
                <w:b w:val="0"/>
                <w:bCs/>
                <w:color w:val="auto"/>
                <w:sz w:val="24"/>
                <w:szCs w:val="24"/>
                <w:lang w:val="en-US" w:eastAsia="zh-CN"/>
              </w:rPr>
              <w:tab/>
            </w:r>
            <w:r>
              <w:rPr>
                <w:rFonts w:hint="eastAsia" w:ascii="仿宋" w:hAnsi="仿宋" w:eastAsia="仿宋" w:cs="仿宋"/>
                <w:b w:val="0"/>
                <w:bCs/>
                <w:color w:val="auto"/>
                <w:sz w:val="24"/>
                <w:szCs w:val="24"/>
                <w:lang w:val="en-US" w:eastAsia="zh-CN"/>
              </w:rPr>
              <w:t>每次处理ORACLE数据库故障后提交报告。</w:t>
            </w:r>
          </w:p>
          <w:p>
            <w:pPr>
              <w:pageBreakBefore w:val="0"/>
              <w:kinsoku/>
              <w:wordWrap/>
              <w:overflowPunct/>
              <w:topLinePunct w:val="0"/>
              <w:autoSpaceDE/>
              <w:autoSpaceDN/>
              <w:bidi w:val="0"/>
              <w:adjustRightInd/>
              <w:snapToGrid/>
              <w:spacing w:line="240" w:lineRule="auto"/>
              <w:ind w:firstLine="480" w:firstLineChars="200"/>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t>d)</w:t>
            </w:r>
            <w:r>
              <w:rPr>
                <w:rFonts w:hint="eastAsia" w:ascii="仿宋" w:hAnsi="仿宋" w:eastAsia="仿宋" w:cs="仿宋"/>
                <w:b w:val="0"/>
                <w:bCs/>
                <w:color w:val="auto"/>
                <w:sz w:val="24"/>
                <w:szCs w:val="24"/>
                <w:lang w:val="en-US" w:eastAsia="zh-CN"/>
              </w:rPr>
              <w:tab/>
            </w:r>
            <w:r>
              <w:rPr>
                <w:rFonts w:hint="eastAsia" w:ascii="仿宋" w:hAnsi="仿宋" w:eastAsia="仿宋" w:cs="仿宋"/>
                <w:b w:val="0"/>
                <w:bCs/>
                <w:color w:val="auto"/>
                <w:sz w:val="24"/>
                <w:szCs w:val="24"/>
                <w:lang w:val="en-US" w:eastAsia="zh-CN"/>
              </w:rPr>
              <w:t>每季度一次健康性检查，全面进行容错检查，检查并分析系统日志及跟踪文件，发现并排除数据库及应用系统的错误隐患，并提供季度巡检报告，甲方签署后方可进行季度付款。在维保期内如遇到乙方不能解决的问题，甲方有权请其他公司进行解决，产生的费用全部由乙方负担。</w:t>
            </w:r>
          </w:p>
          <w:p>
            <w:pPr>
              <w:pStyle w:val="5"/>
              <w:pageBreakBefore w:val="0"/>
              <w:numPr>
                <w:ilvl w:val="0"/>
                <w:numId w:val="0"/>
              </w:numPr>
              <w:kinsoku/>
              <w:wordWrap/>
              <w:overflowPunct/>
              <w:topLinePunct w:val="0"/>
              <w:autoSpaceDE/>
              <w:autoSpaceDN/>
              <w:bidi w:val="0"/>
              <w:adjustRightInd/>
              <w:snapToGrid/>
              <w:spacing w:before="0" w:after="0" w:line="240" w:lineRule="auto"/>
              <w:ind w:firstLine="480" w:firstLineChars="200"/>
              <w:jc w:val="left"/>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t>e)</w:t>
            </w:r>
            <w:r>
              <w:rPr>
                <w:rFonts w:hint="eastAsia" w:ascii="仿宋" w:hAnsi="仿宋" w:eastAsia="仿宋" w:cs="仿宋"/>
                <w:b w:val="0"/>
                <w:bCs/>
                <w:color w:val="auto"/>
                <w:sz w:val="24"/>
                <w:szCs w:val="24"/>
                <w:lang w:val="en-US" w:eastAsia="zh-CN"/>
              </w:rPr>
              <w:tab/>
            </w:r>
            <w:r>
              <w:rPr>
                <w:rFonts w:hint="eastAsia" w:ascii="仿宋" w:hAnsi="仿宋" w:eastAsia="仿宋" w:cs="仿宋"/>
                <w:b w:val="0"/>
                <w:bCs/>
                <w:color w:val="auto"/>
                <w:sz w:val="24"/>
                <w:szCs w:val="24"/>
                <w:lang w:val="en-US" w:eastAsia="zh-CN"/>
              </w:rPr>
              <w:t>每半年并进行一次维护工作总结，并提交报告书；</w:t>
            </w:r>
          </w:p>
          <w:p>
            <w:pPr>
              <w:pStyle w:val="5"/>
              <w:pageBreakBefore w:val="0"/>
              <w:numPr>
                <w:ilvl w:val="0"/>
                <w:numId w:val="0"/>
              </w:numPr>
              <w:kinsoku/>
              <w:wordWrap/>
              <w:overflowPunct/>
              <w:topLinePunct w:val="0"/>
              <w:autoSpaceDE/>
              <w:autoSpaceDN/>
              <w:bidi w:val="0"/>
              <w:adjustRightInd/>
              <w:snapToGrid/>
              <w:spacing w:before="0" w:after="0" w:line="240" w:lineRule="auto"/>
              <w:ind w:firstLine="480" w:firstLineChars="200"/>
              <w:jc w:val="left"/>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t>f)</w:t>
            </w:r>
            <w:r>
              <w:rPr>
                <w:rFonts w:hint="eastAsia" w:ascii="仿宋" w:hAnsi="仿宋" w:eastAsia="仿宋" w:cs="仿宋"/>
                <w:b w:val="0"/>
                <w:bCs/>
                <w:color w:val="auto"/>
                <w:sz w:val="24"/>
                <w:szCs w:val="24"/>
                <w:lang w:val="en-US" w:eastAsia="zh-CN"/>
              </w:rPr>
              <w:tab/>
            </w:r>
            <w:r>
              <w:rPr>
                <w:rFonts w:hint="eastAsia" w:ascii="仿宋" w:hAnsi="仿宋" w:eastAsia="仿宋" w:cs="仿宋"/>
                <w:b w:val="0"/>
                <w:bCs/>
                <w:color w:val="auto"/>
                <w:sz w:val="24"/>
                <w:szCs w:val="24"/>
                <w:lang w:val="en-US" w:eastAsia="zh-CN"/>
              </w:rPr>
              <w:t>乙方在服务年度期满前十五天应通知甲方，并完成年度现场维护，提供年度服务总结报告。</w:t>
            </w:r>
          </w:p>
          <w:p>
            <w:pPr>
              <w:pStyle w:val="5"/>
              <w:pageBreakBefore w:val="0"/>
              <w:numPr>
                <w:ilvl w:val="0"/>
                <w:numId w:val="0"/>
              </w:numPr>
              <w:kinsoku/>
              <w:wordWrap/>
              <w:overflowPunct/>
              <w:topLinePunct w:val="0"/>
              <w:autoSpaceDE/>
              <w:autoSpaceDN/>
              <w:bidi w:val="0"/>
              <w:adjustRightInd/>
              <w:snapToGrid/>
              <w:spacing w:before="0" w:after="0" w:line="240" w:lineRule="auto"/>
              <w:ind w:firstLine="480" w:firstLineChars="200"/>
              <w:jc w:val="left"/>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t>g)</w:t>
            </w:r>
            <w:r>
              <w:rPr>
                <w:rFonts w:hint="eastAsia" w:ascii="仿宋" w:hAnsi="仿宋" w:eastAsia="仿宋" w:cs="仿宋"/>
                <w:b w:val="0"/>
                <w:bCs/>
                <w:color w:val="auto"/>
                <w:sz w:val="24"/>
                <w:szCs w:val="24"/>
                <w:lang w:val="en-US" w:eastAsia="zh-CN"/>
              </w:rPr>
              <w:tab/>
            </w:r>
            <w:r>
              <w:rPr>
                <w:rFonts w:hint="eastAsia" w:ascii="仿宋" w:hAnsi="仿宋" w:eastAsia="仿宋" w:cs="仿宋"/>
                <w:b w:val="0"/>
                <w:bCs/>
                <w:color w:val="auto"/>
                <w:sz w:val="24"/>
                <w:szCs w:val="24"/>
                <w:lang w:val="en-US" w:eastAsia="zh-CN"/>
              </w:rPr>
              <w:t>所有的检查报告乙方均按照甲方要求进行装订，并于当月末三日内交送甲方负责人员。</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仿宋" w:hAnsi="仿宋" w:eastAsia="仿宋" w:cs="仿宋"/>
                <w:b w:val="0"/>
                <w:bCs w:val="0"/>
                <w:color w:val="auto"/>
                <w:sz w:val="24"/>
                <w:szCs w:val="24"/>
                <w:highlight w:val="none"/>
                <w:vertAlign w:val="baseline"/>
                <w:lang w:val="en-US" w:eastAsia="zh-CN"/>
              </w:rPr>
            </w:pPr>
          </w:p>
        </w:tc>
        <w:tc>
          <w:tcPr>
            <w:tcW w:w="1247" w:type="dxa"/>
            <w:shd w:val="clear" w:color="auto" w:fill="auto"/>
            <w:noWrap w:val="0"/>
            <w:vAlign w:val="center"/>
          </w:tcPr>
          <w:p>
            <w:pPr>
              <w:pStyle w:val="37"/>
              <w:pageBreakBefore w:val="0"/>
              <w:kinsoku/>
              <w:wordWrap/>
              <w:overflowPunct/>
              <w:topLinePunct w:val="0"/>
              <w:autoSpaceDE/>
              <w:autoSpaceDN/>
              <w:bidi w:val="0"/>
              <w:adjustRightInd/>
              <w:snapToGrid/>
              <w:spacing w:line="240" w:lineRule="auto"/>
              <w:jc w:val="center"/>
              <w:rPr>
                <w:rFonts w:hint="eastAsia" w:ascii="仿宋" w:hAnsi="仿宋" w:eastAsia="仿宋" w:cs="仿宋"/>
                <w:color w:val="auto"/>
                <w:sz w:val="24"/>
                <w:szCs w:val="24"/>
              </w:rPr>
            </w:pPr>
          </w:p>
        </w:tc>
        <w:tc>
          <w:tcPr>
            <w:tcW w:w="1683" w:type="dxa"/>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i w:val="0"/>
                <w:iCs w:val="0"/>
                <w:color w:val="auto"/>
                <w:kern w:val="0"/>
                <w:sz w:val="24"/>
                <w:szCs w:val="24"/>
                <w:u w:val="none"/>
                <w:lang w:val="en-US" w:eastAsia="zh-CN" w:bidi="ar"/>
              </w:rPr>
            </w:pPr>
          </w:p>
        </w:tc>
        <w:tc>
          <w:tcPr>
            <w:tcW w:w="84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val="0"/>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2" w:type="dxa"/>
            <w:noWrap w:val="0"/>
            <w:vAlign w:val="center"/>
          </w:tcPr>
          <w:p>
            <w:pPr>
              <w:keepNext w:val="0"/>
              <w:keepLines w:val="0"/>
              <w:pageBreakBefore w:val="0"/>
              <w:widowControl w:val="0"/>
              <w:numPr>
                <w:ilvl w:val="0"/>
                <w:numId w:val="2"/>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84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b w:val="0"/>
                <w:bCs/>
                <w:color w:val="auto"/>
                <w:sz w:val="24"/>
                <w:szCs w:val="24"/>
                <w:lang w:val="en-US" w:eastAsia="zh-CN"/>
              </w:rPr>
              <w:t>技术监督</w:t>
            </w:r>
          </w:p>
        </w:tc>
        <w:tc>
          <w:tcPr>
            <w:tcW w:w="5102" w:type="dxa"/>
            <w:noWrap w:val="0"/>
            <w:vAlign w:val="center"/>
          </w:tcPr>
          <w:p>
            <w:pPr>
              <w:pStyle w:val="5"/>
              <w:pageBreakBefore w:val="0"/>
              <w:numPr>
                <w:ilvl w:val="0"/>
                <w:numId w:val="0"/>
              </w:numPr>
              <w:kinsoku/>
              <w:wordWrap/>
              <w:overflowPunct/>
              <w:topLinePunct w:val="0"/>
              <w:autoSpaceDE/>
              <w:autoSpaceDN/>
              <w:bidi w:val="0"/>
              <w:adjustRightInd/>
              <w:snapToGrid/>
              <w:spacing w:before="0" w:after="0" w:line="240" w:lineRule="auto"/>
              <w:ind w:firstLine="480" w:firstLineChars="200"/>
              <w:jc w:val="left"/>
              <w:rPr>
                <w:rFonts w:hint="default"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color w:val="auto"/>
                <w:sz w:val="24"/>
                <w:szCs w:val="24"/>
                <w:lang w:val="en-US" w:eastAsia="zh-CN"/>
              </w:rPr>
              <w:t>安装调试过程中接受用户技术人员的技术监督，听取合理意见。</w:t>
            </w:r>
          </w:p>
        </w:tc>
        <w:tc>
          <w:tcPr>
            <w:tcW w:w="1247" w:type="dxa"/>
            <w:shd w:val="clear" w:color="auto" w:fill="auto"/>
            <w:noWrap w:val="0"/>
            <w:vAlign w:val="center"/>
          </w:tcPr>
          <w:p>
            <w:pPr>
              <w:pStyle w:val="37"/>
              <w:pageBreakBefore w:val="0"/>
              <w:kinsoku/>
              <w:wordWrap/>
              <w:overflowPunct/>
              <w:topLinePunct w:val="0"/>
              <w:autoSpaceDE/>
              <w:autoSpaceDN/>
              <w:bidi w:val="0"/>
              <w:adjustRightInd/>
              <w:snapToGrid/>
              <w:spacing w:line="240" w:lineRule="auto"/>
              <w:jc w:val="center"/>
              <w:rPr>
                <w:rFonts w:hint="eastAsia" w:ascii="仿宋" w:hAnsi="仿宋" w:eastAsia="仿宋" w:cs="仿宋"/>
                <w:color w:val="auto"/>
                <w:sz w:val="24"/>
                <w:szCs w:val="24"/>
              </w:rPr>
            </w:pPr>
          </w:p>
        </w:tc>
        <w:tc>
          <w:tcPr>
            <w:tcW w:w="1683" w:type="dxa"/>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i w:val="0"/>
                <w:iCs w:val="0"/>
                <w:color w:val="auto"/>
                <w:kern w:val="0"/>
                <w:sz w:val="24"/>
                <w:szCs w:val="24"/>
                <w:u w:val="none"/>
                <w:lang w:val="en-US" w:eastAsia="zh-CN" w:bidi="ar"/>
              </w:rPr>
            </w:pPr>
          </w:p>
        </w:tc>
        <w:tc>
          <w:tcPr>
            <w:tcW w:w="84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val="0"/>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2" w:type="dxa"/>
            <w:noWrap w:val="0"/>
            <w:vAlign w:val="center"/>
          </w:tcPr>
          <w:p>
            <w:pPr>
              <w:keepNext w:val="0"/>
              <w:keepLines w:val="0"/>
              <w:pageBreakBefore w:val="0"/>
              <w:widowControl w:val="0"/>
              <w:numPr>
                <w:ilvl w:val="0"/>
                <w:numId w:val="2"/>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84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b w:val="0"/>
                <w:bCs/>
                <w:color w:val="auto"/>
                <w:sz w:val="24"/>
                <w:szCs w:val="24"/>
                <w:lang w:val="en-US" w:eastAsia="zh-CN"/>
              </w:rPr>
              <w:t>响应时效</w:t>
            </w:r>
          </w:p>
        </w:tc>
        <w:tc>
          <w:tcPr>
            <w:tcW w:w="5102" w:type="dxa"/>
            <w:noWrap w:val="0"/>
            <w:vAlign w:val="center"/>
          </w:tcPr>
          <w:p>
            <w:pPr>
              <w:pStyle w:val="5"/>
              <w:pageBreakBefore w:val="0"/>
              <w:numPr>
                <w:ilvl w:val="0"/>
                <w:numId w:val="0"/>
              </w:numPr>
              <w:kinsoku/>
              <w:wordWrap/>
              <w:overflowPunct/>
              <w:topLinePunct w:val="0"/>
              <w:autoSpaceDE/>
              <w:autoSpaceDN/>
              <w:bidi w:val="0"/>
              <w:adjustRightInd/>
              <w:snapToGrid/>
              <w:spacing w:before="0" w:after="0" w:line="240" w:lineRule="auto"/>
              <w:ind w:firstLine="480" w:firstLineChars="200"/>
              <w:jc w:val="left"/>
              <w:rPr>
                <w:rFonts w:hint="default"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color w:val="auto"/>
                <w:sz w:val="24"/>
                <w:szCs w:val="24"/>
                <w:lang w:val="en-US" w:eastAsia="zh-CN"/>
              </w:rPr>
              <w:t>快速响应客户需求, 7×24小时技术支持服务。遇到紧急事件半小时到场处理问题。</w:t>
            </w:r>
          </w:p>
        </w:tc>
        <w:tc>
          <w:tcPr>
            <w:tcW w:w="1247" w:type="dxa"/>
            <w:shd w:val="clear" w:color="auto" w:fill="auto"/>
            <w:noWrap w:val="0"/>
            <w:vAlign w:val="center"/>
          </w:tcPr>
          <w:p>
            <w:pPr>
              <w:pStyle w:val="37"/>
              <w:pageBreakBefore w:val="0"/>
              <w:kinsoku/>
              <w:wordWrap/>
              <w:overflowPunct/>
              <w:topLinePunct w:val="0"/>
              <w:autoSpaceDE/>
              <w:autoSpaceDN/>
              <w:bidi w:val="0"/>
              <w:adjustRightInd/>
              <w:snapToGrid/>
              <w:spacing w:line="240" w:lineRule="auto"/>
              <w:jc w:val="center"/>
              <w:rPr>
                <w:rFonts w:hint="eastAsia" w:ascii="仿宋" w:hAnsi="仿宋" w:eastAsia="仿宋" w:cs="仿宋"/>
                <w:color w:val="auto"/>
                <w:sz w:val="24"/>
                <w:szCs w:val="24"/>
              </w:rPr>
            </w:pPr>
          </w:p>
        </w:tc>
        <w:tc>
          <w:tcPr>
            <w:tcW w:w="1683" w:type="dxa"/>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i w:val="0"/>
                <w:iCs w:val="0"/>
                <w:color w:val="auto"/>
                <w:kern w:val="0"/>
                <w:sz w:val="24"/>
                <w:szCs w:val="24"/>
                <w:u w:val="none"/>
                <w:lang w:val="en-US" w:eastAsia="zh-CN" w:bidi="ar"/>
              </w:rPr>
            </w:pPr>
          </w:p>
        </w:tc>
        <w:tc>
          <w:tcPr>
            <w:tcW w:w="84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val="0"/>
                <w:color w:val="auto"/>
                <w:sz w:val="24"/>
                <w:szCs w:val="24"/>
                <w:highlight w:val="none"/>
              </w:rPr>
            </w:pPr>
          </w:p>
        </w:tc>
      </w:tr>
    </w:tbl>
    <w:p>
      <w:pPr>
        <w:tabs>
          <w:tab w:val="left" w:pos="1260"/>
        </w:tabs>
        <w:snapToGrid w:val="0"/>
        <w:spacing w:line="400" w:lineRule="exact"/>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（二）报价单及报价要求：</w:t>
      </w:r>
    </w:p>
    <w:p>
      <w:pPr>
        <w:tabs>
          <w:tab w:val="left" w:pos="1260"/>
        </w:tabs>
        <w:snapToGrid w:val="0"/>
        <w:spacing w:line="400" w:lineRule="exact"/>
        <w:ind w:firstLine="480" w:firstLineChars="20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1.报价单（供应商必须全部响应所有项目需求和技术参数的报价为有效报价，否则为无效报价。报价单合计金额超过预算金额为无效报价）</w:t>
      </w:r>
    </w:p>
    <w:tbl>
      <w:tblPr>
        <w:tblStyle w:val="18"/>
        <w:tblW w:w="816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109"/>
        <w:gridCol w:w="996"/>
        <w:gridCol w:w="1050"/>
        <w:gridCol w:w="20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0" w:hRule="atLeast"/>
          <w:jc w:val="center"/>
        </w:trPr>
        <w:tc>
          <w:tcPr>
            <w:tcW w:w="41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val="en-US" w:eastAsia="zh-CN"/>
              </w:rPr>
              <w:t>项目内容</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数量</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单位</w:t>
            </w: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小计（元）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0" w:hRule="atLeast"/>
          <w:jc w:val="center"/>
        </w:trPr>
        <w:tc>
          <w:tcPr>
            <w:tcW w:w="41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u w:val="none"/>
                <w:lang w:val="en-US" w:eastAsia="zh-CN"/>
              </w:rPr>
            </w:pPr>
            <w:r>
              <w:rPr>
                <w:rFonts w:hint="eastAsia" w:ascii="仿宋" w:hAnsi="仿宋" w:eastAsia="仿宋" w:cs="仿宋"/>
                <w:color w:val="auto"/>
                <w:sz w:val="24"/>
                <w:szCs w:val="24"/>
                <w:lang w:val="en-US" w:eastAsia="zh-CN"/>
              </w:rPr>
              <w:t>数据库运维服务</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项</w:t>
            </w: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0" w:hRule="atLeast"/>
          <w:jc w:val="center"/>
        </w:trPr>
        <w:tc>
          <w:tcPr>
            <w:tcW w:w="615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合计（元）：</w:t>
            </w: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u w:val="none"/>
                <w:lang w:val="en-US" w:eastAsia="zh-CN" w:bidi="ar"/>
              </w:rPr>
            </w:pPr>
          </w:p>
        </w:tc>
      </w:tr>
    </w:tbl>
    <w:p>
      <w:pPr>
        <w:widowControl/>
        <w:snapToGrid w:val="0"/>
        <w:spacing w:line="360" w:lineRule="auto"/>
        <w:ind w:firstLine="480" w:firstLineChars="200"/>
        <w:jc w:val="left"/>
        <w:rPr>
          <w:rFonts w:hint="eastAsia"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lang w:val="en-US" w:eastAsia="zh-CN"/>
        </w:rPr>
        <w:t>2.</w:t>
      </w:r>
      <w:r>
        <w:rPr>
          <w:rFonts w:hint="eastAsia" w:ascii="仿宋" w:hAnsi="仿宋" w:eastAsia="仿宋" w:cs="仿宋"/>
          <w:bCs/>
          <w:color w:val="auto"/>
          <w:kern w:val="0"/>
          <w:sz w:val="24"/>
          <w:szCs w:val="24"/>
        </w:rPr>
        <w:t>报价要求</w:t>
      </w:r>
      <w:r>
        <w:rPr>
          <w:rFonts w:hint="eastAsia" w:ascii="仿宋" w:hAnsi="仿宋" w:eastAsia="仿宋" w:cs="仿宋"/>
          <w:bCs/>
          <w:color w:val="auto"/>
          <w:kern w:val="0"/>
          <w:sz w:val="24"/>
          <w:szCs w:val="24"/>
          <w:lang w:eastAsia="zh-CN"/>
        </w:rPr>
        <w:t>：（</w:t>
      </w:r>
      <w:r>
        <w:rPr>
          <w:rFonts w:hint="eastAsia" w:ascii="仿宋" w:hAnsi="仿宋" w:eastAsia="仿宋" w:cs="仿宋"/>
          <w:bCs/>
          <w:color w:val="auto"/>
          <w:kern w:val="0"/>
          <w:sz w:val="24"/>
          <w:szCs w:val="24"/>
          <w:lang w:val="en-US" w:eastAsia="zh-CN"/>
        </w:rPr>
        <w:t>1</w:t>
      </w:r>
      <w:r>
        <w:rPr>
          <w:rFonts w:hint="eastAsia" w:ascii="仿宋" w:hAnsi="仿宋" w:eastAsia="仿宋" w:cs="仿宋"/>
          <w:bCs/>
          <w:color w:val="auto"/>
          <w:kern w:val="0"/>
          <w:sz w:val="24"/>
          <w:szCs w:val="24"/>
          <w:lang w:eastAsia="zh-CN"/>
        </w:rPr>
        <w:t>）</w:t>
      </w:r>
      <w:r>
        <w:rPr>
          <w:rFonts w:hint="eastAsia" w:ascii="仿宋" w:hAnsi="仿宋" w:eastAsia="仿宋" w:cs="仿宋"/>
          <w:bCs/>
          <w:color w:val="auto"/>
          <w:kern w:val="0"/>
          <w:sz w:val="24"/>
          <w:szCs w:val="24"/>
          <w:lang w:val="en-US" w:eastAsia="zh-CN"/>
        </w:rPr>
        <w:t>报价需含与医院其它系统软件接口费（若需接入信息系统）；凡是属于附属设备的请分项目报价。（2）供应商的报价应包含为完成本采购文件提出的服务或货物等全部相关工作所有可能发生的费用。对在合同实施过程中可能发生的其他费用，采购人概不负责。（3）供应商报价时应充分考虑合同期内各项成本上涨所带来的风险。（4）供应商报价为含税价格，应包含本项目服务内容及要求的全部费用，包括了为实施和完成合同所需的车辆、人员及车辆保险费、业务（技术）指导、管理、税费、利润、安全等费用，以及合同明示或暗示的所有责任、义务和一般风险。供应商对报价的准确性负责，任何漏报、错报等均是供应商的风险。（5）对于本文件未列明，而供应商认为必需的配套产品费用应包含在报价中，在合同实施时，采购人将不再支付额外费用。</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（三）需要书面提供所投产品的核心技术参数、详细配置清单；专用易损品请单独报价。</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（四）供应商规模、荣誉及2022年11月份至今近三年产品的类似业绩(提供中标通知书或合同复印件）；</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（五）</w:t>
      </w:r>
      <w:r>
        <w:rPr>
          <w:rFonts w:hint="eastAsia" w:ascii="仿宋" w:hAnsi="仿宋" w:eastAsia="仿宋" w:cs="仿宋"/>
          <w:b w:val="0"/>
          <w:bCs w:val="0"/>
          <w:color w:val="auto"/>
          <w:sz w:val="24"/>
          <w:szCs w:val="24"/>
          <w:lang w:val="en-US" w:eastAsia="zh-CN"/>
        </w:rPr>
        <w:t>项目服务方案：项目配置应包含但不限于</w:t>
      </w:r>
      <w:r>
        <w:rPr>
          <w:rFonts w:hint="eastAsia" w:ascii="仿宋" w:hAnsi="仿宋" w:eastAsia="仿宋" w:cs="仿宋"/>
          <w:b w:val="0"/>
          <w:bCs w:val="0"/>
          <w:color w:val="auto"/>
          <w:sz w:val="24"/>
          <w:szCs w:val="24"/>
          <w:lang w:val="zh-CN"/>
        </w:rPr>
        <w:t>项目需求及技术</w:t>
      </w:r>
      <w:r>
        <w:rPr>
          <w:rFonts w:hint="eastAsia" w:ascii="仿宋" w:hAnsi="仿宋" w:eastAsia="仿宋" w:cs="仿宋"/>
          <w:b w:val="0"/>
          <w:bCs w:val="0"/>
          <w:color w:val="auto"/>
          <w:sz w:val="24"/>
          <w:szCs w:val="24"/>
          <w:lang w:val="en-US" w:eastAsia="zh-CN"/>
        </w:rPr>
        <w:t>响应内容。</w:t>
      </w:r>
      <w:r>
        <w:rPr>
          <w:rFonts w:hint="eastAsia" w:ascii="仿宋" w:hAnsi="仿宋" w:eastAsia="仿宋" w:cs="仿宋"/>
          <w:color w:val="auto"/>
          <w:sz w:val="24"/>
          <w:szCs w:val="24"/>
          <w:lang w:val="en-US" w:eastAsia="zh-CN"/>
        </w:rPr>
        <w:t>销售产品的售后和质量保障方案、质保期限等；</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四、项目要求: </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（一）合同履行期限：自合同签署之日起一年</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五、供应商个性化要求（如有）</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（一）付款方式；凡无特殊需求的，若后期产品中选，则付款方式为：每季度（每三个月）支付一次</w:t>
      </w:r>
    </w:p>
    <w:p>
      <w:pPr>
        <w:keepNext w:val="0"/>
        <w:keepLines w:val="0"/>
        <w:pageBreakBefore w:val="0"/>
        <w:widowControl w:val="0"/>
        <w:kinsoku/>
        <w:wordWrap/>
        <w:overflowPunct/>
        <w:topLinePunct w:val="0"/>
        <w:autoSpaceDE/>
        <w:autoSpaceDN/>
        <w:bidi w:val="0"/>
        <w:adjustRightInd w:val="0"/>
        <w:snapToGrid w:val="0"/>
        <w:spacing w:line="360" w:lineRule="auto"/>
        <w:ind w:left="479" w:leftChars="228" w:firstLine="0" w:firstLineChars="0"/>
        <w:textAlignment w:val="auto"/>
        <w:rPr>
          <w:rFonts w:hint="default" w:ascii="宋体" w:hAnsi="宋体" w:eastAsia="宋体" w:cs="宋体"/>
          <w:bCs/>
          <w:color w:val="auto"/>
          <w:kern w:val="0"/>
          <w:sz w:val="24"/>
          <w:szCs w:val="24"/>
          <w:lang w:val="en-US" w:eastAsia="zh-CN"/>
        </w:rPr>
      </w:pPr>
      <w:r>
        <w:rPr>
          <w:rFonts w:hint="eastAsia" w:ascii="仿宋" w:hAnsi="仿宋" w:eastAsia="仿宋" w:cs="仿宋"/>
          <w:b w:val="0"/>
          <w:bCs w:val="0"/>
          <w:color w:val="auto"/>
          <w:sz w:val="24"/>
          <w:szCs w:val="24"/>
          <w:lang w:val="en-US" w:eastAsia="zh-CN"/>
        </w:rPr>
        <w:t>（二）其他需要说明的事项</w:t>
      </w:r>
    </w:p>
    <w:sectPr>
      <w:pgSz w:w="11906" w:h="16838"/>
      <w:pgMar w:top="144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长城仿宋">
    <w:altName w:val="宋体"/>
    <w:panose1 w:val="00000000000000000000"/>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74DD49"/>
    <w:multiLevelType w:val="singleLevel"/>
    <w:tmpl w:val="8374DD49"/>
    <w:lvl w:ilvl="0" w:tentative="0">
      <w:start w:val="1"/>
      <w:numFmt w:val="decimal"/>
      <w:suff w:val="nothing"/>
      <w:lvlText w:val="%1"/>
      <w:lvlJc w:val="center"/>
      <w:pPr>
        <w:tabs>
          <w:tab w:val="left" w:pos="0"/>
        </w:tabs>
        <w:ind w:left="0" w:firstLine="0"/>
      </w:pPr>
      <w:rPr>
        <w:rFonts w:hint="default"/>
      </w:rPr>
    </w:lvl>
  </w:abstractNum>
  <w:abstractNum w:abstractNumId="1">
    <w:nsid w:val="3B49C1D2"/>
    <w:multiLevelType w:val="singleLevel"/>
    <w:tmpl w:val="3B49C1D2"/>
    <w:lvl w:ilvl="0" w:tentative="0">
      <w:start w:val="1"/>
      <w:numFmt w:val="decimal"/>
      <w:suff w:val="nothing"/>
      <w:lvlText w:val="%1"/>
      <w:lvlJc w:val="center"/>
      <w:pPr>
        <w:tabs>
          <w:tab w:val="left" w:pos="0"/>
        </w:tabs>
        <w:ind w:left="0" w:firstLine="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67"/>
  <w:displayHorizontalDrawingGridEvery w:val="1"/>
  <w:displayVertic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M2NWJkNGRjYzBlZmVkNmMzYTliMmQ0NGQ2ZjdiNTcifQ=="/>
  </w:docVars>
  <w:rsids>
    <w:rsidRoot w:val="00A472B4"/>
    <w:rsid w:val="00000D53"/>
    <w:rsid w:val="000055BF"/>
    <w:rsid w:val="00006644"/>
    <w:rsid w:val="0000740A"/>
    <w:rsid w:val="00011276"/>
    <w:rsid w:val="00012250"/>
    <w:rsid w:val="00013DEF"/>
    <w:rsid w:val="00015491"/>
    <w:rsid w:val="00016C14"/>
    <w:rsid w:val="0001711F"/>
    <w:rsid w:val="00021E22"/>
    <w:rsid w:val="00032D87"/>
    <w:rsid w:val="0003354F"/>
    <w:rsid w:val="00034A0E"/>
    <w:rsid w:val="00034F87"/>
    <w:rsid w:val="00036DFD"/>
    <w:rsid w:val="00046317"/>
    <w:rsid w:val="00057F52"/>
    <w:rsid w:val="000635E7"/>
    <w:rsid w:val="00065A8E"/>
    <w:rsid w:val="0007052A"/>
    <w:rsid w:val="00070E69"/>
    <w:rsid w:val="0007191F"/>
    <w:rsid w:val="000732D1"/>
    <w:rsid w:val="00074B6F"/>
    <w:rsid w:val="00084D1E"/>
    <w:rsid w:val="00084D92"/>
    <w:rsid w:val="00087110"/>
    <w:rsid w:val="000900D5"/>
    <w:rsid w:val="00090E7D"/>
    <w:rsid w:val="00090F83"/>
    <w:rsid w:val="000936C1"/>
    <w:rsid w:val="00094741"/>
    <w:rsid w:val="00094E0C"/>
    <w:rsid w:val="00095A9B"/>
    <w:rsid w:val="00097290"/>
    <w:rsid w:val="000A5922"/>
    <w:rsid w:val="000A600A"/>
    <w:rsid w:val="000B0C1F"/>
    <w:rsid w:val="000B2EAA"/>
    <w:rsid w:val="000B2F01"/>
    <w:rsid w:val="000B44D4"/>
    <w:rsid w:val="000B6827"/>
    <w:rsid w:val="000B7454"/>
    <w:rsid w:val="000C0B59"/>
    <w:rsid w:val="000C152C"/>
    <w:rsid w:val="000C64E1"/>
    <w:rsid w:val="000C6714"/>
    <w:rsid w:val="000D1D79"/>
    <w:rsid w:val="000D239F"/>
    <w:rsid w:val="000D29AC"/>
    <w:rsid w:val="000E11CF"/>
    <w:rsid w:val="000E14E7"/>
    <w:rsid w:val="000E204B"/>
    <w:rsid w:val="000E2D8B"/>
    <w:rsid w:val="000E5B4A"/>
    <w:rsid w:val="000F0684"/>
    <w:rsid w:val="000F5557"/>
    <w:rsid w:val="0010040C"/>
    <w:rsid w:val="0010145B"/>
    <w:rsid w:val="00107AE0"/>
    <w:rsid w:val="0011102F"/>
    <w:rsid w:val="001115D4"/>
    <w:rsid w:val="00114BFE"/>
    <w:rsid w:val="00117934"/>
    <w:rsid w:val="00123954"/>
    <w:rsid w:val="0012472B"/>
    <w:rsid w:val="00125303"/>
    <w:rsid w:val="001330EA"/>
    <w:rsid w:val="00140679"/>
    <w:rsid w:val="0014098F"/>
    <w:rsid w:val="00141CB8"/>
    <w:rsid w:val="001425B4"/>
    <w:rsid w:val="00142843"/>
    <w:rsid w:val="00150CB1"/>
    <w:rsid w:val="001528F0"/>
    <w:rsid w:val="001571B0"/>
    <w:rsid w:val="00161971"/>
    <w:rsid w:val="00166F69"/>
    <w:rsid w:val="00170D2E"/>
    <w:rsid w:val="00172885"/>
    <w:rsid w:val="00172A6B"/>
    <w:rsid w:val="0017332D"/>
    <w:rsid w:val="00177BA3"/>
    <w:rsid w:val="00177C02"/>
    <w:rsid w:val="00181044"/>
    <w:rsid w:val="00181471"/>
    <w:rsid w:val="00182470"/>
    <w:rsid w:val="0019238E"/>
    <w:rsid w:val="001937D7"/>
    <w:rsid w:val="00194A2B"/>
    <w:rsid w:val="00195202"/>
    <w:rsid w:val="001A37B7"/>
    <w:rsid w:val="001A473B"/>
    <w:rsid w:val="001A4896"/>
    <w:rsid w:val="001A7B1D"/>
    <w:rsid w:val="001B0041"/>
    <w:rsid w:val="001B0357"/>
    <w:rsid w:val="001B14E7"/>
    <w:rsid w:val="001B2E17"/>
    <w:rsid w:val="001C1076"/>
    <w:rsid w:val="001C3388"/>
    <w:rsid w:val="001C6192"/>
    <w:rsid w:val="001C7D78"/>
    <w:rsid w:val="001D0000"/>
    <w:rsid w:val="001D095B"/>
    <w:rsid w:val="001D58F2"/>
    <w:rsid w:val="001D7AA0"/>
    <w:rsid w:val="001D7E38"/>
    <w:rsid w:val="001E194B"/>
    <w:rsid w:val="001E261B"/>
    <w:rsid w:val="001E3EDE"/>
    <w:rsid w:val="001E3EED"/>
    <w:rsid w:val="001E727C"/>
    <w:rsid w:val="001E7DF7"/>
    <w:rsid w:val="001F0449"/>
    <w:rsid w:val="001F3985"/>
    <w:rsid w:val="001F4085"/>
    <w:rsid w:val="001F7485"/>
    <w:rsid w:val="002011B0"/>
    <w:rsid w:val="00201A94"/>
    <w:rsid w:val="00202E72"/>
    <w:rsid w:val="00204201"/>
    <w:rsid w:val="0020716F"/>
    <w:rsid w:val="00211587"/>
    <w:rsid w:val="0021175A"/>
    <w:rsid w:val="00212CB1"/>
    <w:rsid w:val="00213062"/>
    <w:rsid w:val="002147D2"/>
    <w:rsid w:val="00215C3C"/>
    <w:rsid w:val="00215C40"/>
    <w:rsid w:val="002161B7"/>
    <w:rsid w:val="0021647B"/>
    <w:rsid w:val="00221710"/>
    <w:rsid w:val="00224024"/>
    <w:rsid w:val="00224C8F"/>
    <w:rsid w:val="002257EB"/>
    <w:rsid w:val="00230193"/>
    <w:rsid w:val="0023124F"/>
    <w:rsid w:val="00233FCB"/>
    <w:rsid w:val="002349FB"/>
    <w:rsid w:val="002436BA"/>
    <w:rsid w:val="00260CD2"/>
    <w:rsid w:val="00261544"/>
    <w:rsid w:val="00264E21"/>
    <w:rsid w:val="002659C1"/>
    <w:rsid w:val="00274A02"/>
    <w:rsid w:val="0027548F"/>
    <w:rsid w:val="00276092"/>
    <w:rsid w:val="002808EC"/>
    <w:rsid w:val="00281B0B"/>
    <w:rsid w:val="00284651"/>
    <w:rsid w:val="00285857"/>
    <w:rsid w:val="00286E4E"/>
    <w:rsid w:val="00294959"/>
    <w:rsid w:val="002977B4"/>
    <w:rsid w:val="002A0942"/>
    <w:rsid w:val="002A0D03"/>
    <w:rsid w:val="002A343C"/>
    <w:rsid w:val="002A372E"/>
    <w:rsid w:val="002A3C9C"/>
    <w:rsid w:val="002A4075"/>
    <w:rsid w:val="002A4142"/>
    <w:rsid w:val="002A597F"/>
    <w:rsid w:val="002B0BBB"/>
    <w:rsid w:val="002B113F"/>
    <w:rsid w:val="002B336A"/>
    <w:rsid w:val="002B662F"/>
    <w:rsid w:val="002C10AA"/>
    <w:rsid w:val="002C1C9C"/>
    <w:rsid w:val="002C3153"/>
    <w:rsid w:val="002C4E75"/>
    <w:rsid w:val="002D342E"/>
    <w:rsid w:val="002D3E92"/>
    <w:rsid w:val="002D5727"/>
    <w:rsid w:val="002D5A98"/>
    <w:rsid w:val="002D7BAD"/>
    <w:rsid w:val="002E17AF"/>
    <w:rsid w:val="002E2051"/>
    <w:rsid w:val="002E4EC3"/>
    <w:rsid w:val="002E4F34"/>
    <w:rsid w:val="002E7A41"/>
    <w:rsid w:val="002F2861"/>
    <w:rsid w:val="002F57BF"/>
    <w:rsid w:val="002F7F50"/>
    <w:rsid w:val="00301C7E"/>
    <w:rsid w:val="003045A4"/>
    <w:rsid w:val="00304930"/>
    <w:rsid w:val="00304D68"/>
    <w:rsid w:val="003074A8"/>
    <w:rsid w:val="0031062E"/>
    <w:rsid w:val="003141BA"/>
    <w:rsid w:val="00315C67"/>
    <w:rsid w:val="0032052B"/>
    <w:rsid w:val="00320E15"/>
    <w:rsid w:val="0032106C"/>
    <w:rsid w:val="003210C1"/>
    <w:rsid w:val="00322F1B"/>
    <w:rsid w:val="003234B1"/>
    <w:rsid w:val="00324CAB"/>
    <w:rsid w:val="00326333"/>
    <w:rsid w:val="00326792"/>
    <w:rsid w:val="003313E0"/>
    <w:rsid w:val="0033151E"/>
    <w:rsid w:val="003339C9"/>
    <w:rsid w:val="00340B72"/>
    <w:rsid w:val="003451DC"/>
    <w:rsid w:val="003467F2"/>
    <w:rsid w:val="00350089"/>
    <w:rsid w:val="0035234B"/>
    <w:rsid w:val="003529AF"/>
    <w:rsid w:val="00352CCD"/>
    <w:rsid w:val="0035442A"/>
    <w:rsid w:val="00354A7A"/>
    <w:rsid w:val="00355597"/>
    <w:rsid w:val="0035604B"/>
    <w:rsid w:val="00360947"/>
    <w:rsid w:val="00360EF9"/>
    <w:rsid w:val="0036188F"/>
    <w:rsid w:val="0036221C"/>
    <w:rsid w:val="003641F2"/>
    <w:rsid w:val="0036476A"/>
    <w:rsid w:val="00364DDA"/>
    <w:rsid w:val="003747C1"/>
    <w:rsid w:val="003779E3"/>
    <w:rsid w:val="003833AA"/>
    <w:rsid w:val="003845C6"/>
    <w:rsid w:val="00387C12"/>
    <w:rsid w:val="003918D7"/>
    <w:rsid w:val="003928CC"/>
    <w:rsid w:val="00395066"/>
    <w:rsid w:val="00396570"/>
    <w:rsid w:val="003A1286"/>
    <w:rsid w:val="003A2723"/>
    <w:rsid w:val="003A5D9F"/>
    <w:rsid w:val="003A7759"/>
    <w:rsid w:val="003B15CF"/>
    <w:rsid w:val="003B17E2"/>
    <w:rsid w:val="003B2695"/>
    <w:rsid w:val="003B4A4D"/>
    <w:rsid w:val="003B750D"/>
    <w:rsid w:val="003B7D9D"/>
    <w:rsid w:val="003C6660"/>
    <w:rsid w:val="003C6A5C"/>
    <w:rsid w:val="003D12AA"/>
    <w:rsid w:val="003D5DD0"/>
    <w:rsid w:val="003E23A6"/>
    <w:rsid w:val="003F03F3"/>
    <w:rsid w:val="003F12DB"/>
    <w:rsid w:val="003F1366"/>
    <w:rsid w:val="003F26AE"/>
    <w:rsid w:val="003F2737"/>
    <w:rsid w:val="003F2C26"/>
    <w:rsid w:val="003F46F4"/>
    <w:rsid w:val="00400326"/>
    <w:rsid w:val="00401FDA"/>
    <w:rsid w:val="00403FA8"/>
    <w:rsid w:val="0040444C"/>
    <w:rsid w:val="004048B4"/>
    <w:rsid w:val="0040514D"/>
    <w:rsid w:val="0040759C"/>
    <w:rsid w:val="0041014C"/>
    <w:rsid w:val="0041110A"/>
    <w:rsid w:val="00413750"/>
    <w:rsid w:val="00413BBB"/>
    <w:rsid w:val="00417325"/>
    <w:rsid w:val="0042026D"/>
    <w:rsid w:val="00421424"/>
    <w:rsid w:val="00424B2C"/>
    <w:rsid w:val="00427617"/>
    <w:rsid w:val="00433E6E"/>
    <w:rsid w:val="00434297"/>
    <w:rsid w:val="00434EC6"/>
    <w:rsid w:val="0043646F"/>
    <w:rsid w:val="0043700D"/>
    <w:rsid w:val="00440AAC"/>
    <w:rsid w:val="00440C06"/>
    <w:rsid w:val="0044186C"/>
    <w:rsid w:val="004441ED"/>
    <w:rsid w:val="004464F2"/>
    <w:rsid w:val="00450FCD"/>
    <w:rsid w:val="00452B87"/>
    <w:rsid w:val="004532EA"/>
    <w:rsid w:val="004533DE"/>
    <w:rsid w:val="00453E99"/>
    <w:rsid w:val="00455154"/>
    <w:rsid w:val="004578C5"/>
    <w:rsid w:val="004579E5"/>
    <w:rsid w:val="00460AF0"/>
    <w:rsid w:val="00460C12"/>
    <w:rsid w:val="004676E6"/>
    <w:rsid w:val="00477F21"/>
    <w:rsid w:val="00481DD3"/>
    <w:rsid w:val="004846E2"/>
    <w:rsid w:val="00485DA5"/>
    <w:rsid w:val="00493A35"/>
    <w:rsid w:val="00494C3C"/>
    <w:rsid w:val="00495254"/>
    <w:rsid w:val="004A2BCD"/>
    <w:rsid w:val="004A2EE8"/>
    <w:rsid w:val="004A56C0"/>
    <w:rsid w:val="004B0C4D"/>
    <w:rsid w:val="004B0FA9"/>
    <w:rsid w:val="004B18B7"/>
    <w:rsid w:val="004B293F"/>
    <w:rsid w:val="004B452E"/>
    <w:rsid w:val="004C3348"/>
    <w:rsid w:val="004D2193"/>
    <w:rsid w:val="004D2464"/>
    <w:rsid w:val="004D2AF1"/>
    <w:rsid w:val="004D5BC5"/>
    <w:rsid w:val="004E0D8D"/>
    <w:rsid w:val="004E183B"/>
    <w:rsid w:val="004E2082"/>
    <w:rsid w:val="004E260F"/>
    <w:rsid w:val="004E26D9"/>
    <w:rsid w:val="004E2899"/>
    <w:rsid w:val="004E4809"/>
    <w:rsid w:val="004E74FB"/>
    <w:rsid w:val="004E7CE8"/>
    <w:rsid w:val="004F20EB"/>
    <w:rsid w:val="004F2273"/>
    <w:rsid w:val="004F2548"/>
    <w:rsid w:val="004F257E"/>
    <w:rsid w:val="004F4440"/>
    <w:rsid w:val="004F57EE"/>
    <w:rsid w:val="004F6C9F"/>
    <w:rsid w:val="004F726C"/>
    <w:rsid w:val="004F733D"/>
    <w:rsid w:val="00501996"/>
    <w:rsid w:val="00502027"/>
    <w:rsid w:val="00504AB4"/>
    <w:rsid w:val="00505EA3"/>
    <w:rsid w:val="00507DB9"/>
    <w:rsid w:val="00513978"/>
    <w:rsid w:val="005142BE"/>
    <w:rsid w:val="00530D16"/>
    <w:rsid w:val="005310AC"/>
    <w:rsid w:val="00536117"/>
    <w:rsid w:val="00536393"/>
    <w:rsid w:val="0053649C"/>
    <w:rsid w:val="00537FBE"/>
    <w:rsid w:val="00545878"/>
    <w:rsid w:val="005470B6"/>
    <w:rsid w:val="00550E5C"/>
    <w:rsid w:val="005525EB"/>
    <w:rsid w:val="005527BC"/>
    <w:rsid w:val="0055306B"/>
    <w:rsid w:val="00554E6A"/>
    <w:rsid w:val="00561345"/>
    <w:rsid w:val="0056178C"/>
    <w:rsid w:val="00565D48"/>
    <w:rsid w:val="00566F20"/>
    <w:rsid w:val="00571323"/>
    <w:rsid w:val="00571CC9"/>
    <w:rsid w:val="00572B8D"/>
    <w:rsid w:val="005746CF"/>
    <w:rsid w:val="005753AE"/>
    <w:rsid w:val="00583E97"/>
    <w:rsid w:val="00584B6B"/>
    <w:rsid w:val="005853D0"/>
    <w:rsid w:val="00590F6D"/>
    <w:rsid w:val="005919A0"/>
    <w:rsid w:val="00592C9C"/>
    <w:rsid w:val="00593FD6"/>
    <w:rsid w:val="00596C74"/>
    <w:rsid w:val="005A25CE"/>
    <w:rsid w:val="005A5C8A"/>
    <w:rsid w:val="005B30B0"/>
    <w:rsid w:val="005B5832"/>
    <w:rsid w:val="005B6B05"/>
    <w:rsid w:val="005C1BC5"/>
    <w:rsid w:val="005C1E0B"/>
    <w:rsid w:val="005D0896"/>
    <w:rsid w:val="005D2EA8"/>
    <w:rsid w:val="005D6D35"/>
    <w:rsid w:val="005D7E89"/>
    <w:rsid w:val="005E2AFF"/>
    <w:rsid w:val="005E4249"/>
    <w:rsid w:val="005E46D3"/>
    <w:rsid w:val="005E4BED"/>
    <w:rsid w:val="005E76B5"/>
    <w:rsid w:val="005E79E9"/>
    <w:rsid w:val="005E7B4A"/>
    <w:rsid w:val="005F051A"/>
    <w:rsid w:val="005F4D66"/>
    <w:rsid w:val="005F5D89"/>
    <w:rsid w:val="00604E6C"/>
    <w:rsid w:val="00610385"/>
    <w:rsid w:val="00610D77"/>
    <w:rsid w:val="00611A77"/>
    <w:rsid w:val="00613662"/>
    <w:rsid w:val="0062193F"/>
    <w:rsid w:val="006219D8"/>
    <w:rsid w:val="00622E41"/>
    <w:rsid w:val="00624E3E"/>
    <w:rsid w:val="0063078F"/>
    <w:rsid w:val="0063530A"/>
    <w:rsid w:val="00635D93"/>
    <w:rsid w:val="006364FB"/>
    <w:rsid w:val="00640DF9"/>
    <w:rsid w:val="00641D32"/>
    <w:rsid w:val="00642CB9"/>
    <w:rsid w:val="00644352"/>
    <w:rsid w:val="00646DB6"/>
    <w:rsid w:val="006502F1"/>
    <w:rsid w:val="00651027"/>
    <w:rsid w:val="006527A4"/>
    <w:rsid w:val="00652CF3"/>
    <w:rsid w:val="00660A99"/>
    <w:rsid w:val="00661EEC"/>
    <w:rsid w:val="00664C38"/>
    <w:rsid w:val="00665601"/>
    <w:rsid w:val="0067216B"/>
    <w:rsid w:val="0067225F"/>
    <w:rsid w:val="006727C8"/>
    <w:rsid w:val="006763EA"/>
    <w:rsid w:val="00676DAD"/>
    <w:rsid w:val="0068030B"/>
    <w:rsid w:val="00691D0C"/>
    <w:rsid w:val="006922B6"/>
    <w:rsid w:val="006933EC"/>
    <w:rsid w:val="006948D5"/>
    <w:rsid w:val="00696747"/>
    <w:rsid w:val="006A6276"/>
    <w:rsid w:val="006A6FF5"/>
    <w:rsid w:val="006B4AA5"/>
    <w:rsid w:val="006C3242"/>
    <w:rsid w:val="006C4CBD"/>
    <w:rsid w:val="006D1374"/>
    <w:rsid w:val="006D2040"/>
    <w:rsid w:val="006D2051"/>
    <w:rsid w:val="006D2A3E"/>
    <w:rsid w:val="006D3543"/>
    <w:rsid w:val="006D4382"/>
    <w:rsid w:val="006D77BA"/>
    <w:rsid w:val="006D7F8F"/>
    <w:rsid w:val="006E3120"/>
    <w:rsid w:val="006E371D"/>
    <w:rsid w:val="006E79E3"/>
    <w:rsid w:val="006F0444"/>
    <w:rsid w:val="006F20A1"/>
    <w:rsid w:val="006F21DA"/>
    <w:rsid w:val="006F2745"/>
    <w:rsid w:val="006F3BA8"/>
    <w:rsid w:val="00700BD0"/>
    <w:rsid w:val="0070214C"/>
    <w:rsid w:val="00702EEA"/>
    <w:rsid w:val="00707326"/>
    <w:rsid w:val="00713B84"/>
    <w:rsid w:val="00720496"/>
    <w:rsid w:val="00724A2C"/>
    <w:rsid w:val="007273AB"/>
    <w:rsid w:val="00733626"/>
    <w:rsid w:val="00734B20"/>
    <w:rsid w:val="00734B6A"/>
    <w:rsid w:val="007353D5"/>
    <w:rsid w:val="00735C42"/>
    <w:rsid w:val="007418AB"/>
    <w:rsid w:val="0074255D"/>
    <w:rsid w:val="00745B41"/>
    <w:rsid w:val="00746A86"/>
    <w:rsid w:val="00747A4B"/>
    <w:rsid w:val="00747EFE"/>
    <w:rsid w:val="0075075D"/>
    <w:rsid w:val="00754991"/>
    <w:rsid w:val="0075523B"/>
    <w:rsid w:val="00755B04"/>
    <w:rsid w:val="00756366"/>
    <w:rsid w:val="00760578"/>
    <w:rsid w:val="007763EC"/>
    <w:rsid w:val="00777FDA"/>
    <w:rsid w:val="00782968"/>
    <w:rsid w:val="00783972"/>
    <w:rsid w:val="00786C4F"/>
    <w:rsid w:val="00786E02"/>
    <w:rsid w:val="0079264E"/>
    <w:rsid w:val="00794A47"/>
    <w:rsid w:val="007A0F47"/>
    <w:rsid w:val="007B234F"/>
    <w:rsid w:val="007B3389"/>
    <w:rsid w:val="007B4E2B"/>
    <w:rsid w:val="007B72C7"/>
    <w:rsid w:val="007B7E1C"/>
    <w:rsid w:val="007C3A50"/>
    <w:rsid w:val="007C4F5E"/>
    <w:rsid w:val="007D0B21"/>
    <w:rsid w:val="007D1106"/>
    <w:rsid w:val="007D71ED"/>
    <w:rsid w:val="007E0A7F"/>
    <w:rsid w:val="007E1E3D"/>
    <w:rsid w:val="007E487B"/>
    <w:rsid w:val="007F0850"/>
    <w:rsid w:val="007F49BE"/>
    <w:rsid w:val="007F53BB"/>
    <w:rsid w:val="00800896"/>
    <w:rsid w:val="008037D5"/>
    <w:rsid w:val="008105F4"/>
    <w:rsid w:val="008138B0"/>
    <w:rsid w:val="00816EC7"/>
    <w:rsid w:val="00817E01"/>
    <w:rsid w:val="00822EA5"/>
    <w:rsid w:val="0083437B"/>
    <w:rsid w:val="00837B63"/>
    <w:rsid w:val="00850853"/>
    <w:rsid w:val="008509D3"/>
    <w:rsid w:val="00861A8E"/>
    <w:rsid w:val="008643C3"/>
    <w:rsid w:val="0086549E"/>
    <w:rsid w:val="00866BC4"/>
    <w:rsid w:val="008731B6"/>
    <w:rsid w:val="008740DD"/>
    <w:rsid w:val="00877E1F"/>
    <w:rsid w:val="00881C59"/>
    <w:rsid w:val="00882AEA"/>
    <w:rsid w:val="00883FA6"/>
    <w:rsid w:val="00884ABB"/>
    <w:rsid w:val="00884F95"/>
    <w:rsid w:val="00885CA3"/>
    <w:rsid w:val="00891B07"/>
    <w:rsid w:val="00891B58"/>
    <w:rsid w:val="00892A07"/>
    <w:rsid w:val="00892FED"/>
    <w:rsid w:val="00894119"/>
    <w:rsid w:val="00895651"/>
    <w:rsid w:val="00895E61"/>
    <w:rsid w:val="008A136B"/>
    <w:rsid w:val="008A3A57"/>
    <w:rsid w:val="008A493E"/>
    <w:rsid w:val="008A6DBB"/>
    <w:rsid w:val="008B018A"/>
    <w:rsid w:val="008B12ED"/>
    <w:rsid w:val="008B2443"/>
    <w:rsid w:val="008B5D0F"/>
    <w:rsid w:val="008C094F"/>
    <w:rsid w:val="008C2BC9"/>
    <w:rsid w:val="008C329F"/>
    <w:rsid w:val="008C52B7"/>
    <w:rsid w:val="008D04B8"/>
    <w:rsid w:val="008D256F"/>
    <w:rsid w:val="008D2DD3"/>
    <w:rsid w:val="008D5BEA"/>
    <w:rsid w:val="008E3600"/>
    <w:rsid w:val="008E6A15"/>
    <w:rsid w:val="008E7C59"/>
    <w:rsid w:val="008F0E27"/>
    <w:rsid w:val="008F2A21"/>
    <w:rsid w:val="008F312C"/>
    <w:rsid w:val="008F33A5"/>
    <w:rsid w:val="008F5C16"/>
    <w:rsid w:val="008F6908"/>
    <w:rsid w:val="0090134B"/>
    <w:rsid w:val="00901EA7"/>
    <w:rsid w:val="00904CA1"/>
    <w:rsid w:val="009053FC"/>
    <w:rsid w:val="00906F6F"/>
    <w:rsid w:val="009111A3"/>
    <w:rsid w:val="00912BF0"/>
    <w:rsid w:val="009159EB"/>
    <w:rsid w:val="009176F5"/>
    <w:rsid w:val="009215B1"/>
    <w:rsid w:val="00926F1C"/>
    <w:rsid w:val="009273D0"/>
    <w:rsid w:val="00931E94"/>
    <w:rsid w:val="00933ADF"/>
    <w:rsid w:val="00933B0D"/>
    <w:rsid w:val="00936FE9"/>
    <w:rsid w:val="00941FE2"/>
    <w:rsid w:val="009432C4"/>
    <w:rsid w:val="009442C5"/>
    <w:rsid w:val="00952F0B"/>
    <w:rsid w:val="00953BE2"/>
    <w:rsid w:val="009542D6"/>
    <w:rsid w:val="00954EFF"/>
    <w:rsid w:val="00955F43"/>
    <w:rsid w:val="00966130"/>
    <w:rsid w:val="009662A6"/>
    <w:rsid w:val="00970B30"/>
    <w:rsid w:val="00980B72"/>
    <w:rsid w:val="0098314A"/>
    <w:rsid w:val="00984169"/>
    <w:rsid w:val="009843FD"/>
    <w:rsid w:val="00984780"/>
    <w:rsid w:val="00985827"/>
    <w:rsid w:val="00986A27"/>
    <w:rsid w:val="00990D8E"/>
    <w:rsid w:val="009958FA"/>
    <w:rsid w:val="00996F60"/>
    <w:rsid w:val="009979C9"/>
    <w:rsid w:val="009A2E25"/>
    <w:rsid w:val="009A6276"/>
    <w:rsid w:val="009B1639"/>
    <w:rsid w:val="009B287D"/>
    <w:rsid w:val="009B55A6"/>
    <w:rsid w:val="009B7B50"/>
    <w:rsid w:val="009C087A"/>
    <w:rsid w:val="009C11BE"/>
    <w:rsid w:val="009C3CCB"/>
    <w:rsid w:val="009C42AB"/>
    <w:rsid w:val="009C5A00"/>
    <w:rsid w:val="009C5A05"/>
    <w:rsid w:val="009C7983"/>
    <w:rsid w:val="009D27F1"/>
    <w:rsid w:val="009D5300"/>
    <w:rsid w:val="009D71A8"/>
    <w:rsid w:val="009E28A0"/>
    <w:rsid w:val="009E45F5"/>
    <w:rsid w:val="009E4ABD"/>
    <w:rsid w:val="009E6230"/>
    <w:rsid w:val="009E6A75"/>
    <w:rsid w:val="009F4283"/>
    <w:rsid w:val="009F485A"/>
    <w:rsid w:val="009F6B64"/>
    <w:rsid w:val="00A053AA"/>
    <w:rsid w:val="00A055B9"/>
    <w:rsid w:val="00A10C86"/>
    <w:rsid w:val="00A13FE7"/>
    <w:rsid w:val="00A149BC"/>
    <w:rsid w:val="00A17347"/>
    <w:rsid w:val="00A2070A"/>
    <w:rsid w:val="00A20F26"/>
    <w:rsid w:val="00A2223F"/>
    <w:rsid w:val="00A22D37"/>
    <w:rsid w:val="00A22F61"/>
    <w:rsid w:val="00A27D6D"/>
    <w:rsid w:val="00A30D79"/>
    <w:rsid w:val="00A3197B"/>
    <w:rsid w:val="00A35816"/>
    <w:rsid w:val="00A4025D"/>
    <w:rsid w:val="00A4104B"/>
    <w:rsid w:val="00A44475"/>
    <w:rsid w:val="00A44D1A"/>
    <w:rsid w:val="00A472B4"/>
    <w:rsid w:val="00A5052C"/>
    <w:rsid w:val="00A50DFB"/>
    <w:rsid w:val="00A514D6"/>
    <w:rsid w:val="00A51F4E"/>
    <w:rsid w:val="00A531BD"/>
    <w:rsid w:val="00A56BA8"/>
    <w:rsid w:val="00A606CA"/>
    <w:rsid w:val="00A614BD"/>
    <w:rsid w:val="00A62A21"/>
    <w:rsid w:val="00A64F1B"/>
    <w:rsid w:val="00A66165"/>
    <w:rsid w:val="00A66237"/>
    <w:rsid w:val="00A70410"/>
    <w:rsid w:val="00A72BC5"/>
    <w:rsid w:val="00A73554"/>
    <w:rsid w:val="00A73B5B"/>
    <w:rsid w:val="00A75821"/>
    <w:rsid w:val="00A768DC"/>
    <w:rsid w:val="00A76AFC"/>
    <w:rsid w:val="00A80475"/>
    <w:rsid w:val="00A80A24"/>
    <w:rsid w:val="00A84FC4"/>
    <w:rsid w:val="00A86448"/>
    <w:rsid w:val="00A91941"/>
    <w:rsid w:val="00A9228B"/>
    <w:rsid w:val="00A93BB3"/>
    <w:rsid w:val="00A9463C"/>
    <w:rsid w:val="00AA14A5"/>
    <w:rsid w:val="00AA3327"/>
    <w:rsid w:val="00AB3654"/>
    <w:rsid w:val="00AB497C"/>
    <w:rsid w:val="00AB4AB3"/>
    <w:rsid w:val="00AC08DF"/>
    <w:rsid w:val="00AC23DF"/>
    <w:rsid w:val="00AC31FF"/>
    <w:rsid w:val="00AC3318"/>
    <w:rsid w:val="00AC3EB7"/>
    <w:rsid w:val="00AC5CE6"/>
    <w:rsid w:val="00AD5352"/>
    <w:rsid w:val="00AD558A"/>
    <w:rsid w:val="00AD56A8"/>
    <w:rsid w:val="00AD6FBD"/>
    <w:rsid w:val="00AD7BBA"/>
    <w:rsid w:val="00AE17FC"/>
    <w:rsid w:val="00AE4BE3"/>
    <w:rsid w:val="00AE67E1"/>
    <w:rsid w:val="00AF22BB"/>
    <w:rsid w:val="00AF3290"/>
    <w:rsid w:val="00AF332A"/>
    <w:rsid w:val="00AF4025"/>
    <w:rsid w:val="00AF541C"/>
    <w:rsid w:val="00AF6BE5"/>
    <w:rsid w:val="00B0184C"/>
    <w:rsid w:val="00B019C7"/>
    <w:rsid w:val="00B022AB"/>
    <w:rsid w:val="00B066E7"/>
    <w:rsid w:val="00B12A56"/>
    <w:rsid w:val="00B12CD8"/>
    <w:rsid w:val="00B143B2"/>
    <w:rsid w:val="00B220A6"/>
    <w:rsid w:val="00B2509E"/>
    <w:rsid w:val="00B256D7"/>
    <w:rsid w:val="00B27CCB"/>
    <w:rsid w:val="00B33F47"/>
    <w:rsid w:val="00B4117C"/>
    <w:rsid w:val="00B4314B"/>
    <w:rsid w:val="00B43EA0"/>
    <w:rsid w:val="00B503EC"/>
    <w:rsid w:val="00B5129F"/>
    <w:rsid w:val="00B51368"/>
    <w:rsid w:val="00B56173"/>
    <w:rsid w:val="00B561ED"/>
    <w:rsid w:val="00B56547"/>
    <w:rsid w:val="00B57959"/>
    <w:rsid w:val="00B64387"/>
    <w:rsid w:val="00B67042"/>
    <w:rsid w:val="00B7033E"/>
    <w:rsid w:val="00B722F2"/>
    <w:rsid w:val="00B72C4A"/>
    <w:rsid w:val="00B77F68"/>
    <w:rsid w:val="00B81731"/>
    <w:rsid w:val="00B832B9"/>
    <w:rsid w:val="00B842AD"/>
    <w:rsid w:val="00B85D0F"/>
    <w:rsid w:val="00B87BCB"/>
    <w:rsid w:val="00B907A0"/>
    <w:rsid w:val="00B913EF"/>
    <w:rsid w:val="00B94818"/>
    <w:rsid w:val="00B96E53"/>
    <w:rsid w:val="00BA2664"/>
    <w:rsid w:val="00BA2F5E"/>
    <w:rsid w:val="00BA4013"/>
    <w:rsid w:val="00BA41FC"/>
    <w:rsid w:val="00BA42F7"/>
    <w:rsid w:val="00BA487B"/>
    <w:rsid w:val="00BA62B6"/>
    <w:rsid w:val="00BB510B"/>
    <w:rsid w:val="00BC1210"/>
    <w:rsid w:val="00BC325A"/>
    <w:rsid w:val="00BC7C79"/>
    <w:rsid w:val="00BC7FAE"/>
    <w:rsid w:val="00BD08A6"/>
    <w:rsid w:val="00BD1301"/>
    <w:rsid w:val="00BD1D0E"/>
    <w:rsid w:val="00BD1E93"/>
    <w:rsid w:val="00BD424A"/>
    <w:rsid w:val="00BD4545"/>
    <w:rsid w:val="00BD6C7D"/>
    <w:rsid w:val="00BE104C"/>
    <w:rsid w:val="00BE1363"/>
    <w:rsid w:val="00BE23B1"/>
    <w:rsid w:val="00BE4150"/>
    <w:rsid w:val="00BE74A0"/>
    <w:rsid w:val="00BF062A"/>
    <w:rsid w:val="00BF08F0"/>
    <w:rsid w:val="00BF2765"/>
    <w:rsid w:val="00BF30AF"/>
    <w:rsid w:val="00BF32F2"/>
    <w:rsid w:val="00BF6853"/>
    <w:rsid w:val="00C006AF"/>
    <w:rsid w:val="00C0106E"/>
    <w:rsid w:val="00C031AB"/>
    <w:rsid w:val="00C03812"/>
    <w:rsid w:val="00C05070"/>
    <w:rsid w:val="00C13759"/>
    <w:rsid w:val="00C1413C"/>
    <w:rsid w:val="00C15BB2"/>
    <w:rsid w:val="00C178EE"/>
    <w:rsid w:val="00C22783"/>
    <w:rsid w:val="00C26969"/>
    <w:rsid w:val="00C26B93"/>
    <w:rsid w:val="00C30909"/>
    <w:rsid w:val="00C3243A"/>
    <w:rsid w:val="00C340FE"/>
    <w:rsid w:val="00C343F0"/>
    <w:rsid w:val="00C34933"/>
    <w:rsid w:val="00C4032A"/>
    <w:rsid w:val="00C417E0"/>
    <w:rsid w:val="00C45AAB"/>
    <w:rsid w:val="00C46E48"/>
    <w:rsid w:val="00C475C7"/>
    <w:rsid w:val="00C478A0"/>
    <w:rsid w:val="00C54A60"/>
    <w:rsid w:val="00C559BA"/>
    <w:rsid w:val="00C6157C"/>
    <w:rsid w:val="00C70DC1"/>
    <w:rsid w:val="00C7249A"/>
    <w:rsid w:val="00C76BEA"/>
    <w:rsid w:val="00C77D79"/>
    <w:rsid w:val="00C85714"/>
    <w:rsid w:val="00C8597E"/>
    <w:rsid w:val="00C865BD"/>
    <w:rsid w:val="00C90806"/>
    <w:rsid w:val="00C92837"/>
    <w:rsid w:val="00C9363C"/>
    <w:rsid w:val="00C94D98"/>
    <w:rsid w:val="00CA1D58"/>
    <w:rsid w:val="00CA20E6"/>
    <w:rsid w:val="00CB03F4"/>
    <w:rsid w:val="00CB0469"/>
    <w:rsid w:val="00CB6509"/>
    <w:rsid w:val="00CB7AFF"/>
    <w:rsid w:val="00CC7782"/>
    <w:rsid w:val="00CD1B95"/>
    <w:rsid w:val="00CD2B14"/>
    <w:rsid w:val="00CD2FA8"/>
    <w:rsid w:val="00CD38EE"/>
    <w:rsid w:val="00CD3D01"/>
    <w:rsid w:val="00CD472D"/>
    <w:rsid w:val="00CD4CE5"/>
    <w:rsid w:val="00CD7DBF"/>
    <w:rsid w:val="00CE0C2F"/>
    <w:rsid w:val="00CE0D4B"/>
    <w:rsid w:val="00CE2BCD"/>
    <w:rsid w:val="00CE3891"/>
    <w:rsid w:val="00CE44D0"/>
    <w:rsid w:val="00CE50C8"/>
    <w:rsid w:val="00CE782F"/>
    <w:rsid w:val="00CF1663"/>
    <w:rsid w:val="00D00FB5"/>
    <w:rsid w:val="00D01CE7"/>
    <w:rsid w:val="00D0487E"/>
    <w:rsid w:val="00D055CB"/>
    <w:rsid w:val="00D13EA7"/>
    <w:rsid w:val="00D15849"/>
    <w:rsid w:val="00D15888"/>
    <w:rsid w:val="00D200B4"/>
    <w:rsid w:val="00D23D13"/>
    <w:rsid w:val="00D25735"/>
    <w:rsid w:val="00D2602C"/>
    <w:rsid w:val="00D3511B"/>
    <w:rsid w:val="00D40E02"/>
    <w:rsid w:val="00D41D6E"/>
    <w:rsid w:val="00D42E5B"/>
    <w:rsid w:val="00D437A1"/>
    <w:rsid w:val="00D45B9B"/>
    <w:rsid w:val="00D51801"/>
    <w:rsid w:val="00D5386E"/>
    <w:rsid w:val="00D53916"/>
    <w:rsid w:val="00D542D5"/>
    <w:rsid w:val="00D5549C"/>
    <w:rsid w:val="00D61870"/>
    <w:rsid w:val="00D641B5"/>
    <w:rsid w:val="00D65974"/>
    <w:rsid w:val="00D65C4B"/>
    <w:rsid w:val="00D6718F"/>
    <w:rsid w:val="00D72577"/>
    <w:rsid w:val="00D72844"/>
    <w:rsid w:val="00D734C8"/>
    <w:rsid w:val="00D74974"/>
    <w:rsid w:val="00D75CB8"/>
    <w:rsid w:val="00D76423"/>
    <w:rsid w:val="00D860DE"/>
    <w:rsid w:val="00D86AD9"/>
    <w:rsid w:val="00D90B1E"/>
    <w:rsid w:val="00D97268"/>
    <w:rsid w:val="00D97344"/>
    <w:rsid w:val="00DA04BE"/>
    <w:rsid w:val="00DA092D"/>
    <w:rsid w:val="00DA1603"/>
    <w:rsid w:val="00DA2ED4"/>
    <w:rsid w:val="00DA4CF0"/>
    <w:rsid w:val="00DB1300"/>
    <w:rsid w:val="00DB1CA1"/>
    <w:rsid w:val="00DB52EF"/>
    <w:rsid w:val="00DB63D1"/>
    <w:rsid w:val="00DC16D9"/>
    <w:rsid w:val="00DC4CBF"/>
    <w:rsid w:val="00DC61D0"/>
    <w:rsid w:val="00DD01C0"/>
    <w:rsid w:val="00DD400C"/>
    <w:rsid w:val="00DD4B8D"/>
    <w:rsid w:val="00DD50B0"/>
    <w:rsid w:val="00DD627B"/>
    <w:rsid w:val="00DD6DA9"/>
    <w:rsid w:val="00DE2940"/>
    <w:rsid w:val="00DE305F"/>
    <w:rsid w:val="00DE33AD"/>
    <w:rsid w:val="00DE7471"/>
    <w:rsid w:val="00DF6EDC"/>
    <w:rsid w:val="00E03DEF"/>
    <w:rsid w:val="00E15A4B"/>
    <w:rsid w:val="00E22D4A"/>
    <w:rsid w:val="00E23B63"/>
    <w:rsid w:val="00E23B80"/>
    <w:rsid w:val="00E23CEF"/>
    <w:rsid w:val="00E256CA"/>
    <w:rsid w:val="00E26F35"/>
    <w:rsid w:val="00E312C9"/>
    <w:rsid w:val="00E31BD2"/>
    <w:rsid w:val="00E356FB"/>
    <w:rsid w:val="00E40CC0"/>
    <w:rsid w:val="00E42FFE"/>
    <w:rsid w:val="00E44134"/>
    <w:rsid w:val="00E50C3D"/>
    <w:rsid w:val="00E53427"/>
    <w:rsid w:val="00E546FF"/>
    <w:rsid w:val="00E54E6F"/>
    <w:rsid w:val="00E6117B"/>
    <w:rsid w:val="00E62EBE"/>
    <w:rsid w:val="00E63FA5"/>
    <w:rsid w:val="00E675FA"/>
    <w:rsid w:val="00E678CF"/>
    <w:rsid w:val="00E75020"/>
    <w:rsid w:val="00E75C98"/>
    <w:rsid w:val="00E77DF6"/>
    <w:rsid w:val="00E82EB9"/>
    <w:rsid w:val="00E837EF"/>
    <w:rsid w:val="00E83A20"/>
    <w:rsid w:val="00E85E08"/>
    <w:rsid w:val="00E8650B"/>
    <w:rsid w:val="00E87114"/>
    <w:rsid w:val="00E90DC6"/>
    <w:rsid w:val="00E9179F"/>
    <w:rsid w:val="00E958CF"/>
    <w:rsid w:val="00EA0A3F"/>
    <w:rsid w:val="00EA1CC4"/>
    <w:rsid w:val="00EA34F0"/>
    <w:rsid w:val="00EA5487"/>
    <w:rsid w:val="00EB1174"/>
    <w:rsid w:val="00EB5DE2"/>
    <w:rsid w:val="00EC02E6"/>
    <w:rsid w:val="00EC1CF6"/>
    <w:rsid w:val="00EC5866"/>
    <w:rsid w:val="00EC6906"/>
    <w:rsid w:val="00ED1EE7"/>
    <w:rsid w:val="00ED2AF0"/>
    <w:rsid w:val="00ED2EB6"/>
    <w:rsid w:val="00ED5509"/>
    <w:rsid w:val="00ED563E"/>
    <w:rsid w:val="00ED6175"/>
    <w:rsid w:val="00ED6660"/>
    <w:rsid w:val="00ED6A91"/>
    <w:rsid w:val="00ED6A95"/>
    <w:rsid w:val="00EE0BF1"/>
    <w:rsid w:val="00EE5E0D"/>
    <w:rsid w:val="00EE7452"/>
    <w:rsid w:val="00EF1CFA"/>
    <w:rsid w:val="00EF3092"/>
    <w:rsid w:val="00EF37AA"/>
    <w:rsid w:val="00EF48AC"/>
    <w:rsid w:val="00EF7369"/>
    <w:rsid w:val="00F00842"/>
    <w:rsid w:val="00F02C7D"/>
    <w:rsid w:val="00F03130"/>
    <w:rsid w:val="00F038B1"/>
    <w:rsid w:val="00F04D71"/>
    <w:rsid w:val="00F17D1D"/>
    <w:rsid w:val="00F204D7"/>
    <w:rsid w:val="00F22D24"/>
    <w:rsid w:val="00F24274"/>
    <w:rsid w:val="00F31C9F"/>
    <w:rsid w:val="00F327B9"/>
    <w:rsid w:val="00F34268"/>
    <w:rsid w:val="00F35F14"/>
    <w:rsid w:val="00F376E2"/>
    <w:rsid w:val="00F37B73"/>
    <w:rsid w:val="00F434C2"/>
    <w:rsid w:val="00F44628"/>
    <w:rsid w:val="00F501CE"/>
    <w:rsid w:val="00F57754"/>
    <w:rsid w:val="00F57F08"/>
    <w:rsid w:val="00F62FE7"/>
    <w:rsid w:val="00F63C57"/>
    <w:rsid w:val="00F646D9"/>
    <w:rsid w:val="00F72B69"/>
    <w:rsid w:val="00F73552"/>
    <w:rsid w:val="00F74253"/>
    <w:rsid w:val="00F74DE5"/>
    <w:rsid w:val="00F76F4C"/>
    <w:rsid w:val="00F7767E"/>
    <w:rsid w:val="00F80105"/>
    <w:rsid w:val="00F841CC"/>
    <w:rsid w:val="00F84E91"/>
    <w:rsid w:val="00F90652"/>
    <w:rsid w:val="00F924C4"/>
    <w:rsid w:val="00F97B1A"/>
    <w:rsid w:val="00FA4D34"/>
    <w:rsid w:val="00FA7476"/>
    <w:rsid w:val="00FB130D"/>
    <w:rsid w:val="00FB1FFC"/>
    <w:rsid w:val="00FB5AAE"/>
    <w:rsid w:val="00FB6B01"/>
    <w:rsid w:val="00FC0AF7"/>
    <w:rsid w:val="00FC1E2D"/>
    <w:rsid w:val="00FC46CA"/>
    <w:rsid w:val="00FD1302"/>
    <w:rsid w:val="00FD4866"/>
    <w:rsid w:val="00FD5149"/>
    <w:rsid w:val="00FE45C1"/>
    <w:rsid w:val="00FE5DDC"/>
    <w:rsid w:val="00FF4641"/>
    <w:rsid w:val="00FF657C"/>
    <w:rsid w:val="00FF6665"/>
    <w:rsid w:val="01057174"/>
    <w:rsid w:val="01062EEC"/>
    <w:rsid w:val="011448F9"/>
    <w:rsid w:val="01422176"/>
    <w:rsid w:val="014852B3"/>
    <w:rsid w:val="014F1C1B"/>
    <w:rsid w:val="01683978"/>
    <w:rsid w:val="01987FE8"/>
    <w:rsid w:val="01AF0E8E"/>
    <w:rsid w:val="01B34E22"/>
    <w:rsid w:val="01E42BAD"/>
    <w:rsid w:val="01FE68D7"/>
    <w:rsid w:val="021439B9"/>
    <w:rsid w:val="02447828"/>
    <w:rsid w:val="02555B3C"/>
    <w:rsid w:val="027345B1"/>
    <w:rsid w:val="02D84414"/>
    <w:rsid w:val="02E64D83"/>
    <w:rsid w:val="036D7252"/>
    <w:rsid w:val="03BD5AE4"/>
    <w:rsid w:val="03DD1CE2"/>
    <w:rsid w:val="042042C5"/>
    <w:rsid w:val="042C0EBC"/>
    <w:rsid w:val="043F420C"/>
    <w:rsid w:val="04604D1B"/>
    <w:rsid w:val="04616F40"/>
    <w:rsid w:val="049272F0"/>
    <w:rsid w:val="04B54A0D"/>
    <w:rsid w:val="04BD1B14"/>
    <w:rsid w:val="050613C0"/>
    <w:rsid w:val="05184F9C"/>
    <w:rsid w:val="052971A9"/>
    <w:rsid w:val="056974FD"/>
    <w:rsid w:val="05812B41"/>
    <w:rsid w:val="05AB7BBE"/>
    <w:rsid w:val="05BC05DB"/>
    <w:rsid w:val="05CB200E"/>
    <w:rsid w:val="05D47C01"/>
    <w:rsid w:val="06007623"/>
    <w:rsid w:val="063D115E"/>
    <w:rsid w:val="06766D74"/>
    <w:rsid w:val="067702EC"/>
    <w:rsid w:val="068B1BA6"/>
    <w:rsid w:val="06CF24F0"/>
    <w:rsid w:val="070E02C2"/>
    <w:rsid w:val="074C3905"/>
    <w:rsid w:val="074D53D1"/>
    <w:rsid w:val="07603356"/>
    <w:rsid w:val="0774357C"/>
    <w:rsid w:val="07802062"/>
    <w:rsid w:val="078B2285"/>
    <w:rsid w:val="07C51061"/>
    <w:rsid w:val="07D54A41"/>
    <w:rsid w:val="07E06245"/>
    <w:rsid w:val="08131749"/>
    <w:rsid w:val="081F6A2B"/>
    <w:rsid w:val="08251EAA"/>
    <w:rsid w:val="08386081"/>
    <w:rsid w:val="08404F36"/>
    <w:rsid w:val="08586945"/>
    <w:rsid w:val="0869448C"/>
    <w:rsid w:val="087D1715"/>
    <w:rsid w:val="088017D6"/>
    <w:rsid w:val="08AE1E9F"/>
    <w:rsid w:val="08BA4CE8"/>
    <w:rsid w:val="08C07E24"/>
    <w:rsid w:val="08C6543B"/>
    <w:rsid w:val="08E25FED"/>
    <w:rsid w:val="08E6788B"/>
    <w:rsid w:val="08EF1956"/>
    <w:rsid w:val="08F04266"/>
    <w:rsid w:val="090A3348"/>
    <w:rsid w:val="09233D30"/>
    <w:rsid w:val="0926412B"/>
    <w:rsid w:val="093553C6"/>
    <w:rsid w:val="0955056D"/>
    <w:rsid w:val="09BD6AA6"/>
    <w:rsid w:val="09E35B78"/>
    <w:rsid w:val="0A187C83"/>
    <w:rsid w:val="0A2F7EB1"/>
    <w:rsid w:val="0A334788"/>
    <w:rsid w:val="0A371A1E"/>
    <w:rsid w:val="0A4C7BC2"/>
    <w:rsid w:val="0A576601"/>
    <w:rsid w:val="0A60541B"/>
    <w:rsid w:val="0A6A631C"/>
    <w:rsid w:val="0A8D082A"/>
    <w:rsid w:val="0AE0655C"/>
    <w:rsid w:val="0AE222D4"/>
    <w:rsid w:val="0B001DB7"/>
    <w:rsid w:val="0B077F8D"/>
    <w:rsid w:val="0B220922"/>
    <w:rsid w:val="0B246449"/>
    <w:rsid w:val="0B2C0907"/>
    <w:rsid w:val="0B301291"/>
    <w:rsid w:val="0B5D463D"/>
    <w:rsid w:val="0B5F70CC"/>
    <w:rsid w:val="0B8213C1"/>
    <w:rsid w:val="0B9350A4"/>
    <w:rsid w:val="0B996E37"/>
    <w:rsid w:val="0BB377CC"/>
    <w:rsid w:val="0BC33EB3"/>
    <w:rsid w:val="0C3D553F"/>
    <w:rsid w:val="0C855557"/>
    <w:rsid w:val="0C9F66CF"/>
    <w:rsid w:val="0CA66391"/>
    <w:rsid w:val="0CB2780C"/>
    <w:rsid w:val="0CC72203"/>
    <w:rsid w:val="0CD64DA0"/>
    <w:rsid w:val="0CE560AB"/>
    <w:rsid w:val="0D0A3017"/>
    <w:rsid w:val="0D0C729B"/>
    <w:rsid w:val="0D270472"/>
    <w:rsid w:val="0D2A4946"/>
    <w:rsid w:val="0D434918"/>
    <w:rsid w:val="0D4874F6"/>
    <w:rsid w:val="0D4B23B2"/>
    <w:rsid w:val="0D5D3E94"/>
    <w:rsid w:val="0D714374"/>
    <w:rsid w:val="0D797435"/>
    <w:rsid w:val="0D7A11E1"/>
    <w:rsid w:val="0D935B07"/>
    <w:rsid w:val="0DA85C2B"/>
    <w:rsid w:val="0DAA6E50"/>
    <w:rsid w:val="0DED277F"/>
    <w:rsid w:val="0DF93AB4"/>
    <w:rsid w:val="0DFA7935"/>
    <w:rsid w:val="0DFF1B83"/>
    <w:rsid w:val="0E0D7668"/>
    <w:rsid w:val="0E377FE6"/>
    <w:rsid w:val="0E541B40"/>
    <w:rsid w:val="0E760A97"/>
    <w:rsid w:val="0EA31D7A"/>
    <w:rsid w:val="0EAC0C2F"/>
    <w:rsid w:val="0EF03D0B"/>
    <w:rsid w:val="0EF34AB0"/>
    <w:rsid w:val="0F0E7B3C"/>
    <w:rsid w:val="0F1A028E"/>
    <w:rsid w:val="0F1E28CB"/>
    <w:rsid w:val="0F2D3A8E"/>
    <w:rsid w:val="0F5A4F61"/>
    <w:rsid w:val="0F6E5123"/>
    <w:rsid w:val="0F8C2F4D"/>
    <w:rsid w:val="0F9C5147"/>
    <w:rsid w:val="0FB104C7"/>
    <w:rsid w:val="0FB12F47"/>
    <w:rsid w:val="0FBC7598"/>
    <w:rsid w:val="0FED59A3"/>
    <w:rsid w:val="0FEF171B"/>
    <w:rsid w:val="0FFA00C0"/>
    <w:rsid w:val="100827DD"/>
    <w:rsid w:val="107A4C82"/>
    <w:rsid w:val="10863DB1"/>
    <w:rsid w:val="10A02A15"/>
    <w:rsid w:val="10D10E21"/>
    <w:rsid w:val="10F7015B"/>
    <w:rsid w:val="114B1777"/>
    <w:rsid w:val="11CB1D14"/>
    <w:rsid w:val="11D37F51"/>
    <w:rsid w:val="11E32670"/>
    <w:rsid w:val="11E86AF6"/>
    <w:rsid w:val="11F748B7"/>
    <w:rsid w:val="11FB4122"/>
    <w:rsid w:val="1217255A"/>
    <w:rsid w:val="12374CB3"/>
    <w:rsid w:val="12616162"/>
    <w:rsid w:val="12843C71"/>
    <w:rsid w:val="13107531"/>
    <w:rsid w:val="1312127D"/>
    <w:rsid w:val="13573133"/>
    <w:rsid w:val="13DF1E63"/>
    <w:rsid w:val="14025795"/>
    <w:rsid w:val="140B135E"/>
    <w:rsid w:val="141B42C8"/>
    <w:rsid w:val="14250192"/>
    <w:rsid w:val="14625CC7"/>
    <w:rsid w:val="14681327"/>
    <w:rsid w:val="14726477"/>
    <w:rsid w:val="147B2758"/>
    <w:rsid w:val="14D04A8C"/>
    <w:rsid w:val="14FD0C2F"/>
    <w:rsid w:val="150177FB"/>
    <w:rsid w:val="152435FA"/>
    <w:rsid w:val="1537321C"/>
    <w:rsid w:val="156404B5"/>
    <w:rsid w:val="156A62C2"/>
    <w:rsid w:val="15946D9D"/>
    <w:rsid w:val="15BC0F04"/>
    <w:rsid w:val="15E82FCE"/>
    <w:rsid w:val="15FC6940"/>
    <w:rsid w:val="164E081E"/>
    <w:rsid w:val="166E6F3D"/>
    <w:rsid w:val="167D6148"/>
    <w:rsid w:val="167E7A92"/>
    <w:rsid w:val="16846935"/>
    <w:rsid w:val="16A50E54"/>
    <w:rsid w:val="16D276A1"/>
    <w:rsid w:val="16F413C5"/>
    <w:rsid w:val="16F75874"/>
    <w:rsid w:val="16FA1105"/>
    <w:rsid w:val="175B1444"/>
    <w:rsid w:val="176E13D2"/>
    <w:rsid w:val="176E3215"/>
    <w:rsid w:val="17DE3E23"/>
    <w:rsid w:val="18291542"/>
    <w:rsid w:val="182E4DAB"/>
    <w:rsid w:val="183642A4"/>
    <w:rsid w:val="18457C95"/>
    <w:rsid w:val="1848276C"/>
    <w:rsid w:val="18842FDD"/>
    <w:rsid w:val="1884396E"/>
    <w:rsid w:val="188576AC"/>
    <w:rsid w:val="189929E8"/>
    <w:rsid w:val="18AF22FE"/>
    <w:rsid w:val="18E86D07"/>
    <w:rsid w:val="18FC048A"/>
    <w:rsid w:val="191260DB"/>
    <w:rsid w:val="19191610"/>
    <w:rsid w:val="19197809"/>
    <w:rsid w:val="19306900"/>
    <w:rsid w:val="194303E2"/>
    <w:rsid w:val="19845E9D"/>
    <w:rsid w:val="198D270C"/>
    <w:rsid w:val="19B44871"/>
    <w:rsid w:val="19BD17EA"/>
    <w:rsid w:val="19CC6629"/>
    <w:rsid w:val="19E5593D"/>
    <w:rsid w:val="19E802EE"/>
    <w:rsid w:val="19F33BB6"/>
    <w:rsid w:val="1A3602AB"/>
    <w:rsid w:val="1A402B73"/>
    <w:rsid w:val="1A5D54D3"/>
    <w:rsid w:val="1A78230D"/>
    <w:rsid w:val="1A824F3A"/>
    <w:rsid w:val="1A8B2040"/>
    <w:rsid w:val="1A9842F2"/>
    <w:rsid w:val="1AA50C28"/>
    <w:rsid w:val="1AA602AB"/>
    <w:rsid w:val="1AB75039"/>
    <w:rsid w:val="1ADE0708"/>
    <w:rsid w:val="1B416BA3"/>
    <w:rsid w:val="1B5B1590"/>
    <w:rsid w:val="1BA01B1B"/>
    <w:rsid w:val="1BCB46BE"/>
    <w:rsid w:val="1BDD4B1E"/>
    <w:rsid w:val="1BDE1800"/>
    <w:rsid w:val="1BFA4CC3"/>
    <w:rsid w:val="1C0F4EF3"/>
    <w:rsid w:val="1C182115"/>
    <w:rsid w:val="1C386E1E"/>
    <w:rsid w:val="1C395ACC"/>
    <w:rsid w:val="1C580648"/>
    <w:rsid w:val="1C7775C6"/>
    <w:rsid w:val="1C7B4DFC"/>
    <w:rsid w:val="1C8E7BC6"/>
    <w:rsid w:val="1C9D721F"/>
    <w:rsid w:val="1CA078F9"/>
    <w:rsid w:val="1CB125AB"/>
    <w:rsid w:val="1CB17D58"/>
    <w:rsid w:val="1CB533A4"/>
    <w:rsid w:val="1CD22580"/>
    <w:rsid w:val="1CDC4DD5"/>
    <w:rsid w:val="1CDD793F"/>
    <w:rsid w:val="1CDE3260"/>
    <w:rsid w:val="1CE47013"/>
    <w:rsid w:val="1CFD2F9D"/>
    <w:rsid w:val="1D146661"/>
    <w:rsid w:val="1D1F2F14"/>
    <w:rsid w:val="1D284CF4"/>
    <w:rsid w:val="1D2B3667"/>
    <w:rsid w:val="1D4A7F0A"/>
    <w:rsid w:val="1D4F45B4"/>
    <w:rsid w:val="1D511C01"/>
    <w:rsid w:val="1D557AE9"/>
    <w:rsid w:val="1D57445C"/>
    <w:rsid w:val="1D66123A"/>
    <w:rsid w:val="1D742BAC"/>
    <w:rsid w:val="1E0448D1"/>
    <w:rsid w:val="1E1C2295"/>
    <w:rsid w:val="1E2B2550"/>
    <w:rsid w:val="1E2E46BF"/>
    <w:rsid w:val="1E396257"/>
    <w:rsid w:val="1E3E5127"/>
    <w:rsid w:val="1E513783"/>
    <w:rsid w:val="1E794994"/>
    <w:rsid w:val="1E8E0351"/>
    <w:rsid w:val="1E9B481C"/>
    <w:rsid w:val="1EA26876"/>
    <w:rsid w:val="1EB821C9"/>
    <w:rsid w:val="1EC22FE1"/>
    <w:rsid w:val="1ECB5101"/>
    <w:rsid w:val="1ECD07ED"/>
    <w:rsid w:val="1ED55F80"/>
    <w:rsid w:val="1EE52BF7"/>
    <w:rsid w:val="1EEF227E"/>
    <w:rsid w:val="1F10520A"/>
    <w:rsid w:val="1F226000"/>
    <w:rsid w:val="1F7D4DFD"/>
    <w:rsid w:val="1F882FF2"/>
    <w:rsid w:val="1FAA11BB"/>
    <w:rsid w:val="1FC2308E"/>
    <w:rsid w:val="1FE50445"/>
    <w:rsid w:val="1FFB1A16"/>
    <w:rsid w:val="202C7E22"/>
    <w:rsid w:val="204563DC"/>
    <w:rsid w:val="204E73E9"/>
    <w:rsid w:val="20651C9F"/>
    <w:rsid w:val="20670344"/>
    <w:rsid w:val="209B0B03"/>
    <w:rsid w:val="20BF0C96"/>
    <w:rsid w:val="20BF4EE8"/>
    <w:rsid w:val="20C51CD3"/>
    <w:rsid w:val="20C91B14"/>
    <w:rsid w:val="20DF30E6"/>
    <w:rsid w:val="20E02970"/>
    <w:rsid w:val="20FF1092"/>
    <w:rsid w:val="210003EF"/>
    <w:rsid w:val="211F0684"/>
    <w:rsid w:val="213E63B9"/>
    <w:rsid w:val="2154380E"/>
    <w:rsid w:val="21891560"/>
    <w:rsid w:val="218B64C4"/>
    <w:rsid w:val="21B55BF5"/>
    <w:rsid w:val="21BE2CFB"/>
    <w:rsid w:val="220B3A67"/>
    <w:rsid w:val="22460F43"/>
    <w:rsid w:val="22923446"/>
    <w:rsid w:val="22A20AC2"/>
    <w:rsid w:val="22A87507"/>
    <w:rsid w:val="22AA1A61"/>
    <w:rsid w:val="22D14CB0"/>
    <w:rsid w:val="22DF6206"/>
    <w:rsid w:val="22EF5136"/>
    <w:rsid w:val="22F466B7"/>
    <w:rsid w:val="22F664C5"/>
    <w:rsid w:val="22FD3CF7"/>
    <w:rsid w:val="23315D1E"/>
    <w:rsid w:val="23546134"/>
    <w:rsid w:val="235558E1"/>
    <w:rsid w:val="23696C97"/>
    <w:rsid w:val="236D7C22"/>
    <w:rsid w:val="238166D6"/>
    <w:rsid w:val="23955CDE"/>
    <w:rsid w:val="23A128D5"/>
    <w:rsid w:val="23AC099C"/>
    <w:rsid w:val="23C6058D"/>
    <w:rsid w:val="23CB77BA"/>
    <w:rsid w:val="23D314CE"/>
    <w:rsid w:val="23D9206E"/>
    <w:rsid w:val="24044C11"/>
    <w:rsid w:val="24091CE0"/>
    <w:rsid w:val="24334016"/>
    <w:rsid w:val="24813650"/>
    <w:rsid w:val="24876DD0"/>
    <w:rsid w:val="24EB4CB4"/>
    <w:rsid w:val="24EC15D4"/>
    <w:rsid w:val="24ED6C19"/>
    <w:rsid w:val="252523ED"/>
    <w:rsid w:val="2557260D"/>
    <w:rsid w:val="257449E4"/>
    <w:rsid w:val="25AE12D9"/>
    <w:rsid w:val="25E116AE"/>
    <w:rsid w:val="262275D1"/>
    <w:rsid w:val="262E41C8"/>
    <w:rsid w:val="26323CB8"/>
    <w:rsid w:val="264979BA"/>
    <w:rsid w:val="26725A8D"/>
    <w:rsid w:val="267E11F5"/>
    <w:rsid w:val="268B483A"/>
    <w:rsid w:val="26B465DD"/>
    <w:rsid w:val="26BB1EFF"/>
    <w:rsid w:val="26CC7C68"/>
    <w:rsid w:val="26CE1878"/>
    <w:rsid w:val="26D62895"/>
    <w:rsid w:val="26D905D7"/>
    <w:rsid w:val="26EA0FC4"/>
    <w:rsid w:val="26F1147D"/>
    <w:rsid w:val="26F40F6D"/>
    <w:rsid w:val="26F45411"/>
    <w:rsid w:val="27291F80"/>
    <w:rsid w:val="276B5954"/>
    <w:rsid w:val="27C14397"/>
    <w:rsid w:val="27DA0163"/>
    <w:rsid w:val="28096C9A"/>
    <w:rsid w:val="28120F00"/>
    <w:rsid w:val="2852233A"/>
    <w:rsid w:val="28722A91"/>
    <w:rsid w:val="287E31E4"/>
    <w:rsid w:val="28991DCC"/>
    <w:rsid w:val="28B906C0"/>
    <w:rsid w:val="28C36E49"/>
    <w:rsid w:val="28DD657D"/>
    <w:rsid w:val="28E05C4D"/>
    <w:rsid w:val="28FF4B8C"/>
    <w:rsid w:val="29086F52"/>
    <w:rsid w:val="29175025"/>
    <w:rsid w:val="29301372"/>
    <w:rsid w:val="295403E9"/>
    <w:rsid w:val="29867BA4"/>
    <w:rsid w:val="29A273A6"/>
    <w:rsid w:val="29A85179"/>
    <w:rsid w:val="29AA2B38"/>
    <w:rsid w:val="29B844D4"/>
    <w:rsid w:val="29C037A2"/>
    <w:rsid w:val="29E96D83"/>
    <w:rsid w:val="29F714A0"/>
    <w:rsid w:val="2A070FB7"/>
    <w:rsid w:val="2A0A79A5"/>
    <w:rsid w:val="2A101BBB"/>
    <w:rsid w:val="2A102562"/>
    <w:rsid w:val="2A4926E9"/>
    <w:rsid w:val="2A532F19"/>
    <w:rsid w:val="2A6B1546"/>
    <w:rsid w:val="2A8A2314"/>
    <w:rsid w:val="2A8B6234"/>
    <w:rsid w:val="2ABC111A"/>
    <w:rsid w:val="2ABE32ED"/>
    <w:rsid w:val="2AC670C5"/>
    <w:rsid w:val="2ACE49D7"/>
    <w:rsid w:val="2AD035AE"/>
    <w:rsid w:val="2ADB491E"/>
    <w:rsid w:val="2B0674C1"/>
    <w:rsid w:val="2B073965"/>
    <w:rsid w:val="2B4324C3"/>
    <w:rsid w:val="2B6A3EF4"/>
    <w:rsid w:val="2B7C1B78"/>
    <w:rsid w:val="2BB62C95"/>
    <w:rsid w:val="2BDD0222"/>
    <w:rsid w:val="2BF44E96"/>
    <w:rsid w:val="2BF832AE"/>
    <w:rsid w:val="2BFD5A59"/>
    <w:rsid w:val="2C041C52"/>
    <w:rsid w:val="2C5E1B0F"/>
    <w:rsid w:val="2C6E6802"/>
    <w:rsid w:val="2C725257"/>
    <w:rsid w:val="2C7566AC"/>
    <w:rsid w:val="2C7843EE"/>
    <w:rsid w:val="2C7C1C34"/>
    <w:rsid w:val="2C820DC9"/>
    <w:rsid w:val="2C9427BE"/>
    <w:rsid w:val="2CB06C97"/>
    <w:rsid w:val="2CB3705D"/>
    <w:rsid w:val="2CDC7C10"/>
    <w:rsid w:val="2CF12534"/>
    <w:rsid w:val="2CFD5CFA"/>
    <w:rsid w:val="2CFF241A"/>
    <w:rsid w:val="2D197980"/>
    <w:rsid w:val="2D2F5912"/>
    <w:rsid w:val="2D4367AA"/>
    <w:rsid w:val="2D674490"/>
    <w:rsid w:val="2D710FE9"/>
    <w:rsid w:val="2D927050"/>
    <w:rsid w:val="2D9B688F"/>
    <w:rsid w:val="2DA52353"/>
    <w:rsid w:val="2DC31699"/>
    <w:rsid w:val="2E01716D"/>
    <w:rsid w:val="2E055F0C"/>
    <w:rsid w:val="2E4A67C5"/>
    <w:rsid w:val="2E666C21"/>
    <w:rsid w:val="2E820616"/>
    <w:rsid w:val="2E836E03"/>
    <w:rsid w:val="2EA96414"/>
    <w:rsid w:val="2EAC31F8"/>
    <w:rsid w:val="2EB2486C"/>
    <w:rsid w:val="2ED0406E"/>
    <w:rsid w:val="2EDF22C0"/>
    <w:rsid w:val="2EEB008D"/>
    <w:rsid w:val="2EEC3E09"/>
    <w:rsid w:val="2EF73CF0"/>
    <w:rsid w:val="2EFE507F"/>
    <w:rsid w:val="2EFF324B"/>
    <w:rsid w:val="2F146650"/>
    <w:rsid w:val="2F3B1E2F"/>
    <w:rsid w:val="2F3E372A"/>
    <w:rsid w:val="2FB4480E"/>
    <w:rsid w:val="2FBF2E24"/>
    <w:rsid w:val="30066679"/>
    <w:rsid w:val="30072734"/>
    <w:rsid w:val="30163AD2"/>
    <w:rsid w:val="3095556F"/>
    <w:rsid w:val="30963095"/>
    <w:rsid w:val="30A63CC6"/>
    <w:rsid w:val="30F23C27"/>
    <w:rsid w:val="3115220C"/>
    <w:rsid w:val="31230DCD"/>
    <w:rsid w:val="31280191"/>
    <w:rsid w:val="316118F5"/>
    <w:rsid w:val="31660CB9"/>
    <w:rsid w:val="31750EFD"/>
    <w:rsid w:val="317A57A7"/>
    <w:rsid w:val="31B859B9"/>
    <w:rsid w:val="31C10CD9"/>
    <w:rsid w:val="31E83DC4"/>
    <w:rsid w:val="321A7DF3"/>
    <w:rsid w:val="322A1CE7"/>
    <w:rsid w:val="32313E7A"/>
    <w:rsid w:val="324657AF"/>
    <w:rsid w:val="32580F24"/>
    <w:rsid w:val="32582CF8"/>
    <w:rsid w:val="32753F25"/>
    <w:rsid w:val="32A97713"/>
    <w:rsid w:val="32AB107A"/>
    <w:rsid w:val="32AB72CC"/>
    <w:rsid w:val="32CC2D9E"/>
    <w:rsid w:val="3324596F"/>
    <w:rsid w:val="332528BB"/>
    <w:rsid w:val="333105C3"/>
    <w:rsid w:val="33372BCC"/>
    <w:rsid w:val="339935C8"/>
    <w:rsid w:val="33B40C59"/>
    <w:rsid w:val="33C341A1"/>
    <w:rsid w:val="342E61FE"/>
    <w:rsid w:val="343A5367"/>
    <w:rsid w:val="346468BD"/>
    <w:rsid w:val="346911EC"/>
    <w:rsid w:val="34A10D2E"/>
    <w:rsid w:val="34A246FE"/>
    <w:rsid w:val="34FA0097"/>
    <w:rsid w:val="35316A0F"/>
    <w:rsid w:val="355A7B21"/>
    <w:rsid w:val="35B71AE4"/>
    <w:rsid w:val="35C405E0"/>
    <w:rsid w:val="35CF1523"/>
    <w:rsid w:val="35E52AF5"/>
    <w:rsid w:val="35E84393"/>
    <w:rsid w:val="362746A9"/>
    <w:rsid w:val="36383E38"/>
    <w:rsid w:val="36455341"/>
    <w:rsid w:val="365B6913"/>
    <w:rsid w:val="36CE3843"/>
    <w:rsid w:val="372938B4"/>
    <w:rsid w:val="372B29EB"/>
    <w:rsid w:val="3793032E"/>
    <w:rsid w:val="37994D54"/>
    <w:rsid w:val="37CB5D1A"/>
    <w:rsid w:val="380F3D50"/>
    <w:rsid w:val="381B27FE"/>
    <w:rsid w:val="381E1E49"/>
    <w:rsid w:val="385F275A"/>
    <w:rsid w:val="3862042D"/>
    <w:rsid w:val="38657F1D"/>
    <w:rsid w:val="388975FC"/>
    <w:rsid w:val="389E24AD"/>
    <w:rsid w:val="38D8220E"/>
    <w:rsid w:val="38E075A3"/>
    <w:rsid w:val="39272874"/>
    <w:rsid w:val="392C1632"/>
    <w:rsid w:val="39565AB7"/>
    <w:rsid w:val="395F671A"/>
    <w:rsid w:val="39607FE0"/>
    <w:rsid w:val="398B39B3"/>
    <w:rsid w:val="3995038E"/>
    <w:rsid w:val="39CD5D7A"/>
    <w:rsid w:val="39D01FB8"/>
    <w:rsid w:val="39D32C64"/>
    <w:rsid w:val="39E71772"/>
    <w:rsid w:val="3A2A5D3D"/>
    <w:rsid w:val="3A375C30"/>
    <w:rsid w:val="3A4B3142"/>
    <w:rsid w:val="3A5B3385"/>
    <w:rsid w:val="3A5C70FE"/>
    <w:rsid w:val="3A79380C"/>
    <w:rsid w:val="3A7F4297"/>
    <w:rsid w:val="3A8A5A19"/>
    <w:rsid w:val="3AE275BE"/>
    <w:rsid w:val="3B136582"/>
    <w:rsid w:val="3B3616FD"/>
    <w:rsid w:val="3B366613"/>
    <w:rsid w:val="3B471330"/>
    <w:rsid w:val="3B5E7C54"/>
    <w:rsid w:val="3B7A70E5"/>
    <w:rsid w:val="3B8763FC"/>
    <w:rsid w:val="3B896FA1"/>
    <w:rsid w:val="3B9749D5"/>
    <w:rsid w:val="3BCD4853"/>
    <w:rsid w:val="3C4147FD"/>
    <w:rsid w:val="3C560DF7"/>
    <w:rsid w:val="3C603EC2"/>
    <w:rsid w:val="3C660ED4"/>
    <w:rsid w:val="3C723C4B"/>
    <w:rsid w:val="3C7E0BCA"/>
    <w:rsid w:val="3CAB143F"/>
    <w:rsid w:val="3CB7061B"/>
    <w:rsid w:val="3CD716F1"/>
    <w:rsid w:val="3CFB49AC"/>
    <w:rsid w:val="3D0F0457"/>
    <w:rsid w:val="3D2959BD"/>
    <w:rsid w:val="3D361E88"/>
    <w:rsid w:val="3D42082D"/>
    <w:rsid w:val="3D4C3E48"/>
    <w:rsid w:val="3D632551"/>
    <w:rsid w:val="3D6A1B31"/>
    <w:rsid w:val="3D766728"/>
    <w:rsid w:val="3D7E5F27"/>
    <w:rsid w:val="3D98044D"/>
    <w:rsid w:val="3DAF3CF5"/>
    <w:rsid w:val="3DB66B25"/>
    <w:rsid w:val="3DC2371B"/>
    <w:rsid w:val="3DE65967"/>
    <w:rsid w:val="3E3C328D"/>
    <w:rsid w:val="3E5C76C6"/>
    <w:rsid w:val="3E6C1F94"/>
    <w:rsid w:val="3E891477"/>
    <w:rsid w:val="3E990920"/>
    <w:rsid w:val="3ED251C4"/>
    <w:rsid w:val="3EE942B6"/>
    <w:rsid w:val="3F2A1578"/>
    <w:rsid w:val="3F340649"/>
    <w:rsid w:val="3F4A7AC3"/>
    <w:rsid w:val="3F7545FE"/>
    <w:rsid w:val="3F9D61EE"/>
    <w:rsid w:val="3FBB36E5"/>
    <w:rsid w:val="3FC03E5E"/>
    <w:rsid w:val="3FC574F3"/>
    <w:rsid w:val="3FC714BD"/>
    <w:rsid w:val="3FE756BB"/>
    <w:rsid w:val="40032532"/>
    <w:rsid w:val="40306D1B"/>
    <w:rsid w:val="403501D5"/>
    <w:rsid w:val="405E25C9"/>
    <w:rsid w:val="405E3BCF"/>
    <w:rsid w:val="407868A4"/>
    <w:rsid w:val="40925627"/>
    <w:rsid w:val="40A11D0E"/>
    <w:rsid w:val="40B557B9"/>
    <w:rsid w:val="411B386E"/>
    <w:rsid w:val="412D1D55"/>
    <w:rsid w:val="41362456"/>
    <w:rsid w:val="415E7BFF"/>
    <w:rsid w:val="41BD66D4"/>
    <w:rsid w:val="41DD063D"/>
    <w:rsid w:val="41EA4FEF"/>
    <w:rsid w:val="41FA16D6"/>
    <w:rsid w:val="41FB544E"/>
    <w:rsid w:val="42154762"/>
    <w:rsid w:val="42226976"/>
    <w:rsid w:val="42653E2E"/>
    <w:rsid w:val="427174BE"/>
    <w:rsid w:val="42925DB2"/>
    <w:rsid w:val="42A11B51"/>
    <w:rsid w:val="42A568AB"/>
    <w:rsid w:val="42AB0997"/>
    <w:rsid w:val="42D75573"/>
    <w:rsid w:val="42E859D2"/>
    <w:rsid w:val="42EC3A85"/>
    <w:rsid w:val="42FF4ACA"/>
    <w:rsid w:val="434D1F19"/>
    <w:rsid w:val="43676922"/>
    <w:rsid w:val="437B2C46"/>
    <w:rsid w:val="438A28AC"/>
    <w:rsid w:val="438D0169"/>
    <w:rsid w:val="43A20E9A"/>
    <w:rsid w:val="43CC00B5"/>
    <w:rsid w:val="43F263DD"/>
    <w:rsid w:val="440305EA"/>
    <w:rsid w:val="44961860"/>
    <w:rsid w:val="44B74615"/>
    <w:rsid w:val="44BE4A12"/>
    <w:rsid w:val="44D472D9"/>
    <w:rsid w:val="44D63DB5"/>
    <w:rsid w:val="44E65F41"/>
    <w:rsid w:val="44E757D2"/>
    <w:rsid w:val="44EA7DCA"/>
    <w:rsid w:val="45010FCD"/>
    <w:rsid w:val="450B3342"/>
    <w:rsid w:val="45106B2F"/>
    <w:rsid w:val="452D591E"/>
    <w:rsid w:val="453863C6"/>
    <w:rsid w:val="453C762A"/>
    <w:rsid w:val="45521829"/>
    <w:rsid w:val="45603F46"/>
    <w:rsid w:val="457E617A"/>
    <w:rsid w:val="45BB73CE"/>
    <w:rsid w:val="45BD5CF8"/>
    <w:rsid w:val="45C344D5"/>
    <w:rsid w:val="45D16BF2"/>
    <w:rsid w:val="45DB537A"/>
    <w:rsid w:val="460A2104"/>
    <w:rsid w:val="46342CDD"/>
    <w:rsid w:val="46476EB4"/>
    <w:rsid w:val="467D5FC4"/>
    <w:rsid w:val="4698326B"/>
    <w:rsid w:val="46A54D10"/>
    <w:rsid w:val="46B272C6"/>
    <w:rsid w:val="4709474B"/>
    <w:rsid w:val="47176170"/>
    <w:rsid w:val="471E5E67"/>
    <w:rsid w:val="4723347D"/>
    <w:rsid w:val="472D60AA"/>
    <w:rsid w:val="4746304A"/>
    <w:rsid w:val="475E6263"/>
    <w:rsid w:val="47631ACB"/>
    <w:rsid w:val="4782230C"/>
    <w:rsid w:val="47874DA9"/>
    <w:rsid w:val="47A17966"/>
    <w:rsid w:val="47BE31A6"/>
    <w:rsid w:val="47C02A7A"/>
    <w:rsid w:val="47CE61E6"/>
    <w:rsid w:val="47E32C09"/>
    <w:rsid w:val="47FE7A46"/>
    <w:rsid w:val="48050405"/>
    <w:rsid w:val="48117779"/>
    <w:rsid w:val="48146791"/>
    <w:rsid w:val="48594C7C"/>
    <w:rsid w:val="486A50DB"/>
    <w:rsid w:val="486F44A0"/>
    <w:rsid w:val="48732E0C"/>
    <w:rsid w:val="48733F90"/>
    <w:rsid w:val="48734682"/>
    <w:rsid w:val="48741AB6"/>
    <w:rsid w:val="487B696E"/>
    <w:rsid w:val="488C6CCD"/>
    <w:rsid w:val="48BB76E5"/>
    <w:rsid w:val="48BE55D6"/>
    <w:rsid w:val="48CB42C6"/>
    <w:rsid w:val="48E00EFA"/>
    <w:rsid w:val="48E64762"/>
    <w:rsid w:val="490B41C9"/>
    <w:rsid w:val="4933371F"/>
    <w:rsid w:val="49554EDB"/>
    <w:rsid w:val="49BF72B4"/>
    <w:rsid w:val="49EA3937"/>
    <w:rsid w:val="4A192915"/>
    <w:rsid w:val="4A4C21A4"/>
    <w:rsid w:val="4A510301"/>
    <w:rsid w:val="4A677B24"/>
    <w:rsid w:val="4AE675EC"/>
    <w:rsid w:val="4AF32E73"/>
    <w:rsid w:val="4AFB5026"/>
    <w:rsid w:val="4B0233A9"/>
    <w:rsid w:val="4B1355B6"/>
    <w:rsid w:val="4B2045DC"/>
    <w:rsid w:val="4B2652EA"/>
    <w:rsid w:val="4B2D17B4"/>
    <w:rsid w:val="4B666B62"/>
    <w:rsid w:val="4B6E6A48"/>
    <w:rsid w:val="4B78366B"/>
    <w:rsid w:val="4B893ACB"/>
    <w:rsid w:val="4B8F7333"/>
    <w:rsid w:val="4B942086"/>
    <w:rsid w:val="4BA17066"/>
    <w:rsid w:val="4BC83AC8"/>
    <w:rsid w:val="4BC85F53"/>
    <w:rsid w:val="4BD401B6"/>
    <w:rsid w:val="4BF71BE6"/>
    <w:rsid w:val="4C07336D"/>
    <w:rsid w:val="4C251A45"/>
    <w:rsid w:val="4C586386"/>
    <w:rsid w:val="4C612351"/>
    <w:rsid w:val="4C7D6B9A"/>
    <w:rsid w:val="4C837973"/>
    <w:rsid w:val="4C8C454A"/>
    <w:rsid w:val="4C8E75EA"/>
    <w:rsid w:val="4C9522DA"/>
    <w:rsid w:val="4CAE1A3B"/>
    <w:rsid w:val="4CB15042"/>
    <w:rsid w:val="4CCF550D"/>
    <w:rsid w:val="4CE52F83"/>
    <w:rsid w:val="4D1A2C2C"/>
    <w:rsid w:val="4D477799"/>
    <w:rsid w:val="4D6F6081"/>
    <w:rsid w:val="4DA2484F"/>
    <w:rsid w:val="4DDE1EAC"/>
    <w:rsid w:val="4DDF4665"/>
    <w:rsid w:val="4DF032E3"/>
    <w:rsid w:val="4E0F02B7"/>
    <w:rsid w:val="4E173610"/>
    <w:rsid w:val="4E3D4BE8"/>
    <w:rsid w:val="4E437F61"/>
    <w:rsid w:val="4E557C94"/>
    <w:rsid w:val="4E7C3473"/>
    <w:rsid w:val="4E8B3E82"/>
    <w:rsid w:val="4E946A0E"/>
    <w:rsid w:val="4F192C84"/>
    <w:rsid w:val="4F3B2070"/>
    <w:rsid w:val="4F597F20"/>
    <w:rsid w:val="4FB37368"/>
    <w:rsid w:val="4FBE4344"/>
    <w:rsid w:val="4FD73056"/>
    <w:rsid w:val="50212B00"/>
    <w:rsid w:val="502135DD"/>
    <w:rsid w:val="5043249A"/>
    <w:rsid w:val="50C028E5"/>
    <w:rsid w:val="50CB4EB2"/>
    <w:rsid w:val="50EC744E"/>
    <w:rsid w:val="50F1639A"/>
    <w:rsid w:val="50FE2865"/>
    <w:rsid w:val="51115C9D"/>
    <w:rsid w:val="51142088"/>
    <w:rsid w:val="512B1402"/>
    <w:rsid w:val="514F30C0"/>
    <w:rsid w:val="51595CED"/>
    <w:rsid w:val="51850890"/>
    <w:rsid w:val="51956D25"/>
    <w:rsid w:val="51976D09"/>
    <w:rsid w:val="51D54CCC"/>
    <w:rsid w:val="51E66B85"/>
    <w:rsid w:val="521324B0"/>
    <w:rsid w:val="5221680B"/>
    <w:rsid w:val="5224663F"/>
    <w:rsid w:val="52593F7C"/>
    <w:rsid w:val="525941F7"/>
    <w:rsid w:val="526B231B"/>
    <w:rsid w:val="526D37FE"/>
    <w:rsid w:val="52A45FAA"/>
    <w:rsid w:val="52AD62F0"/>
    <w:rsid w:val="52C04276"/>
    <w:rsid w:val="52D153BA"/>
    <w:rsid w:val="52E3635F"/>
    <w:rsid w:val="52ED0DE3"/>
    <w:rsid w:val="52F1442F"/>
    <w:rsid w:val="53332C9A"/>
    <w:rsid w:val="53566988"/>
    <w:rsid w:val="53D5659B"/>
    <w:rsid w:val="53D664F8"/>
    <w:rsid w:val="53E21FCA"/>
    <w:rsid w:val="54152936"/>
    <w:rsid w:val="541F2237"/>
    <w:rsid w:val="545B6387"/>
    <w:rsid w:val="54600C94"/>
    <w:rsid w:val="5469181F"/>
    <w:rsid w:val="54B934F6"/>
    <w:rsid w:val="54CB0CB0"/>
    <w:rsid w:val="552E384B"/>
    <w:rsid w:val="55337236"/>
    <w:rsid w:val="553F4D04"/>
    <w:rsid w:val="55466588"/>
    <w:rsid w:val="558A18D4"/>
    <w:rsid w:val="55A14EBE"/>
    <w:rsid w:val="55B81234"/>
    <w:rsid w:val="55BB0D24"/>
    <w:rsid w:val="55BE25C3"/>
    <w:rsid w:val="55DE7A2E"/>
    <w:rsid w:val="55F34962"/>
    <w:rsid w:val="56026AA1"/>
    <w:rsid w:val="5640122A"/>
    <w:rsid w:val="5647080A"/>
    <w:rsid w:val="565C5E4C"/>
    <w:rsid w:val="567229F9"/>
    <w:rsid w:val="568B4B9B"/>
    <w:rsid w:val="568E018A"/>
    <w:rsid w:val="56CF0F2B"/>
    <w:rsid w:val="56D11FC8"/>
    <w:rsid w:val="57430FD1"/>
    <w:rsid w:val="57602B13"/>
    <w:rsid w:val="576553EC"/>
    <w:rsid w:val="57664CC0"/>
    <w:rsid w:val="577044C9"/>
    <w:rsid w:val="577345ED"/>
    <w:rsid w:val="579F25BF"/>
    <w:rsid w:val="57C77E54"/>
    <w:rsid w:val="57E44562"/>
    <w:rsid w:val="57E52089"/>
    <w:rsid w:val="57FD5624"/>
    <w:rsid w:val="57FF46A2"/>
    <w:rsid w:val="58523BC2"/>
    <w:rsid w:val="588D4BFA"/>
    <w:rsid w:val="58AD703E"/>
    <w:rsid w:val="58D77C23"/>
    <w:rsid w:val="591308CC"/>
    <w:rsid w:val="593A6404"/>
    <w:rsid w:val="593E3845"/>
    <w:rsid w:val="594352B9"/>
    <w:rsid w:val="594C6872"/>
    <w:rsid w:val="59775960"/>
    <w:rsid w:val="598A4BE2"/>
    <w:rsid w:val="59AA17DC"/>
    <w:rsid w:val="59BD32BD"/>
    <w:rsid w:val="59C26B25"/>
    <w:rsid w:val="59DB7BE7"/>
    <w:rsid w:val="5A44578C"/>
    <w:rsid w:val="5A524180"/>
    <w:rsid w:val="5A52712B"/>
    <w:rsid w:val="5A5F25C6"/>
    <w:rsid w:val="5A904A89"/>
    <w:rsid w:val="5A9B2ED2"/>
    <w:rsid w:val="5AFF0C5E"/>
    <w:rsid w:val="5B1213E7"/>
    <w:rsid w:val="5B5E63DA"/>
    <w:rsid w:val="5BAD110F"/>
    <w:rsid w:val="5BCC7C3C"/>
    <w:rsid w:val="5BE2525D"/>
    <w:rsid w:val="5BF4746D"/>
    <w:rsid w:val="5C0C0D58"/>
    <w:rsid w:val="5C2F421A"/>
    <w:rsid w:val="5C3D2493"/>
    <w:rsid w:val="5C3E42C7"/>
    <w:rsid w:val="5C58551F"/>
    <w:rsid w:val="5C611674"/>
    <w:rsid w:val="5C741C2D"/>
    <w:rsid w:val="5C7F57FD"/>
    <w:rsid w:val="5C8C341B"/>
    <w:rsid w:val="5C8C6F77"/>
    <w:rsid w:val="5C9E41E1"/>
    <w:rsid w:val="5CC91E6B"/>
    <w:rsid w:val="5CE41654"/>
    <w:rsid w:val="5CFA0384"/>
    <w:rsid w:val="5D015BB7"/>
    <w:rsid w:val="5D034748"/>
    <w:rsid w:val="5D1256CE"/>
    <w:rsid w:val="5D1F27C7"/>
    <w:rsid w:val="5D4B5084"/>
    <w:rsid w:val="5D77771F"/>
    <w:rsid w:val="5D8B722E"/>
    <w:rsid w:val="5D8C6994"/>
    <w:rsid w:val="5DA3513F"/>
    <w:rsid w:val="5DB26DA7"/>
    <w:rsid w:val="5E005E6E"/>
    <w:rsid w:val="5E0D118B"/>
    <w:rsid w:val="5E127950"/>
    <w:rsid w:val="5E2F22B0"/>
    <w:rsid w:val="5E314917"/>
    <w:rsid w:val="5E3653EC"/>
    <w:rsid w:val="5E394EDC"/>
    <w:rsid w:val="5E413D91"/>
    <w:rsid w:val="5E6006BB"/>
    <w:rsid w:val="5E932CD1"/>
    <w:rsid w:val="5E9D3BBE"/>
    <w:rsid w:val="5EA507C4"/>
    <w:rsid w:val="5EDF7201"/>
    <w:rsid w:val="5EFF1C82"/>
    <w:rsid w:val="5F08322C"/>
    <w:rsid w:val="5F180F96"/>
    <w:rsid w:val="5F272D94"/>
    <w:rsid w:val="5F2B6F1B"/>
    <w:rsid w:val="5F315078"/>
    <w:rsid w:val="5F8E3006"/>
    <w:rsid w:val="5F9948BE"/>
    <w:rsid w:val="5FA840C8"/>
    <w:rsid w:val="5FB148F4"/>
    <w:rsid w:val="5FC41A5C"/>
    <w:rsid w:val="5FF76DFD"/>
    <w:rsid w:val="60043CF7"/>
    <w:rsid w:val="60121E89"/>
    <w:rsid w:val="6020074C"/>
    <w:rsid w:val="602A71D2"/>
    <w:rsid w:val="605E50CE"/>
    <w:rsid w:val="606F4BE5"/>
    <w:rsid w:val="607037C7"/>
    <w:rsid w:val="6078689C"/>
    <w:rsid w:val="607A54CE"/>
    <w:rsid w:val="607E12CC"/>
    <w:rsid w:val="60883EF9"/>
    <w:rsid w:val="60A12B23"/>
    <w:rsid w:val="60C35814"/>
    <w:rsid w:val="60F35816"/>
    <w:rsid w:val="61534507"/>
    <w:rsid w:val="617D4AE6"/>
    <w:rsid w:val="617F354E"/>
    <w:rsid w:val="61B47E66"/>
    <w:rsid w:val="61DC0CA8"/>
    <w:rsid w:val="61FC4B9F"/>
    <w:rsid w:val="6220088D"/>
    <w:rsid w:val="624D53FA"/>
    <w:rsid w:val="624F6BED"/>
    <w:rsid w:val="626543C4"/>
    <w:rsid w:val="62966DA1"/>
    <w:rsid w:val="62B2730C"/>
    <w:rsid w:val="62B737B2"/>
    <w:rsid w:val="62D96C8E"/>
    <w:rsid w:val="62EA1E92"/>
    <w:rsid w:val="62EC076F"/>
    <w:rsid w:val="631767FF"/>
    <w:rsid w:val="633D41C2"/>
    <w:rsid w:val="634E142A"/>
    <w:rsid w:val="636329C8"/>
    <w:rsid w:val="637349EC"/>
    <w:rsid w:val="63906679"/>
    <w:rsid w:val="63A549AA"/>
    <w:rsid w:val="63A948B2"/>
    <w:rsid w:val="63AA3E84"/>
    <w:rsid w:val="63AA6BBA"/>
    <w:rsid w:val="63AC7EFE"/>
    <w:rsid w:val="63D400F2"/>
    <w:rsid w:val="63DF6526"/>
    <w:rsid w:val="63F21DB5"/>
    <w:rsid w:val="64025D70"/>
    <w:rsid w:val="643A375C"/>
    <w:rsid w:val="64416899"/>
    <w:rsid w:val="644F5459"/>
    <w:rsid w:val="6459202C"/>
    <w:rsid w:val="648275DD"/>
    <w:rsid w:val="64925346"/>
    <w:rsid w:val="649D3433"/>
    <w:rsid w:val="64B84214"/>
    <w:rsid w:val="64B96D77"/>
    <w:rsid w:val="64C73305"/>
    <w:rsid w:val="64CB31A4"/>
    <w:rsid w:val="64D74E44"/>
    <w:rsid w:val="64FB051F"/>
    <w:rsid w:val="65215C41"/>
    <w:rsid w:val="65240D90"/>
    <w:rsid w:val="659A1428"/>
    <w:rsid w:val="65AB4911"/>
    <w:rsid w:val="65C50FC8"/>
    <w:rsid w:val="65D90E1B"/>
    <w:rsid w:val="65FA0C57"/>
    <w:rsid w:val="66071CB5"/>
    <w:rsid w:val="660E6C4E"/>
    <w:rsid w:val="66171FA7"/>
    <w:rsid w:val="661F70AE"/>
    <w:rsid w:val="66454683"/>
    <w:rsid w:val="664D59C9"/>
    <w:rsid w:val="665060F7"/>
    <w:rsid w:val="66540B05"/>
    <w:rsid w:val="665723A3"/>
    <w:rsid w:val="666A0329"/>
    <w:rsid w:val="668D04BB"/>
    <w:rsid w:val="66AB26EF"/>
    <w:rsid w:val="66BE0674"/>
    <w:rsid w:val="66C35940"/>
    <w:rsid w:val="66F0056D"/>
    <w:rsid w:val="670866C6"/>
    <w:rsid w:val="67087B64"/>
    <w:rsid w:val="671169F6"/>
    <w:rsid w:val="67254DA5"/>
    <w:rsid w:val="673C79FD"/>
    <w:rsid w:val="674A024D"/>
    <w:rsid w:val="67561ABE"/>
    <w:rsid w:val="676236F6"/>
    <w:rsid w:val="6782291F"/>
    <w:rsid w:val="678C0FC6"/>
    <w:rsid w:val="679D028A"/>
    <w:rsid w:val="679E3EA5"/>
    <w:rsid w:val="67A03B67"/>
    <w:rsid w:val="67D5152F"/>
    <w:rsid w:val="67F50379"/>
    <w:rsid w:val="67FB3202"/>
    <w:rsid w:val="680D18B3"/>
    <w:rsid w:val="684545DA"/>
    <w:rsid w:val="68774CA6"/>
    <w:rsid w:val="687A4A6F"/>
    <w:rsid w:val="68A1024E"/>
    <w:rsid w:val="68BF0A0A"/>
    <w:rsid w:val="68C83A2C"/>
    <w:rsid w:val="68FA10B0"/>
    <w:rsid w:val="69180510"/>
    <w:rsid w:val="69232A11"/>
    <w:rsid w:val="69236D82"/>
    <w:rsid w:val="6923799D"/>
    <w:rsid w:val="69310AAB"/>
    <w:rsid w:val="69653029"/>
    <w:rsid w:val="69886D18"/>
    <w:rsid w:val="698C4A5A"/>
    <w:rsid w:val="69AE7546"/>
    <w:rsid w:val="69D148C4"/>
    <w:rsid w:val="69F148BD"/>
    <w:rsid w:val="6A116D0D"/>
    <w:rsid w:val="6A666B3E"/>
    <w:rsid w:val="6A700F6F"/>
    <w:rsid w:val="6A771266"/>
    <w:rsid w:val="6AA61B4B"/>
    <w:rsid w:val="6ACE4BFE"/>
    <w:rsid w:val="6AEB3A02"/>
    <w:rsid w:val="6B454EC0"/>
    <w:rsid w:val="6B4B624F"/>
    <w:rsid w:val="6B621DBD"/>
    <w:rsid w:val="6B6D0DB8"/>
    <w:rsid w:val="6B793DC3"/>
    <w:rsid w:val="6B923E7E"/>
    <w:rsid w:val="6BA21028"/>
    <w:rsid w:val="6BB362CE"/>
    <w:rsid w:val="6BBB33D4"/>
    <w:rsid w:val="6BF6440D"/>
    <w:rsid w:val="6BFE6349"/>
    <w:rsid w:val="6C2C216F"/>
    <w:rsid w:val="6C33740F"/>
    <w:rsid w:val="6C837F0F"/>
    <w:rsid w:val="6C9B7BBF"/>
    <w:rsid w:val="6CDC3602"/>
    <w:rsid w:val="6D3A4668"/>
    <w:rsid w:val="6D4A2C62"/>
    <w:rsid w:val="6D54763D"/>
    <w:rsid w:val="6D934609"/>
    <w:rsid w:val="6DCB32DE"/>
    <w:rsid w:val="6DE51541"/>
    <w:rsid w:val="6E0F54AD"/>
    <w:rsid w:val="6E10729A"/>
    <w:rsid w:val="6E3625D6"/>
    <w:rsid w:val="6E70494A"/>
    <w:rsid w:val="6EA379D6"/>
    <w:rsid w:val="6EAE5452"/>
    <w:rsid w:val="6EE67DB6"/>
    <w:rsid w:val="6F4F03AE"/>
    <w:rsid w:val="6F9C351D"/>
    <w:rsid w:val="6FB940CF"/>
    <w:rsid w:val="6FB97C2B"/>
    <w:rsid w:val="6FC00012"/>
    <w:rsid w:val="6FCE3E76"/>
    <w:rsid w:val="6FE1162F"/>
    <w:rsid w:val="6FF45107"/>
    <w:rsid w:val="6FF85E32"/>
    <w:rsid w:val="70141FDC"/>
    <w:rsid w:val="70176FD3"/>
    <w:rsid w:val="7055204A"/>
    <w:rsid w:val="70673B2B"/>
    <w:rsid w:val="70944E56"/>
    <w:rsid w:val="709B2846"/>
    <w:rsid w:val="70A404D8"/>
    <w:rsid w:val="70C01024"/>
    <w:rsid w:val="70FC2E0E"/>
    <w:rsid w:val="71055461"/>
    <w:rsid w:val="71082692"/>
    <w:rsid w:val="713D22DF"/>
    <w:rsid w:val="7148395C"/>
    <w:rsid w:val="7149495B"/>
    <w:rsid w:val="714A38B9"/>
    <w:rsid w:val="715C0249"/>
    <w:rsid w:val="716342F2"/>
    <w:rsid w:val="719857D3"/>
    <w:rsid w:val="719B66BF"/>
    <w:rsid w:val="71B30284"/>
    <w:rsid w:val="71E442E6"/>
    <w:rsid w:val="721274E2"/>
    <w:rsid w:val="721B2E1F"/>
    <w:rsid w:val="72294F0D"/>
    <w:rsid w:val="722F68CA"/>
    <w:rsid w:val="723932A5"/>
    <w:rsid w:val="726A444D"/>
    <w:rsid w:val="729130E1"/>
    <w:rsid w:val="729F135A"/>
    <w:rsid w:val="72A03324"/>
    <w:rsid w:val="72A77E7B"/>
    <w:rsid w:val="72B15531"/>
    <w:rsid w:val="72CC4ECC"/>
    <w:rsid w:val="72D51220"/>
    <w:rsid w:val="72FE2198"/>
    <w:rsid w:val="738817C5"/>
    <w:rsid w:val="738C7915"/>
    <w:rsid w:val="73C03C7E"/>
    <w:rsid w:val="73C92407"/>
    <w:rsid w:val="73E334C8"/>
    <w:rsid w:val="7401371B"/>
    <w:rsid w:val="74026044"/>
    <w:rsid w:val="7463056D"/>
    <w:rsid w:val="74681C20"/>
    <w:rsid w:val="747B1953"/>
    <w:rsid w:val="749649DF"/>
    <w:rsid w:val="749B3DA3"/>
    <w:rsid w:val="74A4534E"/>
    <w:rsid w:val="74B310ED"/>
    <w:rsid w:val="74DD2679"/>
    <w:rsid w:val="75134281"/>
    <w:rsid w:val="75173737"/>
    <w:rsid w:val="752177BE"/>
    <w:rsid w:val="752D41AD"/>
    <w:rsid w:val="754B57C9"/>
    <w:rsid w:val="75AA6994"/>
    <w:rsid w:val="75B568C3"/>
    <w:rsid w:val="75E80F45"/>
    <w:rsid w:val="75EE07C9"/>
    <w:rsid w:val="75F23E97"/>
    <w:rsid w:val="761F51CB"/>
    <w:rsid w:val="76247DDB"/>
    <w:rsid w:val="763224E5"/>
    <w:rsid w:val="76F23CED"/>
    <w:rsid w:val="77113F11"/>
    <w:rsid w:val="77156723"/>
    <w:rsid w:val="773724A9"/>
    <w:rsid w:val="77383B2B"/>
    <w:rsid w:val="777728A5"/>
    <w:rsid w:val="779F3BAA"/>
    <w:rsid w:val="77DA2823"/>
    <w:rsid w:val="78153E6C"/>
    <w:rsid w:val="78160310"/>
    <w:rsid w:val="781E10B3"/>
    <w:rsid w:val="786725D5"/>
    <w:rsid w:val="787C1781"/>
    <w:rsid w:val="787D3FB0"/>
    <w:rsid w:val="789E6CA5"/>
    <w:rsid w:val="7901764C"/>
    <w:rsid w:val="791A5BDE"/>
    <w:rsid w:val="79305402"/>
    <w:rsid w:val="79424349"/>
    <w:rsid w:val="796055BB"/>
    <w:rsid w:val="79B96755"/>
    <w:rsid w:val="79C615F8"/>
    <w:rsid w:val="79D264B9"/>
    <w:rsid w:val="79E47F9A"/>
    <w:rsid w:val="79EA1A55"/>
    <w:rsid w:val="79EE0E19"/>
    <w:rsid w:val="79FA618C"/>
    <w:rsid w:val="7A095AF6"/>
    <w:rsid w:val="7A1B7E60"/>
    <w:rsid w:val="7A1C1448"/>
    <w:rsid w:val="7A294414"/>
    <w:rsid w:val="7A326F58"/>
    <w:rsid w:val="7A364299"/>
    <w:rsid w:val="7A4D1EE3"/>
    <w:rsid w:val="7A7A3514"/>
    <w:rsid w:val="7A8D418E"/>
    <w:rsid w:val="7AA62AC6"/>
    <w:rsid w:val="7AE50A54"/>
    <w:rsid w:val="7B116B6D"/>
    <w:rsid w:val="7B117175"/>
    <w:rsid w:val="7B6138A5"/>
    <w:rsid w:val="7B66120D"/>
    <w:rsid w:val="7BC462D5"/>
    <w:rsid w:val="7BCB1412"/>
    <w:rsid w:val="7BD713FC"/>
    <w:rsid w:val="7C0C098C"/>
    <w:rsid w:val="7C277161"/>
    <w:rsid w:val="7C2F50E3"/>
    <w:rsid w:val="7C407DED"/>
    <w:rsid w:val="7C4952BD"/>
    <w:rsid w:val="7C6A0C2B"/>
    <w:rsid w:val="7C8A4E29"/>
    <w:rsid w:val="7CC85951"/>
    <w:rsid w:val="7CE7227B"/>
    <w:rsid w:val="7D015411"/>
    <w:rsid w:val="7D036989"/>
    <w:rsid w:val="7D142945"/>
    <w:rsid w:val="7D2703F4"/>
    <w:rsid w:val="7D272678"/>
    <w:rsid w:val="7D40373A"/>
    <w:rsid w:val="7D6A0A9E"/>
    <w:rsid w:val="7D6E3F1B"/>
    <w:rsid w:val="7D834AC8"/>
    <w:rsid w:val="7DCF0020"/>
    <w:rsid w:val="7DDE2FF4"/>
    <w:rsid w:val="7E386B07"/>
    <w:rsid w:val="7E527BC8"/>
    <w:rsid w:val="7E5603D1"/>
    <w:rsid w:val="7E830842"/>
    <w:rsid w:val="7E966CB8"/>
    <w:rsid w:val="7E98347C"/>
    <w:rsid w:val="7EA51C4F"/>
    <w:rsid w:val="7EAD4DFF"/>
    <w:rsid w:val="7EB22415"/>
    <w:rsid w:val="7EDB03A6"/>
    <w:rsid w:val="7EEA1BAF"/>
    <w:rsid w:val="7EF23159"/>
    <w:rsid w:val="7EF26CB5"/>
    <w:rsid w:val="7EF745E9"/>
    <w:rsid w:val="7EFC7B34"/>
    <w:rsid w:val="7EFD1A58"/>
    <w:rsid w:val="7F036053"/>
    <w:rsid w:val="7F5F07EF"/>
    <w:rsid w:val="7F5F635C"/>
    <w:rsid w:val="7FA65AF5"/>
    <w:rsid w:val="7FC140CD"/>
    <w:rsid w:val="7FCA6AE1"/>
    <w:rsid w:val="7FCB300F"/>
    <w:rsid w:val="7FCE14D1"/>
    <w:rsid w:val="7FD92A3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semiHidden="0"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99"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0"/>
    <w:pPr>
      <w:keepNext/>
      <w:keepLines/>
      <w:spacing w:line="480" w:lineRule="auto"/>
      <w:ind w:firstLine="0" w:firstLineChars="0"/>
      <w:jc w:val="center"/>
      <w:outlineLvl w:val="0"/>
    </w:pPr>
    <w:rPr>
      <w:b/>
      <w:kern w:val="44"/>
      <w:sz w:val="44"/>
    </w:rPr>
  </w:style>
  <w:style w:type="paragraph" w:styleId="4">
    <w:name w:val="heading 2"/>
    <w:basedOn w:val="1"/>
    <w:next w:val="1"/>
    <w:link w:val="2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6"/>
    <w:unhideWhenUsed/>
    <w:qFormat/>
    <w:uiPriority w:val="0"/>
    <w:pPr>
      <w:keepNext/>
      <w:keepLines/>
      <w:spacing w:before="260" w:after="260" w:line="413" w:lineRule="auto"/>
      <w:outlineLvl w:val="2"/>
    </w:pPr>
    <w:rPr>
      <w:b/>
    </w:rPr>
  </w:style>
  <w:style w:type="paragraph" w:styleId="7">
    <w:name w:val="heading 4"/>
    <w:basedOn w:val="1"/>
    <w:next w:val="1"/>
    <w:link w:val="26"/>
    <w:qFormat/>
    <w:uiPriority w:val="9"/>
    <w:pPr>
      <w:widowControl/>
      <w:spacing w:before="100" w:beforeAutospacing="1" w:after="100" w:afterAutospacing="1"/>
      <w:jc w:val="left"/>
      <w:outlineLvl w:val="3"/>
    </w:pPr>
    <w:rPr>
      <w:rFonts w:ascii="宋体" w:hAnsi="宋体" w:eastAsia="宋体" w:cs="宋体"/>
      <w:b/>
      <w:bCs/>
      <w:kern w:val="0"/>
      <w:sz w:val="24"/>
      <w:szCs w:val="24"/>
    </w:rPr>
  </w:style>
  <w:style w:type="character" w:default="1" w:styleId="20">
    <w:name w:val="Default Paragraph Font"/>
    <w:unhideWhenUsed/>
    <w:qFormat/>
    <w:uiPriority w:val="1"/>
  </w:style>
  <w:style w:type="table" w:default="1" w:styleId="18">
    <w:name w:val="Normal Table"/>
    <w:unhideWhenUsed/>
    <w:qFormat/>
    <w:uiPriority w:val="99"/>
    <w:tblPr>
      <w:tblCellMar>
        <w:top w:w="0" w:type="dxa"/>
        <w:left w:w="108" w:type="dxa"/>
        <w:bottom w:w="0" w:type="dxa"/>
        <w:right w:w="108" w:type="dxa"/>
      </w:tblCellMar>
    </w:tblPr>
  </w:style>
  <w:style w:type="paragraph" w:customStyle="1" w:styleId="2">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文档正文"/>
    <w:basedOn w:val="1"/>
    <w:qFormat/>
    <w:uiPriority w:val="0"/>
    <w:pPr>
      <w:ind w:firstLine="567"/>
    </w:pPr>
    <w:rPr>
      <w:rFonts w:ascii="长城仿宋" w:hAnsi="Times New Roman" w:eastAsia="长城仿宋" w:cs="Times New Roman"/>
      <w:sz w:val="28"/>
      <w:szCs w:val="20"/>
    </w:rPr>
  </w:style>
  <w:style w:type="paragraph" w:styleId="8">
    <w:name w:val="Body Text"/>
    <w:basedOn w:val="1"/>
    <w:next w:val="1"/>
    <w:qFormat/>
    <w:uiPriority w:val="0"/>
    <w:pPr>
      <w:spacing w:after="120"/>
    </w:pPr>
  </w:style>
  <w:style w:type="paragraph" w:styleId="9">
    <w:name w:val="Body Text Indent"/>
    <w:basedOn w:val="1"/>
    <w:next w:val="10"/>
    <w:unhideWhenUsed/>
    <w:qFormat/>
    <w:uiPriority w:val="99"/>
    <w:pPr>
      <w:spacing w:after="120"/>
      <w:ind w:left="420" w:leftChars="200"/>
    </w:pPr>
  </w:style>
  <w:style w:type="paragraph" w:styleId="10">
    <w:name w:val="envelope return"/>
    <w:basedOn w:val="1"/>
    <w:qFormat/>
    <w:uiPriority w:val="99"/>
    <w:pPr>
      <w:snapToGrid w:val="0"/>
    </w:pPr>
    <w:rPr>
      <w:rFonts w:ascii="Arial" w:hAnsi="Arial"/>
    </w:rPr>
  </w:style>
  <w:style w:type="paragraph" w:styleId="11">
    <w:name w:val="Date"/>
    <w:basedOn w:val="1"/>
    <w:next w:val="1"/>
    <w:link w:val="31"/>
    <w:unhideWhenUsed/>
    <w:qFormat/>
    <w:uiPriority w:val="99"/>
    <w:pPr>
      <w:ind w:left="100" w:leftChars="2500"/>
    </w:pPr>
  </w:style>
  <w:style w:type="paragraph" w:styleId="12">
    <w:name w:val="Balloon Text"/>
    <w:basedOn w:val="1"/>
    <w:link w:val="28"/>
    <w:unhideWhenUsed/>
    <w:qFormat/>
    <w:uiPriority w:val="99"/>
    <w:rPr>
      <w:sz w:val="18"/>
      <w:szCs w:val="18"/>
    </w:rPr>
  </w:style>
  <w:style w:type="paragraph" w:styleId="13">
    <w:name w:val="footer"/>
    <w:basedOn w:val="1"/>
    <w:link w:val="25"/>
    <w:unhideWhenUsed/>
    <w:qFormat/>
    <w:uiPriority w:val="99"/>
    <w:pPr>
      <w:tabs>
        <w:tab w:val="center" w:pos="4153"/>
        <w:tab w:val="right" w:pos="8306"/>
      </w:tabs>
      <w:snapToGrid w:val="0"/>
      <w:jc w:val="left"/>
    </w:pPr>
    <w:rPr>
      <w:sz w:val="18"/>
      <w:szCs w:val="18"/>
    </w:rPr>
  </w:style>
  <w:style w:type="paragraph" w:styleId="14">
    <w:name w:val="header"/>
    <w:basedOn w:val="1"/>
    <w:link w:val="24"/>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6">
    <w:name w:val="Body Text First Indent 2"/>
    <w:basedOn w:val="9"/>
    <w:next w:val="17"/>
    <w:unhideWhenUsed/>
    <w:qFormat/>
    <w:uiPriority w:val="99"/>
    <w:pPr>
      <w:ind w:firstLine="420" w:firstLineChars="200"/>
    </w:pPr>
  </w:style>
  <w:style w:type="paragraph" w:customStyle="1" w:styleId="17">
    <w:name w:val="List Paragraph"/>
    <w:basedOn w:val="1"/>
    <w:qFormat/>
    <w:uiPriority w:val="34"/>
    <w:pPr>
      <w:ind w:firstLine="420" w:firstLineChars="200"/>
    </w:pPr>
  </w:style>
  <w:style w:type="table" w:styleId="19">
    <w:name w:val="Table Grid"/>
    <w:basedOn w:val="18"/>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1">
    <w:name w:val="FollowedHyperlink"/>
    <w:basedOn w:val="20"/>
    <w:unhideWhenUsed/>
    <w:qFormat/>
    <w:uiPriority w:val="99"/>
    <w:rPr>
      <w:color w:val="800080"/>
      <w:u w:val="single"/>
    </w:rPr>
  </w:style>
  <w:style w:type="character" w:styleId="22">
    <w:name w:val="Hyperlink"/>
    <w:basedOn w:val="20"/>
    <w:unhideWhenUsed/>
    <w:qFormat/>
    <w:uiPriority w:val="99"/>
    <w:rPr>
      <w:color w:val="0000FF"/>
      <w:u w:val="single"/>
    </w:rPr>
  </w:style>
  <w:style w:type="paragraph" w:customStyle="1" w:styleId="23">
    <w:name w:val="段"/>
    <w:next w:val="1"/>
    <w:qFormat/>
    <w:uiPriority w:val="0"/>
    <w:pPr>
      <w:autoSpaceDE w:val="0"/>
      <w:autoSpaceDN w:val="0"/>
      <w:adjustRightInd w:val="0"/>
      <w:snapToGrid w:val="0"/>
      <w:spacing w:line="360" w:lineRule="auto"/>
      <w:ind w:firstLine="200" w:firstLineChars="200"/>
      <w:jc w:val="both"/>
    </w:pPr>
    <w:rPr>
      <w:rFonts w:ascii="宋体" w:hAnsi="Calibri" w:eastAsia="宋体" w:cs="Times New Roman"/>
      <w:sz w:val="24"/>
      <w:szCs w:val="22"/>
      <w:lang w:val="en-US" w:eastAsia="zh-CN" w:bidi="ar-SA"/>
    </w:rPr>
  </w:style>
  <w:style w:type="character" w:customStyle="1" w:styleId="24">
    <w:name w:val="页眉 Char"/>
    <w:basedOn w:val="20"/>
    <w:link w:val="14"/>
    <w:qFormat/>
    <w:uiPriority w:val="99"/>
    <w:rPr>
      <w:sz w:val="18"/>
      <w:szCs w:val="18"/>
    </w:rPr>
  </w:style>
  <w:style w:type="character" w:customStyle="1" w:styleId="25">
    <w:name w:val="页脚 Char"/>
    <w:basedOn w:val="20"/>
    <w:link w:val="13"/>
    <w:qFormat/>
    <w:uiPriority w:val="99"/>
    <w:rPr>
      <w:sz w:val="18"/>
      <w:szCs w:val="18"/>
    </w:rPr>
  </w:style>
  <w:style w:type="character" w:customStyle="1" w:styleId="26">
    <w:name w:val="标题 4 Char"/>
    <w:basedOn w:val="20"/>
    <w:link w:val="7"/>
    <w:qFormat/>
    <w:uiPriority w:val="9"/>
    <w:rPr>
      <w:rFonts w:ascii="宋体" w:hAnsi="宋体" w:eastAsia="宋体" w:cs="宋体"/>
      <w:b/>
      <w:bCs/>
      <w:kern w:val="0"/>
      <w:sz w:val="24"/>
      <w:szCs w:val="24"/>
    </w:rPr>
  </w:style>
  <w:style w:type="paragraph" w:customStyle="1" w:styleId="27">
    <w:name w:val="日期1"/>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28">
    <w:name w:val="批注框文本 Char"/>
    <w:basedOn w:val="20"/>
    <w:link w:val="12"/>
    <w:semiHidden/>
    <w:qFormat/>
    <w:uiPriority w:val="99"/>
    <w:rPr>
      <w:sz w:val="18"/>
      <w:szCs w:val="18"/>
    </w:rPr>
  </w:style>
  <w:style w:type="character" w:customStyle="1" w:styleId="29">
    <w:name w:val="标题 2 Char"/>
    <w:basedOn w:val="20"/>
    <w:link w:val="4"/>
    <w:qFormat/>
    <w:uiPriority w:val="9"/>
    <w:rPr>
      <w:rFonts w:asciiTheme="majorHAnsi" w:hAnsiTheme="majorHAnsi" w:eastAsiaTheme="majorEastAsia" w:cstheme="majorBidi"/>
      <w:b/>
      <w:bCs/>
      <w:sz w:val="32"/>
      <w:szCs w:val="32"/>
    </w:rPr>
  </w:style>
  <w:style w:type="character" w:customStyle="1" w:styleId="30">
    <w:name w:val="apple-converted-space"/>
    <w:basedOn w:val="20"/>
    <w:qFormat/>
    <w:uiPriority w:val="0"/>
  </w:style>
  <w:style w:type="character" w:customStyle="1" w:styleId="31">
    <w:name w:val="日期 Char"/>
    <w:basedOn w:val="20"/>
    <w:link w:val="11"/>
    <w:semiHidden/>
    <w:qFormat/>
    <w:uiPriority w:val="99"/>
  </w:style>
  <w:style w:type="character" w:customStyle="1" w:styleId="32">
    <w:name w:val="font11"/>
    <w:basedOn w:val="20"/>
    <w:qFormat/>
    <w:uiPriority w:val="0"/>
    <w:rPr>
      <w:rFonts w:hint="eastAsia" w:ascii="宋体" w:hAnsi="宋体" w:eastAsia="宋体" w:cs="宋体"/>
      <w:color w:val="000000"/>
      <w:sz w:val="22"/>
      <w:szCs w:val="22"/>
      <w:u w:val="none"/>
    </w:rPr>
  </w:style>
  <w:style w:type="paragraph" w:customStyle="1" w:styleId="33">
    <w:name w:val="表格"/>
    <w:basedOn w:val="1"/>
    <w:qFormat/>
    <w:uiPriority w:val="0"/>
    <w:pPr>
      <w:spacing w:line="400" w:lineRule="exact"/>
      <w:ind w:firstLine="0" w:firstLineChars="0"/>
      <w:jc w:val="center"/>
    </w:pPr>
    <w:rPr>
      <w:rFonts w:hint="eastAsia"/>
      <w:sz w:val="28"/>
    </w:rPr>
  </w:style>
  <w:style w:type="character" w:customStyle="1" w:styleId="34">
    <w:name w:val="font61"/>
    <w:basedOn w:val="20"/>
    <w:qFormat/>
    <w:uiPriority w:val="0"/>
    <w:rPr>
      <w:rFonts w:hint="eastAsia" w:ascii="宋体" w:hAnsi="宋体" w:eastAsia="宋体" w:cs="宋体"/>
      <w:color w:val="000000"/>
      <w:sz w:val="24"/>
      <w:szCs w:val="24"/>
      <w:u w:val="none"/>
    </w:rPr>
  </w:style>
  <w:style w:type="paragraph" w:customStyle="1" w:styleId="35">
    <w:name w:val="_Style 189"/>
    <w:basedOn w:val="1"/>
    <w:next w:val="17"/>
    <w:qFormat/>
    <w:uiPriority w:val="34"/>
    <w:pPr>
      <w:ind w:firstLine="420" w:firstLineChars="200"/>
    </w:pPr>
    <w:rPr>
      <w:sz w:val="28"/>
      <w:szCs w:val="24"/>
    </w:rPr>
  </w:style>
  <w:style w:type="paragraph" w:customStyle="1" w:styleId="36">
    <w:name w:val="表格文字"/>
    <w:basedOn w:val="1"/>
    <w:qFormat/>
    <w:uiPriority w:val="0"/>
    <w:pPr>
      <w:adjustRightInd w:val="0"/>
      <w:spacing w:line="360" w:lineRule="auto"/>
      <w:textAlignment w:val="baseline"/>
    </w:pPr>
    <w:rPr>
      <w:rFonts w:ascii="Arial" w:hAnsi="Arial" w:eastAsia="仿宋_GB2312"/>
      <w:kern w:val="0"/>
      <w:sz w:val="24"/>
      <w:szCs w:val="24"/>
    </w:rPr>
  </w:style>
  <w:style w:type="paragraph" w:customStyle="1" w:styleId="37">
    <w:name w:val="无间隔2"/>
    <w:qFormat/>
    <w:uiPriority w:val="1"/>
    <w:pPr>
      <w:widowControl w:val="0"/>
    </w:pPr>
    <w:rPr>
      <w:rFonts w:ascii="宋体" w:hAnsi="宋体" w:eastAsia="宋体" w:cstheme="minorBidi"/>
      <w:kern w:val="2"/>
      <w:sz w:val="24"/>
      <w:szCs w:val="22"/>
      <w:lang w:val="en-US" w:eastAsia="zh-CN" w:bidi="ar-SA"/>
    </w:rPr>
  </w:style>
  <w:style w:type="paragraph" w:customStyle="1" w:styleId="38">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D84D59-A1B7-424B-B0BD-5EB070232951}">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10</Pages>
  <Words>4447</Words>
  <Characters>4892</Characters>
  <Lines>4</Lines>
  <Paragraphs>1</Paragraphs>
  <TotalTime>4</TotalTime>
  <ScaleCrop>false</ScaleCrop>
  <LinksUpToDate>false</LinksUpToDate>
  <CharactersWithSpaces>5061</CharactersWithSpaces>
  <Application>WPS Office_11.8.2.11813_F1E327BC-269C-435d-A152-05C5408002CA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2017-05-19T17:02:00Z</dcterms:created>
  <dc:creator>GANGUO</dc:creator>
  <cp:lastModifiedBy>Administrator</cp:lastModifiedBy>
  <cp:lastPrinted>2024-08-12T04:01:00Z</cp:lastPrinted>
  <dcterms:modified xsi:type="dcterms:W3CDTF">2025-12-16T07:22:54Z</dcterms:modified>
  <cp:revision>1082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6DCC8EB78E174527ADA2C7407B7ECAB0</vt:lpwstr>
  </property>
  <property fmtid="{D5CDD505-2E9C-101B-9397-08002B2CF9AE}" pid="4" name="KSOTemplateDocerSaveRecord">
    <vt:lpwstr>eyJoZGlkIjoiOGM2NWJkNGRjYzBlZmVkNmMzYTliMmQ0NGQ2ZjdiNTciLCJ1c2VySWQiOiI0NzExMTc5ODIifQ==</vt:lpwstr>
  </property>
</Properties>
</file>