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ageBreakBefore w:val="0"/>
        <w:numPr>
          <w:numId w:val="0"/>
        </w:numPr>
        <w:kinsoku/>
        <w:wordWrap/>
        <w:overflowPunct/>
        <w:topLinePunct w:val="0"/>
        <w:autoSpaceDE/>
        <w:autoSpaceDN/>
        <w:bidi w:val="0"/>
        <w:snapToGrid/>
        <w:spacing w:before="0" w:beforeLines="0" w:after="0" w:afterLines="0" w:line="560" w:lineRule="exact"/>
        <w:ind w:left="0" w:leftChars="0"/>
        <w:jc w:val="center"/>
        <w:rPr>
          <w:rFonts w:hint="default" w:ascii="Times New Roman" w:hAnsi="Times New Roman" w:eastAsia="方正小标宋_GBK" w:cs="Times New Roman"/>
          <w:sz w:val="44"/>
          <w:szCs w:val="44"/>
          <w:lang w:val="en-US" w:eastAsia="zh-CN"/>
        </w:rPr>
      </w:pPr>
      <w:bookmarkStart w:id="0" w:name="_Toc25534"/>
      <w:bookmarkStart w:id="1" w:name="_Toc2693"/>
      <w:r>
        <w:rPr>
          <w:rFonts w:hint="default" w:ascii="Times New Roman" w:hAnsi="Times New Roman" w:eastAsia="方正小标宋_GBK" w:cs="Times New Roman"/>
          <w:sz w:val="44"/>
          <w:szCs w:val="44"/>
          <w:lang w:val="en-US" w:eastAsia="zh-CN"/>
        </w:rPr>
        <w:t>武汉组工网测试评估服务</w:t>
      </w:r>
      <w:bookmarkEnd w:id="0"/>
      <w:bookmarkEnd w:id="1"/>
      <w:r>
        <w:rPr>
          <w:rFonts w:hint="default" w:ascii="Times New Roman" w:hAnsi="Times New Roman" w:eastAsia="方正小标宋_GBK" w:cs="Times New Roman"/>
          <w:sz w:val="44"/>
          <w:szCs w:val="44"/>
          <w:lang w:val="en-US" w:eastAsia="zh-CN"/>
        </w:rPr>
        <w:t>项目</w:t>
      </w:r>
    </w:p>
    <w:p>
      <w:pPr>
        <w:pStyle w:val="5"/>
        <w:pageBreakBefore w:val="0"/>
        <w:numPr>
          <w:numId w:val="0"/>
        </w:numPr>
        <w:tabs>
          <w:tab w:val="left" w:pos="0"/>
          <w:tab w:val="clear" w:pos="420"/>
        </w:tabs>
        <w:kinsoku/>
        <w:wordWrap/>
        <w:overflowPunct/>
        <w:topLinePunct w:val="0"/>
        <w:autoSpaceDE/>
        <w:autoSpaceDN/>
        <w:bidi w:val="0"/>
        <w:adjustRightInd/>
        <w:snapToGrid/>
        <w:spacing w:before="0" w:after="0" w:line="560" w:lineRule="exact"/>
        <w:ind w:left="0" w:leftChars="0" w:firstLine="640" w:firstLineChars="200"/>
        <w:rPr>
          <w:rFonts w:hint="default" w:ascii="Times New Roman" w:hAnsi="Times New Roman" w:eastAsia="方正仿宋_GBK" w:cs="Times New Roman"/>
          <w:b w:val="0"/>
          <w:bCs/>
          <w:sz w:val="32"/>
          <w:szCs w:val="32"/>
          <w:lang w:val="en-US" w:eastAsia="zh-CN"/>
        </w:rPr>
      </w:pPr>
    </w:p>
    <w:p>
      <w:pPr>
        <w:pStyle w:val="5"/>
        <w:pageBreakBefore w:val="0"/>
        <w:numPr>
          <w:numId w:val="0"/>
        </w:numPr>
        <w:tabs>
          <w:tab w:val="left" w:pos="0"/>
          <w:tab w:val="clear" w:pos="420"/>
        </w:tabs>
        <w:kinsoku/>
        <w:wordWrap/>
        <w:overflowPunct/>
        <w:topLinePunct w:val="0"/>
        <w:autoSpaceDE/>
        <w:autoSpaceDN/>
        <w:bidi w:val="0"/>
        <w:adjustRightInd/>
        <w:snapToGrid/>
        <w:spacing w:before="0" w:after="0" w:line="560" w:lineRule="exact"/>
        <w:ind w:left="0" w:leftChars="0" w:firstLine="640" w:firstLineChars="200"/>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武汉组工网测试评估服务项目主要内容为：负责对武汉组工网开展网络安全等级保护三级测评、商用密码应用安全性评估，具体</w:t>
      </w:r>
      <w:r>
        <w:rPr>
          <w:rFonts w:hint="eastAsia" w:ascii="Times New Roman" w:hAnsi="Times New Roman" w:eastAsia="方正仿宋_GBK" w:cs="Times New Roman"/>
          <w:b w:val="0"/>
          <w:bCs/>
          <w:sz w:val="32"/>
          <w:szCs w:val="32"/>
          <w:lang w:val="en-US" w:eastAsia="zh-CN"/>
        </w:rPr>
        <w:t>内容</w:t>
      </w:r>
      <w:bookmarkStart w:id="2" w:name="_GoBack"/>
      <w:bookmarkEnd w:id="2"/>
      <w:r>
        <w:rPr>
          <w:rFonts w:hint="default" w:ascii="Times New Roman" w:hAnsi="Times New Roman" w:eastAsia="方正仿宋_GBK" w:cs="Times New Roman"/>
          <w:b w:val="0"/>
          <w:bCs/>
          <w:sz w:val="32"/>
          <w:szCs w:val="32"/>
          <w:lang w:val="en-US" w:eastAsia="zh-CN"/>
        </w:rPr>
        <w:t>如下：</w:t>
      </w:r>
    </w:p>
    <w:p>
      <w:pPr>
        <w:pStyle w:val="5"/>
        <w:pageBreakBefore w:val="0"/>
        <w:numPr>
          <w:numId w:val="0"/>
        </w:numPr>
        <w:tabs>
          <w:tab w:val="left" w:pos="0"/>
          <w:tab w:val="clear" w:pos="420"/>
        </w:tabs>
        <w:kinsoku/>
        <w:wordWrap/>
        <w:overflowPunct/>
        <w:topLinePunct w:val="0"/>
        <w:autoSpaceDE/>
        <w:autoSpaceDN/>
        <w:bidi w:val="0"/>
        <w:adjustRightInd/>
        <w:snapToGrid/>
        <w:spacing w:before="0" w:after="0" w:line="560" w:lineRule="exact"/>
        <w:ind w:left="0" w:leftChars="0" w:firstLine="643"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一、</w:t>
      </w:r>
      <w:r>
        <w:rPr>
          <w:rFonts w:hint="default" w:ascii="Times New Roman" w:hAnsi="Times New Roman" w:eastAsia="黑体" w:cs="Times New Roman"/>
          <w:sz w:val="32"/>
          <w:szCs w:val="32"/>
        </w:rPr>
        <w:t>网络安全等级保护测评服务</w:t>
      </w:r>
    </w:p>
    <w:p>
      <w:pPr>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按照《中华人民共和国网络安全法》要求“国家实行网络安全等级保护制度。网络运营者应当按照网络安全等级保护制度的要求，履行网络安全保护义务，保障网络免受干扰、破坏或者未经授权的访问，防止网络数据泄露或者被窃取、篡改。”以及《信息安全等级保护管理办法》的要求开展等级保护测评工作。</w:t>
      </w:r>
    </w:p>
    <w:p>
      <w:pPr>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主要包括以下</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个三级系统：</w:t>
      </w:r>
    </w:p>
    <w:tbl>
      <w:tblPr>
        <w:tblStyle w:val="21"/>
        <w:tblW w:w="6753" w:type="dxa"/>
        <w:jc w:val="center"/>
        <w:tblLayout w:type="fixed"/>
        <w:tblCellMar>
          <w:top w:w="15" w:type="dxa"/>
          <w:left w:w="15" w:type="dxa"/>
          <w:bottom w:w="15" w:type="dxa"/>
          <w:right w:w="15" w:type="dxa"/>
        </w:tblCellMar>
      </w:tblPr>
      <w:tblGrid>
        <w:gridCol w:w="950"/>
        <w:gridCol w:w="4790"/>
        <w:gridCol w:w="1013"/>
      </w:tblGrid>
      <w:tr>
        <w:tblPrEx>
          <w:tblCellMar>
            <w:top w:w="15" w:type="dxa"/>
            <w:left w:w="15" w:type="dxa"/>
            <w:bottom w:w="15" w:type="dxa"/>
            <w:right w:w="15" w:type="dxa"/>
          </w:tblCellMar>
        </w:tblPrEx>
        <w:trPr>
          <w:trHeight w:val="435"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tcPr>
          <w:p>
            <w:pPr>
              <w:pStyle w:val="30"/>
              <w:pageBreakBefore w:val="0"/>
              <w:kinsoku/>
              <w:wordWrap/>
              <w:overflowPunct/>
              <w:topLinePunct w:val="0"/>
              <w:autoSpaceDE/>
              <w:autoSpaceDN/>
              <w:bidi w:val="0"/>
              <w:adjustRightInd/>
              <w:snapToGrid/>
              <w:spacing w:line="560" w:lineRule="exact"/>
              <w:ind w:left="0"/>
              <w:rPr>
                <w:rFonts w:hint="eastAsia" w:ascii="黑体" w:hAnsi="黑体" w:eastAsia="黑体" w:cs="黑体"/>
                <w:sz w:val="32"/>
                <w:szCs w:val="32"/>
              </w:rPr>
            </w:pPr>
            <w:r>
              <w:rPr>
                <w:rFonts w:hint="eastAsia" w:ascii="黑体" w:hAnsi="黑体" w:eastAsia="黑体" w:cs="黑体"/>
                <w:sz w:val="32"/>
                <w:szCs w:val="32"/>
              </w:rPr>
              <w:t>序号</w:t>
            </w:r>
          </w:p>
        </w:tc>
        <w:tc>
          <w:tcPr>
            <w:tcW w:w="4790" w:type="dxa"/>
            <w:tcBorders>
              <w:top w:val="single" w:color="000000" w:sz="4" w:space="0"/>
              <w:left w:val="single" w:color="000000" w:sz="4" w:space="0"/>
              <w:bottom w:val="single" w:color="000000" w:sz="4" w:space="0"/>
              <w:right w:val="single" w:color="000000" w:sz="4" w:space="0"/>
            </w:tcBorders>
            <w:shd w:val="clear" w:color="auto" w:fill="auto"/>
          </w:tcPr>
          <w:p>
            <w:pPr>
              <w:pStyle w:val="30"/>
              <w:pageBreakBefore w:val="0"/>
              <w:kinsoku/>
              <w:wordWrap/>
              <w:overflowPunct/>
              <w:topLinePunct w:val="0"/>
              <w:autoSpaceDE/>
              <w:autoSpaceDN/>
              <w:bidi w:val="0"/>
              <w:adjustRightInd/>
              <w:snapToGrid/>
              <w:spacing w:line="560" w:lineRule="exact"/>
              <w:ind w:left="0"/>
              <w:rPr>
                <w:rFonts w:hint="eastAsia" w:ascii="黑体" w:hAnsi="黑体" w:eastAsia="黑体" w:cs="黑体"/>
                <w:sz w:val="32"/>
                <w:szCs w:val="32"/>
              </w:rPr>
            </w:pPr>
            <w:r>
              <w:rPr>
                <w:rFonts w:hint="eastAsia" w:ascii="黑体" w:hAnsi="黑体" w:eastAsia="黑体" w:cs="黑体"/>
                <w:sz w:val="32"/>
                <w:szCs w:val="32"/>
              </w:rPr>
              <w:t>系统名称</w:t>
            </w:r>
          </w:p>
        </w:tc>
        <w:tc>
          <w:tcPr>
            <w:tcW w:w="1013" w:type="dxa"/>
            <w:tcBorders>
              <w:top w:val="single" w:color="000000" w:sz="4" w:space="0"/>
              <w:left w:val="single" w:color="000000" w:sz="4" w:space="0"/>
              <w:bottom w:val="single" w:color="000000" w:sz="4" w:space="0"/>
              <w:right w:val="single" w:color="000000" w:sz="4" w:space="0"/>
            </w:tcBorders>
            <w:shd w:val="clear" w:color="auto" w:fill="auto"/>
          </w:tcPr>
          <w:p>
            <w:pPr>
              <w:pStyle w:val="30"/>
              <w:pageBreakBefore w:val="0"/>
              <w:kinsoku/>
              <w:wordWrap/>
              <w:overflowPunct/>
              <w:topLinePunct w:val="0"/>
              <w:autoSpaceDE/>
              <w:autoSpaceDN/>
              <w:bidi w:val="0"/>
              <w:adjustRightInd/>
              <w:snapToGrid/>
              <w:spacing w:line="560" w:lineRule="exact"/>
              <w:ind w:left="0"/>
              <w:rPr>
                <w:rFonts w:hint="eastAsia" w:ascii="黑体" w:hAnsi="黑体" w:eastAsia="黑体" w:cs="黑体"/>
                <w:sz w:val="32"/>
                <w:szCs w:val="32"/>
              </w:rPr>
            </w:pPr>
            <w:r>
              <w:rPr>
                <w:rFonts w:hint="eastAsia" w:ascii="黑体" w:hAnsi="黑体" w:eastAsia="黑体" w:cs="黑体"/>
                <w:sz w:val="32"/>
                <w:szCs w:val="32"/>
              </w:rPr>
              <w:t>备注</w:t>
            </w:r>
          </w:p>
        </w:tc>
      </w:tr>
      <w:tr>
        <w:tblPrEx>
          <w:tblCellMar>
            <w:top w:w="15" w:type="dxa"/>
            <w:left w:w="15" w:type="dxa"/>
            <w:bottom w:w="15" w:type="dxa"/>
            <w:right w:w="15" w:type="dxa"/>
          </w:tblCellMar>
        </w:tblPrEx>
        <w:trPr>
          <w:trHeight w:val="435"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0"/>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p>
        </w:tc>
        <w:tc>
          <w:tcPr>
            <w:tcW w:w="47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0"/>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武汉组工网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0"/>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三级</w:t>
            </w:r>
          </w:p>
        </w:tc>
      </w:tr>
    </w:tbl>
    <w:p>
      <w:pPr>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按照《GBT22239-2019 网络安全等级保护基本要求》和《GB/T28448-2019 网络安全等级保护测评要求》等标准规范要求，开展信息系统等级保护测评及整改指导工作。指导用户方按照等级保护技术标准完成网络安全整改，使被测评的信息系统达到等级保护相关要求。</w:t>
      </w:r>
    </w:p>
    <w:p>
      <w:pPr>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测评及整改范围为项目目标所涉及的基础网络环境、主机</w:t>
      </w:r>
      <w:r>
        <w:rPr>
          <w:rFonts w:hint="default" w:ascii="Times New Roman" w:hAnsi="Times New Roman" w:eastAsia="方正仿宋_GBK" w:cs="Times New Roman"/>
          <w:sz w:val="32"/>
          <w:szCs w:val="32"/>
          <w:lang w:eastAsia="zh-CN"/>
        </w:rPr>
        <w:t>层</w:t>
      </w:r>
      <w:r>
        <w:rPr>
          <w:rFonts w:hint="default" w:ascii="Times New Roman" w:hAnsi="Times New Roman" w:eastAsia="方正仿宋_GBK" w:cs="Times New Roman"/>
          <w:sz w:val="32"/>
          <w:szCs w:val="32"/>
        </w:rPr>
        <w:t>、应用层、数据库层及相关安全辅助设备与管理制度。服务目标为项目目标最终通过公安部门及相关部门的等级保护检查要求。</w:t>
      </w:r>
    </w:p>
    <w:p>
      <w:pPr>
        <w:pageBreakBefore w:val="0"/>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出具测评报告。</w:t>
      </w:r>
    </w:p>
    <w:p>
      <w:pPr>
        <w:pStyle w:val="5"/>
        <w:pageBreakBefore w:val="0"/>
        <w:numPr>
          <w:ilvl w:val="3"/>
          <w:numId w:val="0"/>
        </w:numPr>
        <w:tabs>
          <w:tab w:val="left" w:pos="0"/>
          <w:tab w:val="clear" w:pos="420"/>
        </w:tabs>
        <w:kinsoku/>
        <w:wordWrap/>
        <w:overflowPunct/>
        <w:topLinePunct w:val="0"/>
        <w:autoSpaceDE/>
        <w:autoSpaceDN/>
        <w:bidi w:val="0"/>
        <w:adjustRightInd/>
        <w:snapToGrid/>
        <w:spacing w:before="0" w:after="0" w:line="560" w:lineRule="exact"/>
        <w:ind w:left="0" w:leftChars="0" w:firstLine="643" w:firstLineChars="200"/>
        <w:rPr>
          <w:rFonts w:hint="default"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二、</w:t>
      </w:r>
      <w:r>
        <w:rPr>
          <w:rFonts w:hint="default" w:ascii="Times New Roman" w:hAnsi="Times New Roman" w:eastAsia="黑体" w:cs="Times New Roman"/>
          <w:sz w:val="32"/>
          <w:szCs w:val="32"/>
          <w:lang w:eastAsia="zh-CN"/>
        </w:rPr>
        <w:t>商用密码应用安全性评估工作内容</w:t>
      </w:r>
    </w:p>
    <w:p>
      <w:pPr>
        <w:pageBreakBefore w:val="0"/>
        <w:numPr>
          <w:ilvl w:val="0"/>
          <w:numId w:val="2"/>
        </w:numPr>
        <w:kinsoku/>
        <w:wordWrap/>
        <w:overflowPunct/>
        <w:topLinePunct w:val="0"/>
        <w:autoSpaceDE/>
        <w:autoSpaceDN/>
        <w:bidi w:val="0"/>
        <w:adjustRightInd/>
        <w:snapToGrid/>
        <w:spacing w:line="560" w:lineRule="exact"/>
        <w:ind w:left="0"/>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商用密码应用安全性评估</w:t>
      </w:r>
      <w:r>
        <w:rPr>
          <w:rFonts w:hint="default" w:ascii="Times New Roman" w:hAnsi="Times New Roman" w:eastAsia="方正仿宋_GBK" w:cs="Times New Roman"/>
          <w:sz w:val="32"/>
          <w:szCs w:val="32"/>
          <w:lang w:val="en-US" w:eastAsia="zh-CN"/>
        </w:rPr>
        <w:t>清单</w:t>
      </w:r>
    </w:p>
    <w:tbl>
      <w:tblPr>
        <w:tblStyle w:val="21"/>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040"/>
        <w:gridCol w:w="1560"/>
        <w:gridCol w:w="4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2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eastAsia" w:ascii="黑体" w:hAnsi="黑体" w:eastAsia="黑体" w:cs="黑体"/>
                <w:sz w:val="32"/>
                <w:szCs w:val="32"/>
              </w:rPr>
            </w:pPr>
            <w:r>
              <w:rPr>
                <w:rFonts w:hint="eastAsia" w:ascii="黑体" w:hAnsi="黑体" w:eastAsia="黑体" w:cs="黑体"/>
                <w:sz w:val="32"/>
                <w:szCs w:val="32"/>
              </w:rPr>
              <w:t>序号</w:t>
            </w:r>
          </w:p>
        </w:tc>
        <w:tc>
          <w:tcPr>
            <w:tcW w:w="204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eastAsia" w:ascii="黑体" w:hAnsi="黑体" w:eastAsia="黑体" w:cs="黑体"/>
                <w:sz w:val="32"/>
                <w:szCs w:val="32"/>
              </w:rPr>
            </w:pPr>
            <w:r>
              <w:rPr>
                <w:rFonts w:hint="eastAsia" w:ascii="黑体" w:hAnsi="黑体" w:eastAsia="黑体" w:cs="黑体"/>
                <w:sz w:val="32"/>
                <w:szCs w:val="32"/>
              </w:rPr>
              <w:t>项目名称</w:t>
            </w:r>
          </w:p>
        </w:tc>
        <w:tc>
          <w:tcPr>
            <w:tcW w:w="156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eastAsia" w:ascii="黑体" w:hAnsi="黑体" w:eastAsia="黑体" w:cs="黑体"/>
                <w:sz w:val="32"/>
                <w:szCs w:val="32"/>
              </w:rPr>
            </w:pPr>
            <w:r>
              <w:rPr>
                <w:rFonts w:hint="eastAsia" w:ascii="黑体" w:hAnsi="黑体" w:eastAsia="黑体" w:cs="黑体"/>
                <w:sz w:val="32"/>
                <w:szCs w:val="32"/>
              </w:rPr>
              <w:t>系统级别</w:t>
            </w:r>
          </w:p>
        </w:tc>
        <w:tc>
          <w:tcPr>
            <w:tcW w:w="414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eastAsia" w:ascii="黑体" w:hAnsi="黑体" w:eastAsia="黑体" w:cs="黑体"/>
                <w:sz w:val="32"/>
                <w:szCs w:val="32"/>
              </w:rPr>
            </w:pPr>
            <w:r>
              <w:rPr>
                <w:rFonts w:hint="eastAsia" w:ascii="黑体" w:hAnsi="黑体" w:eastAsia="黑体" w:cs="黑体"/>
                <w:sz w:val="32"/>
                <w:szCs w:val="32"/>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2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p>
        </w:tc>
        <w:tc>
          <w:tcPr>
            <w:tcW w:w="204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default" w:ascii="Times New Roman" w:hAnsi="Times New Roman" w:eastAsia="方正仿宋_GBK" w:cs="Times New Roman"/>
                <w:sz w:val="32"/>
                <w:szCs w:val="32"/>
                <w:highlight w:val="yellow"/>
                <w:lang w:eastAsia="zh-CN"/>
              </w:rPr>
            </w:pPr>
            <w:r>
              <w:rPr>
                <w:rFonts w:hint="default" w:ascii="Times New Roman" w:hAnsi="Times New Roman" w:eastAsia="方正仿宋_GBK" w:cs="Times New Roman"/>
                <w:sz w:val="32"/>
                <w:szCs w:val="32"/>
                <w:highlight w:val="none"/>
                <w:lang w:val="en-US" w:eastAsia="zh-CN"/>
              </w:rPr>
              <w:t>武汉组工网</w:t>
            </w:r>
          </w:p>
        </w:tc>
        <w:tc>
          <w:tcPr>
            <w:tcW w:w="156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三级</w:t>
            </w:r>
          </w:p>
        </w:tc>
        <w:tc>
          <w:tcPr>
            <w:tcW w:w="414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jc w:val="left"/>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28"/>
                <w:szCs w:val="28"/>
                <w:lang w:eastAsia="zh-CN"/>
              </w:rPr>
              <w:t>1.</w:t>
            </w:r>
            <w:r>
              <w:rPr>
                <w:rFonts w:hint="default" w:ascii="Times New Roman" w:hAnsi="Times New Roman" w:eastAsia="方正仿宋_GBK" w:cs="Times New Roman"/>
                <w:sz w:val="28"/>
                <w:szCs w:val="28"/>
              </w:rPr>
              <w:t>对</w:t>
            </w:r>
            <w:r>
              <w:rPr>
                <w:rFonts w:hint="default" w:ascii="Times New Roman" w:hAnsi="Times New Roman" w:eastAsia="方正仿宋_GBK" w:cs="Times New Roman"/>
                <w:sz w:val="28"/>
                <w:szCs w:val="28"/>
                <w:lang w:val="en-US" w:eastAsia="zh-CN"/>
              </w:rPr>
              <w:t>武汉市委组织部</w:t>
            </w:r>
            <w:r>
              <w:rPr>
                <w:rFonts w:hint="default" w:ascii="Times New Roman" w:hAnsi="Times New Roman" w:eastAsia="方正仿宋_GBK" w:cs="Times New Roman"/>
                <w:sz w:val="28"/>
                <w:szCs w:val="28"/>
              </w:rPr>
              <w:t>信息系统商用密码应用与安全性提供咨询服务</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br w:type="textWrapping"/>
            </w:r>
            <w:r>
              <w:rPr>
                <w:rFonts w:hint="default" w:ascii="Times New Roman" w:hAnsi="Times New Roman" w:eastAsia="方正仿宋_GBK" w:cs="Times New Roman"/>
                <w:sz w:val="28"/>
                <w:szCs w:val="28"/>
              </w:rPr>
              <w:t>2 对</w:t>
            </w:r>
            <w:r>
              <w:rPr>
                <w:rFonts w:hint="default" w:ascii="Times New Roman" w:hAnsi="Times New Roman" w:eastAsia="方正仿宋_GBK" w:cs="Times New Roman"/>
                <w:sz w:val="28"/>
                <w:szCs w:val="28"/>
                <w:lang w:val="en-US" w:eastAsia="zh-CN"/>
              </w:rPr>
              <w:t>武汉市委组织部</w:t>
            </w:r>
            <w:r>
              <w:rPr>
                <w:rFonts w:hint="default" w:ascii="Times New Roman" w:hAnsi="Times New Roman" w:eastAsia="方正仿宋_GBK" w:cs="Times New Roman"/>
                <w:sz w:val="28"/>
                <w:szCs w:val="28"/>
              </w:rPr>
              <w:t>建设的项目所包含的信息系统商用密码应用方案进行评估</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各信息系统按项目实际情况进行划分</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rPr>
              <w:br w:type="textWrapping"/>
            </w:r>
            <w:r>
              <w:rPr>
                <w:rFonts w:hint="default" w:ascii="Times New Roman" w:hAnsi="Times New Roman" w:eastAsia="方正仿宋_GBK" w:cs="Times New Roman"/>
                <w:sz w:val="28"/>
                <w:szCs w:val="28"/>
              </w:rPr>
              <w:t>3、指导</w:t>
            </w:r>
            <w:r>
              <w:rPr>
                <w:rFonts w:hint="default" w:ascii="Times New Roman" w:hAnsi="Times New Roman" w:eastAsia="方正仿宋_GBK" w:cs="Times New Roman"/>
                <w:sz w:val="28"/>
                <w:szCs w:val="28"/>
                <w:lang w:val="en-US" w:eastAsia="zh-CN"/>
              </w:rPr>
              <w:t>武汉市委组织部</w:t>
            </w:r>
            <w:r>
              <w:rPr>
                <w:rFonts w:hint="default" w:ascii="Times New Roman" w:hAnsi="Times New Roman" w:eastAsia="方正仿宋_GBK" w:cs="Times New Roman"/>
                <w:sz w:val="28"/>
                <w:szCs w:val="28"/>
              </w:rPr>
              <w:t>按照密码应用与安全方案进行密码建设或改造</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br w:type="textWrapping"/>
            </w:r>
            <w:r>
              <w:rPr>
                <w:rFonts w:hint="default" w:ascii="Times New Roman" w:hAnsi="Times New Roman" w:eastAsia="方正仿宋_GBK" w:cs="Times New Roman"/>
                <w:sz w:val="28"/>
                <w:szCs w:val="28"/>
              </w:rPr>
              <w:t>4 对被评估的信息系统进行密码应用与安全性评估，并出具合格的密码应用与安全性评估报告。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020" w:type="dxa"/>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服务</w:t>
            </w:r>
          </w:p>
          <w:p>
            <w:pPr>
              <w:pStyle w:val="30"/>
              <w:keepNext w:val="0"/>
              <w:keepLines w:val="0"/>
              <w:pageBreakBefore w:val="0"/>
              <w:widowControl/>
              <w:kinsoku/>
              <w:wordWrap/>
              <w:overflowPunct/>
              <w:topLinePunct w:val="0"/>
              <w:autoSpaceDE/>
              <w:autoSpaceDN/>
              <w:bidi w:val="0"/>
              <w:adjustRightInd/>
              <w:snapToGrid/>
              <w:spacing w:line="400" w:lineRule="exact"/>
              <w:ind w:left="0"/>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期限</w:t>
            </w:r>
          </w:p>
        </w:tc>
        <w:tc>
          <w:tcPr>
            <w:tcW w:w="7740" w:type="dxa"/>
            <w:gridSpan w:val="3"/>
            <w:shd w:val="clear" w:color="auto" w:fill="auto"/>
            <w:vAlign w:val="center"/>
          </w:tcPr>
          <w:p>
            <w:pPr>
              <w:pStyle w:val="30"/>
              <w:keepNext w:val="0"/>
              <w:keepLines w:val="0"/>
              <w:pageBreakBefore w:val="0"/>
              <w:widowControl/>
              <w:kinsoku/>
              <w:wordWrap/>
              <w:overflowPunct/>
              <w:topLinePunct w:val="0"/>
              <w:autoSpaceDE/>
              <w:autoSpaceDN/>
              <w:bidi w:val="0"/>
              <w:adjustRightInd/>
              <w:snapToGrid/>
              <w:spacing w:line="400" w:lineRule="exact"/>
              <w:ind w:left="0"/>
              <w:jc w:val="left"/>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28"/>
                <w:szCs w:val="28"/>
              </w:rPr>
              <w:t>合同签订、具备进场条件后，</w:t>
            </w:r>
            <w:r>
              <w:rPr>
                <w:rFonts w:hint="default" w:ascii="Times New Roman" w:hAnsi="Times New Roman" w:eastAsia="方正仿宋_GBK" w:cs="Times New Roman"/>
                <w:sz w:val="28"/>
                <w:szCs w:val="28"/>
                <w:lang w:val="en-US" w:eastAsia="zh-CN"/>
              </w:rPr>
              <w:t>相关</w:t>
            </w:r>
            <w:r>
              <w:rPr>
                <w:rFonts w:hint="default" w:ascii="Times New Roman" w:hAnsi="Times New Roman" w:eastAsia="方正仿宋_GBK" w:cs="Times New Roman"/>
                <w:sz w:val="28"/>
                <w:szCs w:val="28"/>
              </w:rPr>
              <w:t>子项目的信息系统须在30个工作日内完成整个评估工作</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不计建设整改时间</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w:t>
            </w:r>
          </w:p>
        </w:tc>
      </w:tr>
    </w:tbl>
    <w:p>
      <w:pPr>
        <w:keepNext w:val="0"/>
        <w:keepLines w:val="0"/>
        <w:pageBreakBefore w:val="0"/>
        <w:widowControl w:val="0"/>
        <w:kinsoku/>
        <w:wordWrap/>
        <w:overflowPunct/>
        <w:topLinePunct w:val="0"/>
        <w:autoSpaceDE/>
        <w:autoSpaceDN/>
        <w:bidi w:val="0"/>
        <w:adjustRightInd/>
        <w:snapToGrid/>
        <w:spacing w:line="560" w:lineRule="exact"/>
        <w:ind w:left="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评估内容</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根据《信息安全技术 信息系统密码应用基本要求GB/T39786-2021》政务信息系统密码应用与安全性评估工作指南</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2020版</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等相关技术标准要求，对被测信息系统开展商用密码应用安全性评估，为</w:t>
      </w:r>
      <w:r>
        <w:rPr>
          <w:rFonts w:hint="default" w:ascii="Times New Roman" w:hAnsi="Times New Roman" w:eastAsia="方正仿宋_GBK" w:cs="Times New Roman"/>
          <w:sz w:val="32"/>
          <w:szCs w:val="32"/>
          <w:lang w:val="en-US" w:eastAsia="zh-CN"/>
        </w:rPr>
        <w:t>武汉市委组织部</w:t>
      </w:r>
      <w:r>
        <w:rPr>
          <w:rFonts w:hint="default" w:ascii="Times New Roman" w:hAnsi="Times New Roman" w:eastAsia="方正仿宋_GBK" w:cs="Times New Roman"/>
          <w:sz w:val="32"/>
          <w:szCs w:val="32"/>
        </w:rPr>
        <w:t>开展密码应用方案设计提供技术咨询，并对方案的合规性、正确性、有效性进行评估。</w:t>
      </w:r>
    </w:p>
    <w:p>
      <w:pPr>
        <w:keepNext w:val="0"/>
        <w:keepLines w:val="0"/>
        <w:pageBreakBefore w:val="0"/>
        <w:widowControl w:val="0"/>
        <w:kinsoku/>
        <w:wordWrap/>
        <w:overflowPunct/>
        <w:topLinePunct w:val="0"/>
        <w:autoSpaceDE/>
        <w:autoSpaceDN/>
        <w:bidi w:val="0"/>
        <w:adjustRightInd/>
        <w:snapToGrid/>
        <w:spacing w:line="560" w:lineRule="exact"/>
        <w:ind w:left="0"/>
        <w:textAlignment w:val="auto"/>
        <w:rPr>
          <w:rFonts w:hint="default" w:ascii="Times New Roman" w:hAnsi="Times New Roman" w:cs="Times New Roman"/>
          <w:highlight w:val="none"/>
        </w:rPr>
      </w:pPr>
      <w:r>
        <w:rPr>
          <w:rFonts w:hint="default" w:ascii="Times New Roman" w:hAnsi="Times New Roman" w:eastAsia="方正仿宋_GBK" w:cs="Times New Roman"/>
          <w:sz w:val="32"/>
          <w:szCs w:val="32"/>
          <w:lang w:val="en-US" w:eastAsia="zh-CN"/>
        </w:rPr>
        <w:t>出具测评报告。</w:t>
      </w: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1"/>
    <w:family w:val="auto"/>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F1A885"/>
    <w:multiLevelType w:val="singleLevel"/>
    <w:tmpl w:val="8DF1A885"/>
    <w:lvl w:ilvl="0" w:tentative="0">
      <w:start w:val="1"/>
      <w:numFmt w:val="bullet"/>
      <w:lvlText w:val=""/>
      <w:lvlJc w:val="left"/>
      <w:pPr>
        <w:ind w:left="420" w:hanging="420"/>
      </w:pPr>
      <w:rPr>
        <w:rFonts w:hint="default" w:ascii="Wingdings" w:hAnsi="Wingdings"/>
      </w:rPr>
    </w:lvl>
  </w:abstractNum>
  <w:abstractNum w:abstractNumId="1">
    <w:nsid w:val="70B6AFB9"/>
    <w:multiLevelType w:val="multilevel"/>
    <w:tmpl w:val="70B6AFB9"/>
    <w:lvl w:ilvl="0" w:tentative="0">
      <w:start w:val="1"/>
      <w:numFmt w:val="chineseCounting"/>
      <w:pStyle w:val="2"/>
      <w:suff w:val="nothing"/>
      <w:lvlText w:val="第%1章 "/>
      <w:lvlJc w:val="left"/>
      <w:pPr>
        <w:ind w:left="432" w:hanging="432"/>
      </w:pPr>
      <w:rPr>
        <w:rFonts w:hint="eastAsia"/>
      </w:rPr>
    </w:lvl>
    <w:lvl w:ilvl="1" w:tentative="0">
      <w:start w:val="1"/>
      <w:numFmt w:val="decimal"/>
      <w:pStyle w:val="3"/>
      <w:isLgl/>
      <w:lvlText w:val="%1.%2."/>
      <w:lvlJc w:val="left"/>
      <w:pPr>
        <w:ind w:left="575" w:hanging="575"/>
      </w:pPr>
      <w:rPr>
        <w:rFonts w:hint="default"/>
        <w:b/>
        <w:bCs/>
      </w:rPr>
    </w:lvl>
    <w:lvl w:ilvl="2" w:tentative="0">
      <w:start w:val="1"/>
      <w:numFmt w:val="decimal"/>
      <w:pStyle w:val="4"/>
      <w:isLgl/>
      <w:lvlText w:val="%1.%2.%3."/>
      <w:lvlJc w:val="left"/>
      <w:pPr>
        <w:ind w:left="720" w:hanging="720"/>
      </w:pPr>
      <w:rPr>
        <w:rFonts w:hint="default" w:ascii="宋体" w:hAnsi="宋体" w:eastAsia="宋体" w:cs="宋体"/>
        <w:b/>
        <w:bCs/>
        <w:sz w:val="30"/>
        <w:szCs w:val="30"/>
      </w:rPr>
    </w:lvl>
    <w:lvl w:ilvl="3" w:tentative="0">
      <w:start w:val="1"/>
      <w:numFmt w:val="decimal"/>
      <w:pStyle w:val="5"/>
      <w:isLgl/>
      <w:lvlText w:val="%1.%2.%3.%4."/>
      <w:lvlJc w:val="left"/>
      <w:pPr>
        <w:ind w:left="864" w:hanging="864"/>
      </w:pPr>
      <w:rPr>
        <w:rFonts w:hint="default" w:ascii="宋体" w:hAnsi="宋体" w:cs="宋体"/>
      </w:rPr>
    </w:lvl>
    <w:lvl w:ilvl="4" w:tentative="0">
      <w:start w:val="1"/>
      <w:numFmt w:val="decimal"/>
      <w:pStyle w:val="6"/>
      <w:isLgl/>
      <w:lvlText w:val="%1.%2.%3.%4.%5."/>
      <w:lvlJc w:val="left"/>
      <w:pPr>
        <w:ind w:left="1008" w:hanging="1008"/>
      </w:pPr>
      <w:rPr>
        <w:rFonts w:hint="default" w:ascii="宋体" w:hAnsi="宋体" w:cs="宋体"/>
      </w:rPr>
    </w:lvl>
    <w:lvl w:ilvl="5" w:tentative="0">
      <w:start w:val="1"/>
      <w:numFmt w:val="decimal"/>
      <w:pStyle w:val="7"/>
      <w:isLgl/>
      <w:lvlText w:val="%1.%2.%3.%4.%5.%6."/>
      <w:lvlJc w:val="left"/>
      <w:pPr>
        <w:ind w:left="1151" w:hanging="1151"/>
      </w:pPr>
      <w:rPr>
        <w:rFonts w:hint="eastAsia"/>
      </w:rPr>
    </w:lvl>
    <w:lvl w:ilvl="6" w:tentative="0">
      <w:start w:val="1"/>
      <w:numFmt w:val="decimal"/>
      <w:pStyle w:val="9"/>
      <w:isLgl/>
      <w:lvlText w:val="%1.%2.%3.%4.%5.%6.%7."/>
      <w:lvlJc w:val="left"/>
      <w:pPr>
        <w:ind w:left="1296" w:hanging="1296"/>
      </w:pPr>
      <w:rPr>
        <w:rFonts w:hint="eastAsia"/>
      </w:rPr>
    </w:lvl>
    <w:lvl w:ilvl="7" w:tentative="0">
      <w:start w:val="1"/>
      <w:numFmt w:val="decimal"/>
      <w:pStyle w:val="10"/>
      <w:isLgl/>
      <w:lvlText w:val="%1.%2.%3.%4.%5.%6.%7.%8."/>
      <w:lvlJc w:val="left"/>
      <w:pPr>
        <w:ind w:left="1440" w:hanging="1440"/>
      </w:pPr>
      <w:rPr>
        <w:rFonts w:hint="eastAsia"/>
      </w:rPr>
    </w:lvl>
    <w:lvl w:ilvl="8" w:tentative="0">
      <w:start w:val="1"/>
      <w:numFmt w:val="decimal"/>
      <w:pStyle w:val="11"/>
      <w:isLg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4MWM0NzVkZDYxYzQ2NDVkZjRjOWJiY2MzNDM5M2MifQ=="/>
  </w:docVars>
  <w:rsids>
    <w:rsidRoot w:val="00000000"/>
    <w:rsid w:val="00A42113"/>
    <w:rsid w:val="014566AE"/>
    <w:rsid w:val="024353D9"/>
    <w:rsid w:val="02E84862"/>
    <w:rsid w:val="040717F1"/>
    <w:rsid w:val="042B670C"/>
    <w:rsid w:val="04B70B15"/>
    <w:rsid w:val="04C8450A"/>
    <w:rsid w:val="05993160"/>
    <w:rsid w:val="0627613E"/>
    <w:rsid w:val="06552A1F"/>
    <w:rsid w:val="06DA5033"/>
    <w:rsid w:val="07EA4815"/>
    <w:rsid w:val="087D7C89"/>
    <w:rsid w:val="091F2C52"/>
    <w:rsid w:val="09F76A38"/>
    <w:rsid w:val="0AE85031"/>
    <w:rsid w:val="0B2558F5"/>
    <w:rsid w:val="0B2D74C3"/>
    <w:rsid w:val="0B7D3DAB"/>
    <w:rsid w:val="0B852C7E"/>
    <w:rsid w:val="0B964576"/>
    <w:rsid w:val="0C943AA2"/>
    <w:rsid w:val="0CB2285E"/>
    <w:rsid w:val="0CC238F3"/>
    <w:rsid w:val="0CDD23B7"/>
    <w:rsid w:val="0D1F6D99"/>
    <w:rsid w:val="0DB3454E"/>
    <w:rsid w:val="0DDF610A"/>
    <w:rsid w:val="0E9E3FF9"/>
    <w:rsid w:val="0F2C0B88"/>
    <w:rsid w:val="0F8A3005"/>
    <w:rsid w:val="0FC90F67"/>
    <w:rsid w:val="10573BFE"/>
    <w:rsid w:val="107B2A08"/>
    <w:rsid w:val="10907E3C"/>
    <w:rsid w:val="11053D61"/>
    <w:rsid w:val="137147E4"/>
    <w:rsid w:val="13C45135"/>
    <w:rsid w:val="14410457"/>
    <w:rsid w:val="144620E5"/>
    <w:rsid w:val="1517120E"/>
    <w:rsid w:val="15BB7061"/>
    <w:rsid w:val="16B24A25"/>
    <w:rsid w:val="17D27A3C"/>
    <w:rsid w:val="198E47B0"/>
    <w:rsid w:val="1A0064B3"/>
    <w:rsid w:val="1AFF658A"/>
    <w:rsid w:val="1B2A2D6E"/>
    <w:rsid w:val="1BFA7574"/>
    <w:rsid w:val="1C8242EF"/>
    <w:rsid w:val="1D4339EF"/>
    <w:rsid w:val="1DA54334"/>
    <w:rsid w:val="1DD4417A"/>
    <w:rsid w:val="1E385F66"/>
    <w:rsid w:val="1E5721C5"/>
    <w:rsid w:val="1E7B061E"/>
    <w:rsid w:val="1EFC7A9B"/>
    <w:rsid w:val="212426DC"/>
    <w:rsid w:val="212B7E50"/>
    <w:rsid w:val="22EC0053"/>
    <w:rsid w:val="23672FA4"/>
    <w:rsid w:val="24017860"/>
    <w:rsid w:val="2440158F"/>
    <w:rsid w:val="246E0597"/>
    <w:rsid w:val="259A76AA"/>
    <w:rsid w:val="2613556B"/>
    <w:rsid w:val="26220047"/>
    <w:rsid w:val="26F43E1A"/>
    <w:rsid w:val="270C3606"/>
    <w:rsid w:val="27466D60"/>
    <w:rsid w:val="2788052B"/>
    <w:rsid w:val="279F1E25"/>
    <w:rsid w:val="289B186E"/>
    <w:rsid w:val="296737C9"/>
    <w:rsid w:val="29986BBB"/>
    <w:rsid w:val="2A0E77CD"/>
    <w:rsid w:val="2A3D378A"/>
    <w:rsid w:val="2AFB6083"/>
    <w:rsid w:val="2E0C1ACC"/>
    <w:rsid w:val="2E514587"/>
    <w:rsid w:val="2F5859F1"/>
    <w:rsid w:val="30085E33"/>
    <w:rsid w:val="30093627"/>
    <w:rsid w:val="3016395D"/>
    <w:rsid w:val="309145AF"/>
    <w:rsid w:val="30F010D9"/>
    <w:rsid w:val="31EE55B2"/>
    <w:rsid w:val="32C50401"/>
    <w:rsid w:val="32CD0BF6"/>
    <w:rsid w:val="331B249D"/>
    <w:rsid w:val="331B2501"/>
    <w:rsid w:val="34217C15"/>
    <w:rsid w:val="34651DDD"/>
    <w:rsid w:val="353D1DFA"/>
    <w:rsid w:val="354526BB"/>
    <w:rsid w:val="35C72DF0"/>
    <w:rsid w:val="35C83466"/>
    <w:rsid w:val="3677289E"/>
    <w:rsid w:val="367E4B73"/>
    <w:rsid w:val="36E925CF"/>
    <w:rsid w:val="374A6305"/>
    <w:rsid w:val="37644201"/>
    <w:rsid w:val="37CE7F06"/>
    <w:rsid w:val="38976A3F"/>
    <w:rsid w:val="38C515C1"/>
    <w:rsid w:val="39A608F8"/>
    <w:rsid w:val="39AE475E"/>
    <w:rsid w:val="39F10D49"/>
    <w:rsid w:val="3A7E7446"/>
    <w:rsid w:val="3B9418CC"/>
    <w:rsid w:val="3BB90137"/>
    <w:rsid w:val="3CE672F7"/>
    <w:rsid w:val="3D0437AA"/>
    <w:rsid w:val="3E3A0475"/>
    <w:rsid w:val="3F3560AE"/>
    <w:rsid w:val="40664976"/>
    <w:rsid w:val="422A3CAB"/>
    <w:rsid w:val="42D5006C"/>
    <w:rsid w:val="42FE2D1C"/>
    <w:rsid w:val="43A90996"/>
    <w:rsid w:val="4491756A"/>
    <w:rsid w:val="44A94F91"/>
    <w:rsid w:val="44B44320"/>
    <w:rsid w:val="451C5FD6"/>
    <w:rsid w:val="4522772B"/>
    <w:rsid w:val="45AB65AC"/>
    <w:rsid w:val="45B558FF"/>
    <w:rsid w:val="46DD6586"/>
    <w:rsid w:val="47DF3047"/>
    <w:rsid w:val="4866360B"/>
    <w:rsid w:val="48E22F4E"/>
    <w:rsid w:val="497E11E9"/>
    <w:rsid w:val="4A0810B0"/>
    <w:rsid w:val="4A4911D9"/>
    <w:rsid w:val="4C0E0021"/>
    <w:rsid w:val="4D067F91"/>
    <w:rsid w:val="4DF264BC"/>
    <w:rsid w:val="4E902580"/>
    <w:rsid w:val="4F0B3665"/>
    <w:rsid w:val="504D439B"/>
    <w:rsid w:val="505D608D"/>
    <w:rsid w:val="50A42BB5"/>
    <w:rsid w:val="51030798"/>
    <w:rsid w:val="51353D9E"/>
    <w:rsid w:val="51441DC7"/>
    <w:rsid w:val="514C4126"/>
    <w:rsid w:val="51545F9F"/>
    <w:rsid w:val="516415A6"/>
    <w:rsid w:val="52A24A4A"/>
    <w:rsid w:val="53F24E38"/>
    <w:rsid w:val="547F5F06"/>
    <w:rsid w:val="549134D0"/>
    <w:rsid w:val="55382967"/>
    <w:rsid w:val="5588089A"/>
    <w:rsid w:val="58332BB7"/>
    <w:rsid w:val="592F6B22"/>
    <w:rsid w:val="5A0B5CC4"/>
    <w:rsid w:val="5A7B575D"/>
    <w:rsid w:val="5B364416"/>
    <w:rsid w:val="5C2A0BAB"/>
    <w:rsid w:val="5C4334E5"/>
    <w:rsid w:val="5DDD2423"/>
    <w:rsid w:val="5DEB5DED"/>
    <w:rsid w:val="5E32041C"/>
    <w:rsid w:val="5E544750"/>
    <w:rsid w:val="5F45740B"/>
    <w:rsid w:val="5F7F7BD0"/>
    <w:rsid w:val="5FEA4491"/>
    <w:rsid w:val="60DC07FA"/>
    <w:rsid w:val="61605B79"/>
    <w:rsid w:val="61AD4CAF"/>
    <w:rsid w:val="61D95E6C"/>
    <w:rsid w:val="63862571"/>
    <w:rsid w:val="63C81D2A"/>
    <w:rsid w:val="63F5672D"/>
    <w:rsid w:val="64073749"/>
    <w:rsid w:val="641D7C1B"/>
    <w:rsid w:val="647E634E"/>
    <w:rsid w:val="64D548CC"/>
    <w:rsid w:val="651F34D1"/>
    <w:rsid w:val="65D1050C"/>
    <w:rsid w:val="661865AF"/>
    <w:rsid w:val="66C15A52"/>
    <w:rsid w:val="66E96FEC"/>
    <w:rsid w:val="67105575"/>
    <w:rsid w:val="67D440B3"/>
    <w:rsid w:val="67DB60FE"/>
    <w:rsid w:val="682C7A3B"/>
    <w:rsid w:val="698D42BF"/>
    <w:rsid w:val="6A2D536A"/>
    <w:rsid w:val="6ADE2C94"/>
    <w:rsid w:val="6AF64929"/>
    <w:rsid w:val="6BCC7B2E"/>
    <w:rsid w:val="6BFF41B3"/>
    <w:rsid w:val="6CCE1C9C"/>
    <w:rsid w:val="6D036DE1"/>
    <w:rsid w:val="6EFF211D"/>
    <w:rsid w:val="6F700AB6"/>
    <w:rsid w:val="70191FEC"/>
    <w:rsid w:val="707A66AB"/>
    <w:rsid w:val="709768F2"/>
    <w:rsid w:val="7105369E"/>
    <w:rsid w:val="7190569C"/>
    <w:rsid w:val="719824FB"/>
    <w:rsid w:val="73D92821"/>
    <w:rsid w:val="7417771F"/>
    <w:rsid w:val="74CF2A74"/>
    <w:rsid w:val="760A0894"/>
    <w:rsid w:val="771D13E7"/>
    <w:rsid w:val="776E5A2A"/>
    <w:rsid w:val="779E4EF1"/>
    <w:rsid w:val="78212F4F"/>
    <w:rsid w:val="79600460"/>
    <w:rsid w:val="799041EF"/>
    <w:rsid w:val="7A705332"/>
    <w:rsid w:val="7AB05882"/>
    <w:rsid w:val="7AEA4B0F"/>
    <w:rsid w:val="7B2535CE"/>
    <w:rsid w:val="7B254385"/>
    <w:rsid w:val="7B5D2468"/>
    <w:rsid w:val="7B8E48F5"/>
    <w:rsid w:val="7BC06977"/>
    <w:rsid w:val="7C4A27F4"/>
    <w:rsid w:val="7D250E23"/>
    <w:rsid w:val="7D4C36C5"/>
    <w:rsid w:val="7D4D78A1"/>
    <w:rsid w:val="7D85227D"/>
    <w:rsid w:val="7DC3060A"/>
    <w:rsid w:val="7E806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560" w:firstLineChars="200"/>
      <w:jc w:val="left"/>
    </w:pPr>
    <w:rPr>
      <w:rFonts w:eastAsia="宋体" w:asciiTheme="minorAscii" w:hAnsiTheme="minorAscii" w:cstheme="minorBidi"/>
      <w:kern w:val="2"/>
      <w:sz w:val="24"/>
      <w:szCs w:val="24"/>
      <w:lang w:val="en-US" w:eastAsia="zh-CN" w:bidi="ar-SA"/>
    </w:rPr>
  </w:style>
  <w:style w:type="paragraph" w:styleId="2">
    <w:name w:val="heading 1"/>
    <w:basedOn w:val="1"/>
    <w:next w:val="1"/>
    <w:link w:val="26"/>
    <w:qFormat/>
    <w:uiPriority w:val="0"/>
    <w:pPr>
      <w:keepNext/>
      <w:numPr>
        <w:ilvl w:val="0"/>
        <w:numId w:val="1"/>
      </w:numPr>
      <w:tabs>
        <w:tab w:val="left" w:pos="432"/>
      </w:tabs>
      <w:spacing w:before="260" w:after="260" w:line="240" w:lineRule="auto"/>
      <w:ind w:left="0" w:firstLine="0" w:firstLineChars="0"/>
      <w:jc w:val="center"/>
      <w:outlineLvl w:val="0"/>
    </w:pPr>
    <w:rPr>
      <w:rFonts w:eastAsia="宋体" w:cs="Times New Roman"/>
      <w:b/>
      <w:sz w:val="36"/>
      <w:szCs w:val="22"/>
    </w:rPr>
  </w:style>
  <w:style w:type="paragraph" w:styleId="3">
    <w:name w:val="heading 2"/>
    <w:basedOn w:val="1"/>
    <w:next w:val="1"/>
    <w:link w:val="25"/>
    <w:unhideWhenUsed/>
    <w:qFormat/>
    <w:uiPriority w:val="0"/>
    <w:pPr>
      <w:keepNext/>
      <w:keepLines/>
      <w:pageBreakBefore w:val="0"/>
      <w:numPr>
        <w:ilvl w:val="1"/>
        <w:numId w:val="1"/>
      </w:numPr>
      <w:tabs>
        <w:tab w:val="left" w:pos="420"/>
      </w:tabs>
      <w:spacing w:before="260" w:after="260" w:line="240" w:lineRule="auto"/>
      <w:ind w:left="575" w:hanging="575" w:firstLineChars="0"/>
      <w:jc w:val="left"/>
      <w:outlineLvl w:val="1"/>
    </w:pPr>
    <w:rPr>
      <w:rFonts w:ascii="宋体" w:hAnsi="宋体" w:cs="Times New Roman"/>
      <w:b/>
      <w:bCs/>
      <w:sz w:val="32"/>
      <w:szCs w:val="32"/>
      <w:lang w:eastAsia="en-US"/>
    </w:rPr>
  </w:style>
  <w:style w:type="paragraph" w:styleId="4">
    <w:name w:val="heading 3"/>
    <w:basedOn w:val="1"/>
    <w:next w:val="1"/>
    <w:link w:val="27"/>
    <w:unhideWhenUsed/>
    <w:qFormat/>
    <w:uiPriority w:val="0"/>
    <w:pPr>
      <w:keepNext/>
      <w:keepLines/>
      <w:numPr>
        <w:ilvl w:val="2"/>
        <w:numId w:val="1"/>
      </w:numPr>
      <w:tabs>
        <w:tab w:val="left" w:pos="0"/>
      </w:tabs>
      <w:adjustRightInd w:val="0"/>
      <w:spacing w:before="260" w:beforeLines="0" w:beforeAutospacing="0" w:after="260" w:afterLines="0" w:afterAutospacing="0" w:line="240" w:lineRule="auto"/>
      <w:ind w:left="720" w:hanging="720" w:firstLineChars="0"/>
      <w:outlineLvl w:val="2"/>
    </w:pPr>
    <w:rPr>
      <w:rFonts w:cs="Times New Roman"/>
      <w:b/>
      <w:sz w:val="30"/>
    </w:rPr>
  </w:style>
  <w:style w:type="paragraph" w:styleId="5">
    <w:name w:val="heading 4"/>
    <w:basedOn w:val="1"/>
    <w:next w:val="1"/>
    <w:link w:val="28"/>
    <w:unhideWhenUsed/>
    <w:qFormat/>
    <w:uiPriority w:val="0"/>
    <w:pPr>
      <w:keepNext/>
      <w:keepLines/>
      <w:numPr>
        <w:ilvl w:val="3"/>
        <w:numId w:val="1"/>
      </w:numPr>
      <w:tabs>
        <w:tab w:val="left" w:pos="420"/>
      </w:tabs>
      <w:adjustRightInd/>
      <w:spacing w:before="260" w:after="260" w:line="240" w:lineRule="auto"/>
      <w:ind w:left="0" w:firstLine="0" w:firstLineChars="0"/>
      <w:jc w:val="left"/>
      <w:outlineLvl w:val="3"/>
    </w:pPr>
    <w:rPr>
      <w:rFonts w:cs="Times New Roman"/>
      <w:b/>
      <w:sz w:val="28"/>
      <w:szCs w:val="22"/>
    </w:rPr>
  </w:style>
  <w:style w:type="paragraph" w:styleId="6">
    <w:name w:val="heading 5"/>
    <w:basedOn w:val="1"/>
    <w:next w:val="1"/>
    <w:link w:val="24"/>
    <w:unhideWhenUsed/>
    <w:qFormat/>
    <w:uiPriority w:val="0"/>
    <w:pPr>
      <w:numPr>
        <w:ilvl w:val="4"/>
        <w:numId w:val="1"/>
      </w:numPr>
      <w:tabs>
        <w:tab w:val="left" w:pos="0"/>
      </w:tabs>
      <w:ind w:left="1008" w:hanging="1008" w:firstLineChars="0"/>
      <w:outlineLvl w:val="4"/>
    </w:pPr>
    <w:rPr>
      <w:b/>
      <w:bCs/>
      <w:szCs w:val="28"/>
    </w:rPr>
  </w:style>
  <w:style w:type="paragraph" w:styleId="7">
    <w:name w:val="heading 6"/>
    <w:basedOn w:val="6"/>
    <w:next w:val="8"/>
    <w:link w:val="29"/>
    <w:semiHidden/>
    <w:unhideWhenUsed/>
    <w:qFormat/>
    <w:uiPriority w:val="0"/>
    <w:pPr>
      <w:keepNext/>
      <w:keepLines/>
      <w:numPr>
        <w:ilvl w:val="5"/>
        <w:numId w:val="1"/>
      </w:numPr>
      <w:spacing w:before="260" w:after="260" w:line="240" w:lineRule="auto"/>
      <w:ind w:left="1151" w:hanging="1151" w:firstLineChars="0"/>
      <w:outlineLvl w:val="5"/>
    </w:pPr>
    <w:rPr>
      <w:b w:val="0"/>
      <w:sz w:val="24"/>
      <w:szCs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3">
    <w:name w:val="Default Paragraph Font"/>
    <w:semiHidden/>
    <w:unhideWhenUsed/>
    <w:qFormat/>
    <w:uiPriority w:val="1"/>
  </w:style>
  <w:style w:type="table" w:default="1" w:styleId="21">
    <w:name w:val="Normal Table"/>
    <w:semiHidden/>
    <w:qFormat/>
    <w:uiPriority w:val="0"/>
    <w:tblPr>
      <w:tblCellMar>
        <w:top w:w="0" w:type="dxa"/>
        <w:left w:w="108" w:type="dxa"/>
        <w:bottom w:w="0" w:type="dxa"/>
        <w:right w:w="108" w:type="dxa"/>
      </w:tblCellMar>
    </w:tblPr>
  </w:style>
  <w:style w:type="paragraph" w:styleId="8">
    <w:name w:val="Body Text"/>
    <w:basedOn w:val="1"/>
    <w:next w:val="1"/>
    <w:qFormat/>
    <w:uiPriority w:val="0"/>
    <w:pPr>
      <w:spacing w:after="120" w:afterLines="0" w:afterAutospacing="0"/>
    </w:pPr>
  </w:style>
  <w:style w:type="paragraph" w:styleId="12">
    <w:name w:val="caption"/>
    <w:basedOn w:val="1"/>
    <w:next w:val="1"/>
    <w:semiHidden/>
    <w:unhideWhenUsed/>
    <w:qFormat/>
    <w:uiPriority w:val="0"/>
    <w:pPr>
      <w:adjustRightInd/>
      <w:snapToGrid w:val="0"/>
      <w:spacing w:before="120" w:after="120" w:afterAutospacing="0"/>
      <w:ind w:firstLine="0" w:firstLineChars="0"/>
      <w:jc w:val="center"/>
    </w:pPr>
    <w:rPr>
      <w:rFonts w:ascii="Times New Roman" w:hAnsi="Times New Roman" w:eastAsia="仿宋_GB2312" w:cs="Times New Roman"/>
      <w:spacing w:val="6"/>
      <w:szCs w:val="21"/>
    </w:rPr>
  </w:style>
  <w:style w:type="paragraph" w:styleId="13">
    <w:name w:val="Body Text Indent"/>
    <w:basedOn w:val="1"/>
    <w:next w:val="1"/>
    <w:qFormat/>
    <w:uiPriority w:val="0"/>
    <w:pPr>
      <w:widowControl/>
      <w:snapToGrid w:val="0"/>
      <w:spacing w:after="120" w:line="500" w:lineRule="exact"/>
      <w:ind w:left="420" w:leftChars="200" w:firstLine="880" w:firstLineChars="200"/>
      <w:jc w:val="left"/>
    </w:pPr>
    <w:rPr>
      <w:rFonts w:ascii="Calibri" w:hAnsi="Calibri" w:eastAsia="仿宋" w:cs="Times New Roman"/>
      <w:spacing w:val="11"/>
      <w:kern w:val="0"/>
      <w:sz w:val="28"/>
      <w:szCs w:val="20"/>
    </w:rPr>
  </w:style>
  <w:style w:type="paragraph" w:styleId="14">
    <w:name w:val="toc 3"/>
    <w:basedOn w:val="1"/>
    <w:next w:val="1"/>
    <w:qFormat/>
    <w:uiPriority w:val="0"/>
    <w:pPr>
      <w:spacing w:before="120" w:line="240" w:lineRule="auto"/>
      <w:ind w:left="480" w:leftChars="200"/>
    </w:pPr>
    <w:rPr>
      <w:rFonts w:eastAsia="仿宋_GB2312"/>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pPr>
      <w:spacing w:before="120" w:line="240" w:lineRule="auto"/>
      <w:ind w:firstLine="0" w:firstLineChars="0"/>
    </w:pPr>
    <w:rPr>
      <w:rFonts w:eastAsia="仿宋_GB2312"/>
    </w:rPr>
  </w:style>
  <w:style w:type="paragraph" w:styleId="18">
    <w:name w:val="toc 2"/>
    <w:basedOn w:val="1"/>
    <w:next w:val="1"/>
    <w:unhideWhenUsed/>
    <w:qFormat/>
    <w:uiPriority w:val="39"/>
    <w:pPr>
      <w:spacing w:before="120" w:line="240" w:lineRule="auto"/>
      <w:ind w:left="0" w:firstLine="200" w:firstLineChars="200"/>
      <w:jc w:val="left"/>
    </w:pPr>
    <w:rPr>
      <w:rFonts w:eastAsia="仿宋_GB2312" w:cstheme="minorHAnsi"/>
      <w:smallCaps/>
      <w:szCs w:val="20"/>
    </w:rPr>
  </w:style>
  <w:style w:type="paragraph" w:styleId="19">
    <w:name w:val="Body Text First Indent"/>
    <w:basedOn w:val="8"/>
    <w:next w:val="20"/>
    <w:qFormat/>
    <w:uiPriority w:val="0"/>
    <w:pPr>
      <w:ind w:firstLine="723" w:firstLineChars="200"/>
    </w:pPr>
  </w:style>
  <w:style w:type="paragraph" w:styleId="20">
    <w:name w:val="Body Text First Indent 2"/>
    <w:basedOn w:val="13"/>
    <w:qFormat/>
    <w:uiPriority w:val="0"/>
    <w:pPr>
      <w:ind w:firstLine="420"/>
    </w:pPr>
    <w:rPr>
      <w:sz w:val="20"/>
    </w:r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标题 5 Char"/>
    <w:link w:val="6"/>
    <w:qFormat/>
    <w:uiPriority w:val="0"/>
    <w:rPr>
      <w:rFonts w:ascii="Calibri" w:hAnsi="Calibri" w:eastAsia="仿宋_GB2312" w:cs="Times New Roman"/>
      <w:b/>
      <w:bCs/>
      <w:sz w:val="28"/>
      <w:szCs w:val="28"/>
    </w:rPr>
  </w:style>
  <w:style w:type="character" w:customStyle="1" w:styleId="25">
    <w:name w:val="标题 2 Char"/>
    <w:link w:val="3"/>
    <w:qFormat/>
    <w:uiPriority w:val="0"/>
    <w:rPr>
      <w:rFonts w:ascii="宋体" w:hAnsi="宋体" w:eastAsia="宋体" w:cs="Times New Roman"/>
      <w:b/>
      <w:bCs/>
      <w:sz w:val="32"/>
      <w:szCs w:val="32"/>
    </w:rPr>
  </w:style>
  <w:style w:type="character" w:customStyle="1" w:styleId="26">
    <w:name w:val="标题 1 字符"/>
    <w:basedOn w:val="23"/>
    <w:link w:val="2"/>
    <w:qFormat/>
    <w:uiPriority w:val="0"/>
    <w:rPr>
      <w:rFonts w:ascii="Calibri" w:hAnsi="Calibri" w:eastAsia="宋体" w:cs="Times New Roman"/>
      <w:b/>
      <w:bCs/>
      <w:kern w:val="44"/>
      <w:sz w:val="36"/>
      <w:szCs w:val="22"/>
    </w:rPr>
  </w:style>
  <w:style w:type="character" w:customStyle="1" w:styleId="27">
    <w:name w:val="标题 3 字符"/>
    <w:basedOn w:val="23"/>
    <w:link w:val="4"/>
    <w:qFormat/>
    <w:uiPriority w:val="0"/>
    <w:rPr>
      <w:rFonts w:eastAsia="仿宋_GB2312" w:cs="Times New Roman" w:asciiTheme="minorAscii" w:hAnsiTheme="minorAscii"/>
      <w:b/>
      <w:bCs/>
      <w:sz w:val="30"/>
      <w:szCs w:val="32"/>
    </w:rPr>
  </w:style>
  <w:style w:type="character" w:customStyle="1" w:styleId="28">
    <w:name w:val="标题 4 字符"/>
    <w:basedOn w:val="23"/>
    <w:link w:val="5"/>
    <w:qFormat/>
    <w:uiPriority w:val="99"/>
    <w:rPr>
      <w:rFonts w:ascii="Calibri" w:hAnsi="Calibri" w:eastAsia="宋体" w:cs="Times New Roman"/>
      <w:b/>
      <w:kern w:val="2"/>
      <w:sz w:val="28"/>
      <w:szCs w:val="22"/>
    </w:rPr>
  </w:style>
  <w:style w:type="character" w:customStyle="1" w:styleId="29">
    <w:name w:val="标题 6 字符"/>
    <w:basedOn w:val="23"/>
    <w:link w:val="7"/>
    <w:qFormat/>
    <w:uiPriority w:val="0"/>
    <w:rPr>
      <w:rFonts w:eastAsia="仿宋_GB2312" w:asciiTheme="majorAscii" w:hAnsiTheme="majorAscii" w:cstheme="majorBidi"/>
      <w:bCs/>
      <w:sz w:val="24"/>
      <w:szCs w:val="24"/>
    </w:rPr>
  </w:style>
  <w:style w:type="paragraph" w:customStyle="1" w:styleId="30">
    <w:name w:val="表格"/>
    <w:basedOn w:val="1"/>
    <w:qFormat/>
    <w:uiPriority w:val="0"/>
    <w:pPr>
      <w:widowControl/>
      <w:spacing w:line="240" w:lineRule="auto"/>
      <w:ind w:firstLine="0" w:firstLineChars="0"/>
      <w:jc w:val="center"/>
      <w:textAlignment w:val="center"/>
    </w:pPr>
    <w:rPr>
      <w:rFonts w:hint="eastAsia" w:ascii="仿宋" w:hAnsi="仿宋" w:eastAsia="宋体" w:cs="仿宋"/>
      <w:color w:val="000000"/>
      <w:kern w:val="0"/>
      <w:sz w:val="21"/>
      <w:lang w:bidi="ar"/>
    </w:rPr>
  </w:style>
  <w:style w:type="paragraph" w:customStyle="1" w:styleId="31">
    <w:name w:val="图片"/>
    <w:basedOn w:val="1"/>
    <w:qFormat/>
    <w:uiPriority w:val="0"/>
    <w:pPr>
      <w:ind w:firstLine="0" w:firstLineChars="0"/>
      <w:jc w:val="center"/>
    </w:pPr>
    <w:rPr>
      <w:rFonts w:eastAsia="宋体"/>
    </w:rPr>
  </w:style>
  <w:style w:type="table" w:customStyle="1" w:styleId="32">
    <w:name w:val="Table Normal"/>
    <w:semiHidden/>
    <w:unhideWhenUsed/>
    <w:qFormat/>
    <w:uiPriority w:val="0"/>
    <w:tblPr>
      <w:tblCellMar>
        <w:top w:w="0" w:type="dxa"/>
        <w:left w:w="0" w:type="dxa"/>
        <w:bottom w:w="0" w:type="dxa"/>
        <w:right w:w="0" w:type="dxa"/>
      </w:tblCellMar>
    </w:tblPr>
  </w:style>
  <w:style w:type="character" w:customStyle="1" w:styleId="33">
    <w:name w:val="font01"/>
    <w:basedOn w:val="23"/>
    <w:qFormat/>
    <w:uiPriority w:val="0"/>
    <w:rPr>
      <w:rFonts w:hint="eastAsia" w:ascii="宋体" w:hAnsi="宋体" w:eastAsia="宋体" w:cs="宋体"/>
      <w:color w:val="000000"/>
      <w:sz w:val="22"/>
      <w:szCs w:val="22"/>
      <w:u w:val="none"/>
    </w:rPr>
  </w:style>
  <w:style w:type="character" w:customStyle="1" w:styleId="34">
    <w:name w:val="font11"/>
    <w:basedOn w:val="23"/>
    <w:qFormat/>
    <w:uiPriority w:val="0"/>
    <w:rPr>
      <w:rFonts w:hint="eastAsia" w:ascii="宋体" w:hAnsi="宋体" w:eastAsia="宋体" w:cs="宋体"/>
      <w:b/>
      <w:bCs/>
      <w:color w:val="000000"/>
      <w:sz w:val="22"/>
      <w:szCs w:val="22"/>
      <w:u w:val="none"/>
    </w:rPr>
  </w:style>
  <w:style w:type="character" w:customStyle="1" w:styleId="35">
    <w:name w:val="font31"/>
    <w:basedOn w:val="23"/>
    <w:qFormat/>
    <w:uiPriority w:val="0"/>
    <w:rPr>
      <w:rFonts w:ascii="微软雅黑" w:hAnsi="微软雅黑" w:eastAsia="微软雅黑" w:cs="微软雅黑"/>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63895</Words>
  <Characters>68192</Characters>
  <Lines>0</Lines>
  <Paragraphs>0</Paragraphs>
  <TotalTime>7</TotalTime>
  <ScaleCrop>false</ScaleCrop>
  <LinksUpToDate>false</LinksUpToDate>
  <CharactersWithSpaces>73182</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2020-08-11T00:36:00Z</dcterms:created>
  <dc:creator>戴</dc:creator>
  <cp:lastModifiedBy>xw</cp:lastModifiedBy>
  <cp:lastPrinted>2025-09-21T05:31:00Z</cp:lastPrinted>
  <dcterms:modified xsi:type="dcterms:W3CDTF">2025-12-11T08:29:03Z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F3514DF3B45F4462BBB216248BD6242B</vt:lpwstr>
  </property>
  <property fmtid="{D5CDD505-2E9C-101B-9397-08002B2CF9AE}" pid="4" name="KSOTemplateDocerSaveRecord">
    <vt:lpwstr>eyJoZGlkIjoiN2YzNjBkOTgyNWQ1YTMxYzM3MzMwNWFiODNmOWIzYWMiLCJ1c2VySWQiOiI0MjU5MTc2NjMifQ==</vt:lpwstr>
  </property>
</Properties>
</file>