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353029">
      <w:pPr>
        <w:keepNext w:val="0"/>
        <w:keepLines w:val="0"/>
        <w:pageBreakBefore w:val="0"/>
        <w:wordWrap/>
        <w:overflowPunct/>
        <w:topLinePunct w:val="0"/>
        <w:bidi w:val="0"/>
        <w:spacing w:before="114" w:line="560" w:lineRule="exact"/>
        <w:jc w:val="center"/>
        <w:rPr>
          <w:rFonts w:ascii="宋体" w:hAnsi="宋体" w:eastAsia="宋体" w:cs="宋体"/>
          <w:sz w:val="35"/>
          <w:szCs w:val="35"/>
        </w:rPr>
      </w:pPr>
      <w:bookmarkStart w:id="0" w:name="_GoBack"/>
      <w:bookmarkEnd w:id="0"/>
      <w:r>
        <w:rPr>
          <w:rFonts w:ascii="宋体" w:hAnsi="宋体" w:eastAsia="宋体" w:cs="宋体"/>
          <w:b/>
          <w:bCs/>
          <w:spacing w:val="-13"/>
          <w:sz w:val="35"/>
          <w:szCs w:val="35"/>
        </w:rPr>
        <w:t>物业管理服务协议</w:t>
      </w:r>
    </w:p>
    <w:p w14:paraId="631020D2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rPr>
          <w:rFonts w:ascii="Arial"/>
          <w:sz w:val="21"/>
        </w:rPr>
      </w:pPr>
    </w:p>
    <w:p w14:paraId="766B3119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before="97" w:line="560" w:lineRule="exact"/>
      </w:pPr>
      <w:r>
        <w:rPr>
          <w:spacing w:val="2"/>
        </w:rPr>
        <w:t>甲方：武汉市交通运输局货运物流事业发展中心</w:t>
      </w:r>
    </w:p>
    <w:p w14:paraId="197D3CE1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before="240" w:line="560" w:lineRule="exact"/>
      </w:pPr>
      <w:r>
        <w:rPr>
          <w:spacing w:val="3"/>
        </w:rPr>
        <w:t>乙方：武汉</w:t>
      </w:r>
      <w:r>
        <w:rPr>
          <w:rFonts w:hint="eastAsia"/>
          <w:spacing w:val="3"/>
          <w:lang w:val="en-US" w:eastAsia="zh-CN"/>
        </w:rPr>
        <w:t>天衢城市服务科技</w:t>
      </w:r>
      <w:r>
        <w:rPr>
          <w:spacing w:val="3"/>
        </w:rPr>
        <w:t>有限公司</w:t>
      </w:r>
    </w:p>
    <w:p w14:paraId="20BB59D7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jc w:val="left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42A3E8F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525" w:leftChars="250"/>
        <w:textAlignment w:val="baseline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第一条</w:t>
      </w:r>
      <w:r>
        <w:rPr>
          <w:rFonts w:hint="eastAsia" w:ascii="仿宋" w:hAnsi="仿宋" w:eastAsia="仿宋" w:cs="仿宋"/>
          <w:sz w:val="28"/>
          <w:szCs w:val="28"/>
        </w:rPr>
        <w:t xml:space="preserve"> 项目概括：</w:t>
      </w:r>
    </w:p>
    <w:p w14:paraId="02FEF7D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本物业名称：武汉交通信息管理中心</w:t>
      </w:r>
    </w:p>
    <w:p w14:paraId="59E3DFD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类   型： 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综合管理楼 </w:t>
      </w:r>
      <w:r>
        <w:rPr>
          <w:rFonts w:hint="eastAsia" w:ascii="仿宋" w:hAnsi="仿宋" w:eastAsia="仿宋" w:cs="仿宋"/>
          <w:sz w:val="28"/>
          <w:szCs w:val="28"/>
        </w:rPr>
        <w:t xml:space="preserve">  </w:t>
      </w:r>
    </w:p>
    <w:p w14:paraId="1EA6DB1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地   址： </w:t>
      </w:r>
      <w:r>
        <w:rPr>
          <w:rFonts w:hint="eastAsia" w:ascii="仿宋" w:hAnsi="仿宋" w:eastAsia="仿宋" w:cs="仿宋"/>
          <w:sz w:val="28"/>
          <w:szCs w:val="28"/>
          <w:u w:val="single"/>
        </w:rPr>
        <w:t>江岸区黄孝河路47号</w:t>
      </w:r>
    </w:p>
    <w:p w14:paraId="6DC4FF6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建筑面积：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>51115平方米。</w:t>
      </w:r>
    </w:p>
    <w:p w14:paraId="37D5832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根据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《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中华人民共和国民法典》等</w:t>
      </w:r>
      <w:r>
        <w:rPr>
          <w:rFonts w:hint="eastAsia" w:ascii="仿宋" w:hAnsi="仿宋" w:eastAsia="仿宋" w:cs="仿宋"/>
          <w:sz w:val="28"/>
          <w:szCs w:val="28"/>
        </w:rPr>
        <w:t>有关法律、法规和大楼用户管理委员会确定的原则，在自愿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sz w:val="28"/>
          <w:szCs w:val="28"/>
        </w:rPr>
        <w:t>平等、协商一致的基础上，甲乙双方就物业管理服务达成如下协议：</w:t>
      </w:r>
    </w:p>
    <w:p w14:paraId="7ED8CA6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5" w:leftChars="0" w:firstLine="520" w:firstLineChars="185"/>
        <w:textAlignment w:val="baseline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第二条  </w:t>
      </w:r>
      <w:r>
        <w:rPr>
          <w:rFonts w:hint="eastAsia" w:ascii="仿宋" w:hAnsi="仿宋" w:eastAsia="仿宋" w:cs="仿宋"/>
          <w:sz w:val="28"/>
          <w:szCs w:val="28"/>
        </w:rPr>
        <w:t>甲方使用区域和使用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sz w:val="28"/>
          <w:szCs w:val="28"/>
        </w:rPr>
        <w:t>收费面积。使用区域位于大楼主楼</w:t>
      </w:r>
      <w:r>
        <w:rPr>
          <w:rFonts w:hint="eastAsia" w:ascii="仿宋" w:hAnsi="仿宋" w:eastAsia="仿宋" w:cs="仿宋"/>
          <w:sz w:val="28"/>
          <w:szCs w:val="28"/>
          <w:u w:val="single"/>
        </w:rPr>
        <w:t>第6层南侧、7-8层(室)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23A9D944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right="0" w:firstLine="560" w:firstLineChars="200"/>
        <w:textAlignment w:val="baseline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lang w:val="en-US" w:eastAsia="en-US" w:bidi="ar-SA"/>
        </w:rPr>
        <w:t>根据建筑平面图纸计算使用面积为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u w:val="single"/>
          <w:lang w:val="en-US" w:eastAsia="en-US" w:bidi="ar-SA"/>
        </w:rPr>
        <w:t>1845 m²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lang w:val="en-US" w:eastAsia="en-US" w:bidi="ar-SA"/>
        </w:rPr>
        <w:t>, 物业管理费收费面积为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u w:val="single"/>
          <w:lang w:val="en-US" w:eastAsia="en-US" w:bidi="ar-SA"/>
        </w:rPr>
        <w:t>3181.04 m²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lang w:val="en-US" w:eastAsia="zh-CN" w:bidi="ar-SA"/>
        </w:rPr>
        <w:t>。</w:t>
      </w:r>
    </w:p>
    <w:p w14:paraId="2517812C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right="0" w:rightChars="0" w:firstLine="562" w:firstLineChars="200"/>
        <w:textAlignment w:val="baseline"/>
        <w:rPr>
          <w:rFonts w:hint="eastAsia" w:ascii="仿宋" w:hAnsi="仿宋" w:eastAsia="仿宋" w:cs="仿宋"/>
          <w:b/>
          <w:bCs/>
          <w:snapToGrid w:val="0"/>
          <w:color w:val="000000"/>
          <w:kern w:val="0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仿宋"/>
          <w:b/>
          <w:bCs/>
          <w:snapToGrid w:val="0"/>
          <w:color w:val="000000"/>
          <w:kern w:val="0"/>
          <w:sz w:val="28"/>
          <w:szCs w:val="28"/>
          <w:lang w:val="en-US" w:eastAsia="zh-CN" w:bidi="ar-SA"/>
        </w:rPr>
        <w:t xml:space="preserve">第三条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lang w:val="en-US" w:eastAsia="en-US" w:bidi="ar-SA"/>
        </w:rPr>
        <w:t>服务收费标准及结算办法。</w:t>
      </w:r>
    </w:p>
    <w:p w14:paraId="463FB1C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right="0" w:firstLine="560" w:firstLineChars="200"/>
        <w:textAlignment w:val="baseline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lang w:val="en-US" w:eastAsia="en-US" w:bidi="ar-SA"/>
        </w:rPr>
        <w:t>一、物业管理服务费标准确定。本协议中物业管理服务费根据《物业管理条例》有关规定和大楼用户管理委员会2014年11月已通过的《物业管理年度经费支出及收费标准》, 按缴费总面积每月每平方米26元计收(如有调整，以当年年度用户管理委员会通过标准为准)。</w:t>
      </w:r>
    </w:p>
    <w:p w14:paraId="191812C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right="0" w:firstLine="560" w:firstLineChars="200"/>
        <w:textAlignment w:val="baseline"/>
        <w:rPr>
          <w:rFonts w:hint="eastAsia" w:cs="仿宋"/>
          <w:snapToGrid w:val="0"/>
          <w:color w:val="000000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lang w:val="en-US" w:eastAsia="en-US" w:bidi="ar-SA"/>
        </w:rPr>
        <w:t>二、</w:t>
      </w:r>
      <w:r>
        <w:rPr>
          <w:rFonts w:hint="eastAsia" w:ascii="仿宋" w:hAnsi="仿宋" w:eastAsia="仿宋" w:cs="仿宋"/>
          <w:bCs/>
          <w:spacing w:val="0"/>
          <w:sz w:val="28"/>
          <w:szCs w:val="28"/>
          <w:lang w:val="en-US" w:eastAsia="zh-CN"/>
        </w:rPr>
        <w:t>本合同</w:t>
      </w:r>
      <w:r>
        <w:rPr>
          <w:rFonts w:hint="eastAsia" w:cs="仿宋"/>
          <w:bCs/>
          <w:spacing w:val="0"/>
          <w:sz w:val="28"/>
          <w:szCs w:val="28"/>
          <w:lang w:val="en-US" w:eastAsia="zh-CN"/>
        </w:rPr>
        <w:t>一</w:t>
      </w:r>
      <w:r>
        <w:rPr>
          <w:rFonts w:hint="eastAsia" w:ascii="仿宋" w:hAnsi="仿宋" w:eastAsia="仿宋" w:cs="仿宋"/>
          <w:bCs/>
          <w:spacing w:val="0"/>
          <w:sz w:val="28"/>
          <w:szCs w:val="28"/>
          <w:lang w:val="en-US" w:eastAsia="zh-CN"/>
        </w:rPr>
        <w:t>年服务期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lang w:val="en-US" w:eastAsia="en-US" w:bidi="ar-SA"/>
        </w:rPr>
        <w:t>物业管理服务费</w:t>
      </w:r>
      <w:r>
        <w:rPr>
          <w:rFonts w:hint="eastAsia" w:cs="仿宋"/>
          <w:snapToGrid w:val="0"/>
          <w:color w:val="000000"/>
          <w:kern w:val="0"/>
          <w:sz w:val="28"/>
          <w:szCs w:val="28"/>
          <w:lang w:val="en-US" w:eastAsia="zh-CN" w:bidi="ar-SA"/>
        </w:rPr>
        <w:t>、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lang w:val="en-US" w:eastAsia="en-US" w:bidi="ar-SA"/>
        </w:rPr>
        <w:t>年食堂人工费</w:t>
      </w:r>
      <w:r>
        <w:rPr>
          <w:rFonts w:hint="eastAsia" w:cs="仿宋"/>
          <w:snapToGrid w:val="0"/>
          <w:color w:val="000000"/>
          <w:kern w:val="0"/>
          <w:sz w:val="28"/>
          <w:szCs w:val="28"/>
          <w:lang w:val="en-US" w:eastAsia="zh-CN" w:bidi="ar-SA"/>
        </w:rPr>
        <w:t>、室内会务保洁员、驾驶员服务费及理发室费用、文化场所费用合计</w:t>
      </w:r>
      <w:r>
        <w:rPr>
          <w:rFonts w:hint="eastAsia" w:ascii="仿宋" w:hAnsi="仿宋" w:eastAsia="仿宋" w:cs="仿宋"/>
          <w:bCs/>
          <w:spacing w:val="0"/>
          <w:sz w:val="28"/>
          <w:szCs w:val="28"/>
          <w:lang w:val="en-US" w:eastAsia="zh-CN"/>
        </w:rPr>
        <w:t>含税总价</w:t>
      </w:r>
      <w:r>
        <w:rPr>
          <w:rFonts w:hint="eastAsia" w:cs="仿宋"/>
          <w:bCs/>
          <w:color w:val="auto"/>
          <w:spacing w:val="0"/>
          <w:sz w:val="28"/>
          <w:szCs w:val="28"/>
          <w:highlight w:val="none"/>
          <w:lang w:val="en-US" w:eastAsia="zh-CN"/>
        </w:rPr>
        <w:t>暂定为</w:t>
      </w:r>
      <w:r>
        <w:rPr>
          <w:rFonts w:hint="eastAsia" w:cs="仿宋"/>
          <w:snapToGrid w:val="0"/>
          <w:color w:val="FF0000"/>
          <w:kern w:val="0"/>
          <w:sz w:val="28"/>
          <w:szCs w:val="28"/>
          <w:highlight w:val="none"/>
          <w:lang w:val="en-US" w:eastAsia="zh-CN" w:bidi="ar-SA"/>
        </w:rPr>
        <w:t>1586125.20</w:t>
      </w:r>
      <w:r>
        <w:rPr>
          <w:rFonts w:hint="eastAsia" w:ascii="仿宋" w:hAnsi="仿宋" w:eastAsia="仿宋" w:cs="仿宋"/>
          <w:bCs/>
          <w:color w:val="auto"/>
          <w:spacing w:val="0"/>
          <w:sz w:val="28"/>
          <w:szCs w:val="28"/>
          <w:highlight w:val="none"/>
          <w:lang w:val="en-US" w:eastAsia="zh-CN"/>
        </w:rPr>
        <w:t>元，</w:t>
      </w:r>
      <w:r>
        <w:rPr>
          <w:rFonts w:hint="eastAsia" w:ascii="仿宋" w:hAnsi="仿宋" w:eastAsia="仿宋" w:cs="仿宋"/>
          <w:bCs/>
          <w:spacing w:val="0"/>
          <w:sz w:val="28"/>
          <w:szCs w:val="28"/>
          <w:lang w:val="en-US" w:eastAsia="zh-CN"/>
        </w:rPr>
        <w:t>不含税价</w:t>
      </w:r>
      <w:r>
        <w:rPr>
          <w:rFonts w:hint="eastAsia" w:cs="仿宋"/>
          <w:bCs/>
          <w:spacing w:val="0"/>
          <w:sz w:val="28"/>
          <w:szCs w:val="28"/>
          <w:lang w:val="en-US" w:eastAsia="zh-CN"/>
        </w:rPr>
        <w:t>总价为</w:t>
      </w:r>
      <w:r>
        <w:rPr>
          <w:rFonts w:hint="eastAsia" w:cs="仿宋"/>
          <w:bCs/>
          <w:color w:val="FF0000"/>
          <w:spacing w:val="0"/>
          <w:sz w:val="28"/>
          <w:szCs w:val="28"/>
          <w:highlight w:val="none"/>
          <w:lang w:val="en-US" w:eastAsia="zh-CN"/>
        </w:rPr>
        <w:t>1496379.67</w:t>
      </w:r>
      <w:r>
        <w:rPr>
          <w:rFonts w:hint="eastAsia" w:cs="仿宋"/>
          <w:bCs/>
          <w:color w:val="auto"/>
          <w:spacing w:val="0"/>
          <w:sz w:val="28"/>
          <w:szCs w:val="28"/>
          <w:highlight w:val="none"/>
          <w:lang w:val="en-US" w:eastAsia="zh-CN"/>
        </w:rPr>
        <w:t>元</w:t>
      </w:r>
      <w:r>
        <w:rPr>
          <w:rFonts w:hint="eastAsia" w:ascii="仿宋" w:hAnsi="仿宋" w:eastAsia="仿宋" w:cs="仿宋"/>
          <w:bCs/>
          <w:spacing w:val="0"/>
          <w:sz w:val="28"/>
          <w:szCs w:val="28"/>
          <w:lang w:val="en-US" w:eastAsia="zh-CN"/>
        </w:rPr>
        <w:t>，增值税率6%，增值税发票“货物或应税劳务、服务名称”为：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*</w:t>
      </w:r>
      <w:r>
        <w:rPr>
          <w:rFonts w:hint="eastAsia" w:ascii="仿宋" w:hAnsi="仿宋" w:eastAsia="仿宋" w:cs="仿宋"/>
          <w:color w:val="auto"/>
          <w:sz w:val="28"/>
          <w:szCs w:val="28"/>
          <w:u w:val="single"/>
          <w:lang w:val="en-US" w:eastAsia="zh-CN"/>
        </w:rPr>
        <w:t>企业管理服务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*</w:t>
      </w:r>
      <w:r>
        <w:rPr>
          <w:rFonts w:hint="eastAsia" w:ascii="仿宋" w:hAnsi="仿宋" w:eastAsia="仿宋" w:cs="仿宋"/>
          <w:color w:val="auto"/>
          <w:sz w:val="28"/>
          <w:szCs w:val="28"/>
          <w:u w:val="single"/>
          <w:lang w:val="en-US" w:eastAsia="zh-CN"/>
        </w:rPr>
        <w:t>物业管理费</w:t>
      </w:r>
      <w:r>
        <w:rPr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  <w:t>。</w:t>
      </w:r>
    </w:p>
    <w:p w14:paraId="07B145E7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right="0" w:firstLine="560" w:firstLineChars="200"/>
        <w:textAlignment w:val="baseline"/>
        <w:rPr>
          <w:sz w:val="27"/>
          <w:szCs w:val="27"/>
        </w:rPr>
      </w:pPr>
      <w:r>
        <w:rPr>
          <w:rFonts w:hint="eastAsia" w:cs="仿宋"/>
          <w:snapToGrid w:val="0"/>
          <w:color w:val="000000"/>
          <w:kern w:val="0"/>
          <w:sz w:val="28"/>
          <w:szCs w:val="28"/>
          <w:lang w:val="en-US" w:eastAsia="zh-CN" w:bidi="ar-SA"/>
        </w:rPr>
        <w:t>1.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lang w:val="en-US" w:eastAsia="en-US" w:bidi="ar-SA"/>
        </w:rPr>
        <w:t>物业管理年服务费</w:t>
      </w:r>
      <w:r>
        <w:rPr>
          <w:rFonts w:hint="eastAsia" w:cs="仿宋"/>
          <w:snapToGrid w:val="0"/>
          <w:color w:val="000000"/>
          <w:kern w:val="0"/>
          <w:sz w:val="28"/>
          <w:szCs w:val="28"/>
          <w:lang w:val="en-US" w:eastAsia="zh-CN" w:bidi="ar-SA"/>
        </w:rPr>
        <w:t>含税</w:t>
      </w:r>
      <w:r>
        <w:rPr>
          <w:rFonts w:hint="eastAsia" w:cs="仿宋"/>
          <w:snapToGrid w:val="0"/>
          <w:color w:val="auto"/>
          <w:kern w:val="0"/>
          <w:sz w:val="28"/>
          <w:szCs w:val="28"/>
          <w:highlight w:val="none"/>
          <w:lang w:val="en-US" w:eastAsia="zh-CN" w:bidi="ar-SA"/>
        </w:rPr>
        <w:t>价</w:t>
      </w:r>
      <w:r>
        <w:rPr>
          <w:rFonts w:hint="eastAsia" w:ascii="仿宋" w:hAnsi="仿宋" w:eastAsia="仿宋" w:cs="仿宋"/>
          <w:snapToGrid w:val="0"/>
          <w:color w:val="auto"/>
          <w:kern w:val="0"/>
          <w:sz w:val="28"/>
          <w:szCs w:val="28"/>
          <w:highlight w:val="none"/>
          <w:lang w:val="en-US" w:eastAsia="en-US" w:bidi="ar-SA"/>
        </w:rPr>
        <w:t>992484元，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lang w:val="en-US" w:eastAsia="en-US" w:bidi="ar-SA"/>
        </w:rPr>
        <w:t>大写(人民币):玖拾玖万贰仟肆佰捌拾肆元。</w:t>
      </w:r>
    </w:p>
    <w:p w14:paraId="603152DF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</w:pPr>
    </w:p>
    <w:tbl>
      <w:tblPr>
        <w:tblStyle w:val="5"/>
        <w:tblW w:w="9936" w:type="dxa"/>
        <w:tblInd w:w="-42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0"/>
        <w:gridCol w:w="1135"/>
        <w:gridCol w:w="1156"/>
        <w:gridCol w:w="1331"/>
        <w:gridCol w:w="937"/>
        <w:gridCol w:w="1434"/>
        <w:gridCol w:w="1434"/>
        <w:gridCol w:w="1449"/>
      </w:tblGrid>
      <w:tr w14:paraId="793810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9936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0754F7B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2026年物业管理费</w:t>
            </w:r>
          </w:p>
        </w:tc>
      </w:tr>
      <w:tr w14:paraId="7B65D5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10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C6BA66A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楼层</w:t>
            </w:r>
          </w:p>
        </w:tc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7F7C84A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使用面积</w:t>
            </w:r>
          </w:p>
        </w:tc>
        <w:tc>
          <w:tcPr>
            <w:tcW w:w="11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F254247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公摊面积</w:t>
            </w:r>
          </w:p>
        </w:tc>
        <w:tc>
          <w:tcPr>
            <w:tcW w:w="133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153073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缴费面积</w:t>
            </w:r>
          </w:p>
        </w:tc>
        <w:tc>
          <w:tcPr>
            <w:tcW w:w="9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6695F19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收费标准</w:t>
            </w:r>
          </w:p>
        </w:tc>
        <w:tc>
          <w:tcPr>
            <w:tcW w:w="14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49DE8B8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月缴费金额</w:t>
            </w:r>
          </w:p>
        </w:tc>
        <w:tc>
          <w:tcPr>
            <w:tcW w:w="14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F8D1E8D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季缴费金额</w:t>
            </w:r>
          </w:p>
        </w:tc>
        <w:tc>
          <w:tcPr>
            <w:tcW w:w="144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7A153DC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年缴费金额</w:t>
            </w:r>
          </w:p>
        </w:tc>
      </w:tr>
      <w:tr w14:paraId="178872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106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01454FC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snapToGrid w:val="0"/>
                <w:sz w:val="24"/>
                <w:szCs w:val="24"/>
                <w:lang w:val="en-US" w:eastAsia="zh-CN" w:bidi="ar"/>
              </w:rPr>
              <w:t>6</w:t>
            </w:r>
            <w:r>
              <w:rPr>
                <w:rStyle w:val="11"/>
                <w:snapToGrid w:val="0"/>
                <w:sz w:val="24"/>
                <w:szCs w:val="24"/>
                <w:lang w:val="en-US" w:eastAsia="zh-CN" w:bidi="ar"/>
              </w:rPr>
              <w:t>楼部分</w:t>
            </w:r>
          </w:p>
        </w:tc>
        <w:tc>
          <w:tcPr>
            <w:tcW w:w="11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50AEF6A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snapToGrid w:val="0"/>
                <w:sz w:val="24"/>
                <w:szCs w:val="24"/>
                <w:lang w:val="en-US" w:eastAsia="zh-CN" w:bidi="ar"/>
              </w:rPr>
              <w:t>369 m</w:t>
            </w:r>
            <w:r>
              <w:rPr>
                <w:rStyle w:val="12"/>
                <w:snapToGrid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15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CE9C727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267.21</w:t>
            </w:r>
          </w:p>
        </w:tc>
        <w:tc>
          <w:tcPr>
            <w:tcW w:w="133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D38DA2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636.21 m</w:t>
            </w:r>
            <w:r>
              <w:rPr>
                <w:rStyle w:val="12"/>
                <w:snapToGrid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937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275259E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snapToGrid w:val="0"/>
                <w:sz w:val="24"/>
                <w:szCs w:val="24"/>
                <w:lang w:val="en-US" w:eastAsia="zh-CN" w:bidi="ar"/>
              </w:rPr>
              <w:t>26</w:t>
            </w:r>
            <w:r>
              <w:rPr>
                <w:rStyle w:val="11"/>
                <w:snapToGrid w:val="0"/>
                <w:sz w:val="24"/>
                <w:szCs w:val="24"/>
                <w:lang w:val="en-US" w:eastAsia="zh-CN" w:bidi="ar"/>
              </w:rPr>
              <w:t>元</w:t>
            </w:r>
            <w:r>
              <w:rPr>
                <w:rStyle w:val="10"/>
                <w:snapToGrid w:val="0"/>
                <w:sz w:val="24"/>
                <w:szCs w:val="24"/>
                <w:lang w:val="en-US" w:eastAsia="zh-CN" w:bidi="ar"/>
              </w:rPr>
              <w:t>/m</w:t>
            </w:r>
            <w:r>
              <w:rPr>
                <w:rStyle w:val="12"/>
                <w:snapToGrid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43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1628ACF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16541</w:t>
            </w:r>
          </w:p>
        </w:tc>
        <w:tc>
          <w:tcPr>
            <w:tcW w:w="143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0AD7798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49624</w:t>
            </w:r>
          </w:p>
        </w:tc>
        <w:tc>
          <w:tcPr>
            <w:tcW w:w="144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7F40898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198498 </w:t>
            </w:r>
          </w:p>
        </w:tc>
      </w:tr>
      <w:tr w14:paraId="7C3CA0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106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29626CE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snapToGrid w:val="0"/>
                <w:sz w:val="24"/>
                <w:szCs w:val="24"/>
                <w:lang w:val="en-US" w:eastAsia="zh-CN" w:bidi="ar"/>
              </w:rPr>
              <w:t>7-8</w:t>
            </w:r>
            <w:r>
              <w:rPr>
                <w:rStyle w:val="11"/>
                <w:snapToGrid w:val="0"/>
                <w:sz w:val="24"/>
                <w:szCs w:val="24"/>
                <w:lang w:val="en-US" w:eastAsia="zh-CN" w:bidi="ar"/>
              </w:rPr>
              <w:t>楼</w:t>
            </w:r>
          </w:p>
        </w:tc>
        <w:tc>
          <w:tcPr>
            <w:tcW w:w="11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BEA8C8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snapToGrid w:val="0"/>
                <w:sz w:val="24"/>
                <w:szCs w:val="24"/>
                <w:lang w:val="en-US" w:eastAsia="zh-CN" w:bidi="ar"/>
              </w:rPr>
              <w:t>1476m</w:t>
            </w:r>
            <w:r>
              <w:rPr>
                <w:rStyle w:val="12"/>
                <w:snapToGrid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15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38A727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1068.13</w:t>
            </w:r>
          </w:p>
        </w:tc>
        <w:tc>
          <w:tcPr>
            <w:tcW w:w="133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429F3E3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snapToGrid w:val="0"/>
                <w:sz w:val="24"/>
                <w:szCs w:val="24"/>
                <w:lang w:val="en-US" w:eastAsia="zh-CN" w:bidi="ar"/>
              </w:rPr>
              <w:t>2544.83m</w:t>
            </w:r>
            <w:r>
              <w:rPr>
                <w:rStyle w:val="12"/>
                <w:snapToGrid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937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56EA666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3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D53C9CE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66165</w:t>
            </w:r>
          </w:p>
        </w:tc>
        <w:tc>
          <w:tcPr>
            <w:tcW w:w="143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89C43E1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198496</w:t>
            </w:r>
          </w:p>
        </w:tc>
        <w:tc>
          <w:tcPr>
            <w:tcW w:w="144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D4F9442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793987 </w:t>
            </w:r>
          </w:p>
        </w:tc>
      </w:tr>
      <w:tr w14:paraId="350604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106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50EBFA7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小计</w:t>
            </w:r>
          </w:p>
        </w:tc>
        <w:tc>
          <w:tcPr>
            <w:tcW w:w="11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865C13C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snapToGrid w:val="0"/>
                <w:sz w:val="24"/>
                <w:szCs w:val="24"/>
                <w:lang w:val="en-US" w:eastAsia="zh-CN" w:bidi="ar"/>
              </w:rPr>
              <w:t>1845 m</w:t>
            </w:r>
            <w:r>
              <w:rPr>
                <w:rStyle w:val="12"/>
                <w:snapToGrid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15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584D67A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1336.04</w:t>
            </w:r>
          </w:p>
        </w:tc>
        <w:tc>
          <w:tcPr>
            <w:tcW w:w="133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E4D60EC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0"/>
                <w:snapToGrid w:val="0"/>
                <w:sz w:val="24"/>
                <w:szCs w:val="24"/>
                <w:lang w:val="en-US" w:eastAsia="zh-CN" w:bidi="ar"/>
              </w:rPr>
              <w:t>3181.04m</w:t>
            </w:r>
            <w:r>
              <w:rPr>
                <w:rStyle w:val="12"/>
                <w:snapToGrid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937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1B0EB8F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3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19DB44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82707</w:t>
            </w:r>
          </w:p>
        </w:tc>
        <w:tc>
          <w:tcPr>
            <w:tcW w:w="143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86E045E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248121</w:t>
            </w:r>
          </w:p>
        </w:tc>
        <w:tc>
          <w:tcPr>
            <w:tcW w:w="144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27C58A6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992484 </w:t>
            </w:r>
          </w:p>
        </w:tc>
      </w:tr>
      <w:tr w14:paraId="7C3965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9936" w:type="dxa"/>
            <w:gridSpan w:val="8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6691FCA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年缴费金额人民币（大写）：玖拾玖万贰仟肆佰捌拾肆元</w:t>
            </w:r>
          </w:p>
        </w:tc>
      </w:tr>
    </w:tbl>
    <w:p w14:paraId="0CD4889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right="0" w:firstLine="560" w:firstLineChars="200"/>
        <w:textAlignment w:val="baseline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lang w:val="en-US" w:eastAsia="en-US" w:bidi="ar-SA"/>
        </w:rPr>
        <w:t>(注：公摊面积包含楼层卫生间、电梯井道、强弱电间、管道井、步梯、走道等)</w:t>
      </w:r>
    </w:p>
    <w:p w14:paraId="321E625A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right="0" w:firstLine="560" w:firstLineChars="200"/>
        <w:textAlignment w:val="baseline"/>
        <w:rPr>
          <w:rFonts w:hint="default" w:ascii="仿宋" w:hAnsi="仿宋" w:eastAsia="仿宋" w:cs="仿宋"/>
          <w:snapToGrid w:val="0"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cs="仿宋"/>
          <w:snapToGrid w:val="0"/>
          <w:color w:val="000000"/>
          <w:kern w:val="0"/>
          <w:sz w:val="28"/>
          <w:szCs w:val="28"/>
          <w:lang w:val="en-US" w:eastAsia="zh-CN" w:bidi="ar-SA"/>
        </w:rPr>
        <w:t>2.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lang w:val="en-US" w:eastAsia="en-US" w:bidi="ar-SA"/>
        </w:rPr>
        <w:t>食堂年人工费用</w:t>
      </w:r>
      <w:r>
        <w:rPr>
          <w:rFonts w:hint="eastAsia" w:cs="仿宋"/>
          <w:snapToGrid w:val="0"/>
          <w:color w:val="000000"/>
          <w:kern w:val="0"/>
          <w:sz w:val="28"/>
          <w:szCs w:val="28"/>
          <w:lang w:val="en-US" w:eastAsia="zh-CN" w:bidi="ar-SA"/>
        </w:rPr>
        <w:t>含税</w:t>
      </w:r>
      <w:r>
        <w:rPr>
          <w:rFonts w:hint="eastAsia" w:cs="仿宋"/>
          <w:snapToGrid w:val="0"/>
          <w:color w:val="auto"/>
          <w:kern w:val="0"/>
          <w:sz w:val="28"/>
          <w:szCs w:val="28"/>
          <w:highlight w:val="none"/>
          <w:lang w:val="en-US" w:eastAsia="zh-CN" w:bidi="ar-SA"/>
        </w:rPr>
        <w:t>为99322</w:t>
      </w:r>
      <w:r>
        <w:rPr>
          <w:rFonts w:hint="eastAsia" w:ascii="仿宋" w:hAnsi="仿宋" w:eastAsia="仿宋" w:cs="仿宋"/>
          <w:snapToGrid w:val="0"/>
          <w:color w:val="auto"/>
          <w:kern w:val="0"/>
          <w:sz w:val="28"/>
          <w:szCs w:val="28"/>
          <w:highlight w:val="none"/>
          <w:lang w:val="en-US" w:eastAsia="en-US" w:bidi="ar-SA"/>
        </w:rPr>
        <w:t>元，大写(人民币):</w:t>
      </w:r>
      <w:r>
        <w:rPr>
          <w:rFonts w:hint="eastAsia" w:cs="仿宋"/>
          <w:snapToGrid w:val="0"/>
          <w:color w:val="auto"/>
          <w:kern w:val="0"/>
          <w:sz w:val="28"/>
          <w:szCs w:val="28"/>
          <w:highlight w:val="none"/>
          <w:lang w:val="en-US" w:eastAsia="zh-CN" w:bidi="ar-SA"/>
        </w:rPr>
        <w:t>玖万玖仟叁佰贰拾贰元整。</w:t>
      </w:r>
    </w:p>
    <w:tbl>
      <w:tblPr>
        <w:tblStyle w:val="5"/>
        <w:tblpPr w:leftFromText="180" w:rightFromText="180" w:vertAnchor="text" w:horzAnchor="page" w:tblpX="1976" w:tblpY="673"/>
        <w:tblOverlap w:val="never"/>
        <w:tblW w:w="836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6"/>
        <w:gridCol w:w="1626"/>
        <w:gridCol w:w="1626"/>
        <w:gridCol w:w="1626"/>
        <w:gridCol w:w="1857"/>
      </w:tblGrid>
      <w:tr w14:paraId="3E0FB4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</w:trPr>
        <w:tc>
          <w:tcPr>
            <w:tcW w:w="1626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4BEBC1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3"/>
                <w:rFonts w:hint="eastAsia" w:ascii="仿宋" w:hAnsi="仿宋" w:eastAsia="仿宋" w:cs="仿宋"/>
                <w:snapToGrid w:val="0"/>
                <w:sz w:val="24"/>
                <w:szCs w:val="24"/>
                <w:lang w:val="en-US" w:eastAsia="zh-CN" w:bidi="ar"/>
              </w:rPr>
              <w:t>分摊基数</w:t>
            </w:r>
          </w:p>
        </w:tc>
        <w:tc>
          <w:tcPr>
            <w:tcW w:w="1626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31A5C7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3"/>
                <w:rFonts w:hint="eastAsia" w:ascii="仿宋" w:hAnsi="仿宋" w:eastAsia="仿宋" w:cs="仿宋"/>
                <w:snapToGrid w:val="0"/>
                <w:sz w:val="24"/>
                <w:szCs w:val="24"/>
                <w:lang w:val="en-US" w:eastAsia="zh-CN" w:bidi="ar"/>
              </w:rPr>
              <w:t>大楼总人数</w:t>
            </w:r>
          </w:p>
        </w:tc>
        <w:tc>
          <w:tcPr>
            <w:tcW w:w="1626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F662B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3"/>
                <w:rFonts w:hint="eastAsia" w:ascii="仿宋" w:hAnsi="仿宋" w:eastAsia="仿宋" w:cs="仿宋"/>
                <w:snapToGrid w:val="0"/>
                <w:sz w:val="24"/>
                <w:szCs w:val="24"/>
                <w:lang w:val="en-US" w:eastAsia="zh-CN" w:bidi="ar"/>
              </w:rPr>
              <w:t>人均年分摊</w:t>
            </w:r>
          </w:p>
        </w:tc>
        <w:tc>
          <w:tcPr>
            <w:tcW w:w="1626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113EB6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3"/>
                <w:rFonts w:hint="eastAsia" w:ascii="仿宋" w:hAnsi="仿宋" w:eastAsia="仿宋" w:cs="仿宋"/>
                <w:snapToGrid w:val="0"/>
                <w:sz w:val="24"/>
                <w:szCs w:val="24"/>
                <w:lang w:val="en-US" w:eastAsia="zh-CN" w:bidi="ar"/>
              </w:rPr>
              <w:t>充值人数</w:t>
            </w:r>
          </w:p>
        </w:tc>
        <w:tc>
          <w:tcPr>
            <w:tcW w:w="1857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00F362B7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3"/>
                <w:rFonts w:hint="eastAsia" w:ascii="仿宋" w:hAnsi="仿宋" w:eastAsia="仿宋" w:cs="仿宋"/>
                <w:snapToGrid w:val="0"/>
                <w:sz w:val="24"/>
                <w:szCs w:val="24"/>
                <w:lang w:val="en-US" w:eastAsia="zh-CN" w:bidi="ar"/>
              </w:rPr>
              <w:t>年分摊费用</w:t>
            </w:r>
          </w:p>
        </w:tc>
      </w:tr>
      <w:tr w14:paraId="69462E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162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CA15297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955238.94</w:t>
            </w:r>
          </w:p>
        </w:tc>
        <w:tc>
          <w:tcPr>
            <w:tcW w:w="162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7613893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327</w:t>
            </w:r>
          </w:p>
        </w:tc>
        <w:tc>
          <w:tcPr>
            <w:tcW w:w="162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A8F9A87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2921.22</w:t>
            </w:r>
          </w:p>
        </w:tc>
        <w:tc>
          <w:tcPr>
            <w:tcW w:w="162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36DEB7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34 </w:t>
            </w:r>
          </w:p>
        </w:tc>
        <w:tc>
          <w:tcPr>
            <w:tcW w:w="185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2B5DE93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99322</w:t>
            </w:r>
          </w:p>
        </w:tc>
      </w:tr>
    </w:tbl>
    <w:p w14:paraId="303B8DE0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right="0" w:rightChars="0"/>
        <w:textAlignment w:val="baseline"/>
        <w:rPr>
          <w:rFonts w:hint="eastAsia" w:cs="仿宋"/>
          <w:snapToGrid w:val="0"/>
          <w:color w:val="000000"/>
          <w:kern w:val="0"/>
          <w:sz w:val="28"/>
          <w:szCs w:val="28"/>
          <w:lang w:val="en-US" w:eastAsia="zh-CN" w:bidi="ar-SA"/>
        </w:rPr>
      </w:pPr>
    </w:p>
    <w:p w14:paraId="209492BB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right="0" w:rightChars="0" w:firstLine="560" w:firstLineChars="200"/>
        <w:textAlignment w:val="baseline"/>
        <w:rPr>
          <w:rFonts w:hint="eastAsia" w:cs="仿宋"/>
          <w:snapToGrid w:val="0"/>
          <w:color w:val="000000"/>
          <w:kern w:val="0"/>
          <w:sz w:val="28"/>
          <w:szCs w:val="28"/>
          <w:lang w:val="en-US" w:eastAsia="zh-CN" w:bidi="ar-SA"/>
        </w:rPr>
      </w:pPr>
      <w:r>
        <w:rPr>
          <w:rFonts w:hint="eastAsia" w:cs="仿宋"/>
          <w:snapToGrid w:val="0"/>
          <w:color w:val="000000"/>
          <w:kern w:val="0"/>
          <w:sz w:val="28"/>
          <w:szCs w:val="28"/>
          <w:lang w:val="en-US" w:eastAsia="zh-CN" w:bidi="ar-SA"/>
        </w:rPr>
        <w:t>3.室内会务保洁员、驾驶员费用</w:t>
      </w:r>
    </w:p>
    <w:p w14:paraId="5A5944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cs="仿宋"/>
          <w:snapToGrid w:val="0"/>
          <w:color w:val="000000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/>
        </w:rPr>
        <w:t>经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</w:rPr>
        <w:t>甲乙双方协商，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/>
        </w:rPr>
        <w:t>会务保洁配置为1人、驾驶员配置为5人，劳务服务费包干单价为6510元/人/月，室内会务保洁员及驾驶员年费用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lang w:val="en-US" w:eastAsia="zh-CN"/>
        </w:rPr>
        <w:t>含税价暂定为468720元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/>
        </w:rPr>
        <w:t>。具体明细见下表：</w:t>
      </w:r>
    </w:p>
    <w:tbl>
      <w:tblPr>
        <w:tblStyle w:val="5"/>
        <w:tblpPr w:leftFromText="180" w:rightFromText="180" w:vertAnchor="text" w:horzAnchor="page" w:tblpX="1747" w:tblpY="260"/>
        <w:tblOverlap w:val="never"/>
        <w:tblW w:w="903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5"/>
        <w:gridCol w:w="1526"/>
        <w:gridCol w:w="1500"/>
        <w:gridCol w:w="1311"/>
        <w:gridCol w:w="1911"/>
        <w:gridCol w:w="1433"/>
      </w:tblGrid>
      <w:tr w14:paraId="2789AF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355" w:type="dxa"/>
            <w:noWrap w:val="0"/>
            <w:vAlign w:val="center"/>
          </w:tcPr>
          <w:p w14:paraId="58BB9BB5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单位</w:t>
            </w:r>
          </w:p>
        </w:tc>
        <w:tc>
          <w:tcPr>
            <w:tcW w:w="1526" w:type="dxa"/>
            <w:noWrap w:val="0"/>
            <w:vAlign w:val="center"/>
          </w:tcPr>
          <w:p w14:paraId="168CA1B4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基本工资</w:t>
            </w:r>
          </w:p>
        </w:tc>
        <w:tc>
          <w:tcPr>
            <w:tcW w:w="1500" w:type="dxa"/>
            <w:noWrap w:val="0"/>
            <w:vAlign w:val="center"/>
          </w:tcPr>
          <w:p w14:paraId="28DA2CBE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伙食费</w:t>
            </w:r>
          </w:p>
        </w:tc>
        <w:tc>
          <w:tcPr>
            <w:tcW w:w="1311" w:type="dxa"/>
            <w:noWrap w:val="0"/>
            <w:vAlign w:val="center"/>
          </w:tcPr>
          <w:p w14:paraId="04D17195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社保</w:t>
            </w:r>
          </w:p>
        </w:tc>
        <w:tc>
          <w:tcPr>
            <w:tcW w:w="1911" w:type="dxa"/>
            <w:noWrap w:val="0"/>
            <w:vAlign w:val="center"/>
          </w:tcPr>
          <w:p w14:paraId="2941378C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税金及管理费</w:t>
            </w:r>
          </w:p>
        </w:tc>
        <w:tc>
          <w:tcPr>
            <w:tcW w:w="1433" w:type="dxa"/>
            <w:noWrap w:val="0"/>
            <w:vAlign w:val="center"/>
          </w:tcPr>
          <w:p w14:paraId="6EF703A0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default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月服务费</w:t>
            </w:r>
          </w:p>
        </w:tc>
      </w:tr>
      <w:tr w14:paraId="35A89F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1355" w:type="dxa"/>
            <w:noWrap w:val="0"/>
            <w:vAlign w:val="center"/>
          </w:tcPr>
          <w:p w14:paraId="56CF9CC6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元/人/月</w:t>
            </w:r>
          </w:p>
        </w:tc>
        <w:tc>
          <w:tcPr>
            <w:tcW w:w="1526" w:type="dxa"/>
            <w:noWrap w:val="0"/>
            <w:vAlign w:val="center"/>
          </w:tcPr>
          <w:p w14:paraId="5A89AAE8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ind w:firstLine="240" w:firstLineChars="100"/>
              <w:jc w:val="center"/>
              <w:rPr>
                <w:rFonts w:hint="default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4200</w:t>
            </w:r>
          </w:p>
        </w:tc>
        <w:tc>
          <w:tcPr>
            <w:tcW w:w="1500" w:type="dxa"/>
            <w:noWrap w:val="0"/>
            <w:vAlign w:val="center"/>
          </w:tcPr>
          <w:p w14:paraId="19763680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400</w:t>
            </w:r>
          </w:p>
        </w:tc>
        <w:tc>
          <w:tcPr>
            <w:tcW w:w="1311" w:type="dxa"/>
            <w:noWrap w:val="0"/>
            <w:vAlign w:val="center"/>
          </w:tcPr>
          <w:p w14:paraId="644CA293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default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1290</w:t>
            </w:r>
          </w:p>
        </w:tc>
        <w:tc>
          <w:tcPr>
            <w:tcW w:w="1911" w:type="dxa"/>
            <w:noWrap w:val="0"/>
            <w:vAlign w:val="center"/>
          </w:tcPr>
          <w:p w14:paraId="14F1F0B6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default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620</w:t>
            </w:r>
          </w:p>
        </w:tc>
        <w:tc>
          <w:tcPr>
            <w:tcW w:w="1433" w:type="dxa"/>
            <w:noWrap w:val="0"/>
            <w:vAlign w:val="center"/>
          </w:tcPr>
          <w:p w14:paraId="19D671A6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default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6510</w:t>
            </w:r>
          </w:p>
        </w:tc>
      </w:tr>
    </w:tbl>
    <w:p w14:paraId="5749C4C7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right="0" w:rightChars="0"/>
        <w:textAlignment w:val="baseline"/>
        <w:rPr>
          <w:rFonts w:hint="default" w:cs="仿宋"/>
          <w:snapToGrid w:val="0"/>
          <w:color w:val="000000"/>
          <w:kern w:val="0"/>
          <w:sz w:val="28"/>
          <w:szCs w:val="28"/>
          <w:lang w:val="en-US" w:eastAsia="zh-CN" w:bidi="ar-SA"/>
        </w:rPr>
      </w:pPr>
    </w:p>
    <w:p w14:paraId="05C83171"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560" w:leftChars="0" w:right="0" w:rightChars="0" w:firstLine="0" w:firstLineChars="0"/>
        <w:textAlignment w:val="baseline"/>
        <w:rPr>
          <w:rFonts w:hint="default" w:cs="仿宋"/>
          <w:snapToGrid w:val="0"/>
          <w:color w:val="000000"/>
          <w:kern w:val="0"/>
          <w:sz w:val="28"/>
          <w:szCs w:val="28"/>
          <w:lang w:val="en-US" w:eastAsia="zh-CN" w:bidi="ar-SA"/>
        </w:rPr>
      </w:pPr>
      <w:r>
        <w:rPr>
          <w:rFonts w:hint="eastAsia" w:cs="仿宋"/>
          <w:snapToGrid w:val="0"/>
          <w:color w:val="000000"/>
          <w:kern w:val="0"/>
          <w:sz w:val="28"/>
          <w:szCs w:val="28"/>
          <w:lang w:val="en-US" w:eastAsia="zh-CN" w:bidi="ar-SA"/>
        </w:rPr>
        <w:t>理发室分摊费用</w:t>
      </w:r>
    </w:p>
    <w:p w14:paraId="7D8C5573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right="0" w:rightChars="0" w:firstLine="560" w:firstLineChars="200"/>
        <w:textAlignment w:val="baseline"/>
        <w:rPr>
          <w:rFonts w:hint="default" w:cs="仿宋"/>
          <w:snapToGrid w:val="0"/>
          <w:color w:val="000000"/>
          <w:kern w:val="0"/>
          <w:sz w:val="28"/>
          <w:szCs w:val="28"/>
          <w:lang w:val="en-US" w:eastAsia="zh-CN" w:bidi="ar-SA"/>
        </w:rPr>
      </w:pPr>
      <w:r>
        <w:rPr>
          <w:rFonts w:hint="eastAsia" w:cs="仿宋"/>
          <w:snapToGrid w:val="0"/>
          <w:color w:val="000000"/>
          <w:kern w:val="0"/>
          <w:sz w:val="28"/>
          <w:szCs w:val="28"/>
          <w:lang w:val="en-US" w:eastAsia="zh-CN" w:bidi="ar-SA"/>
        </w:rPr>
        <w:t>经甲乙双方协商，理发室费用进行分摊，年度费用</w:t>
      </w:r>
      <w:r>
        <w:rPr>
          <w:rFonts w:hint="eastAsia" w:cs="仿宋"/>
          <w:snapToGrid w:val="0"/>
          <w:color w:val="auto"/>
          <w:kern w:val="0"/>
          <w:sz w:val="28"/>
          <w:szCs w:val="28"/>
          <w:highlight w:val="none"/>
          <w:lang w:val="en-US" w:eastAsia="zh-CN" w:bidi="ar-SA"/>
        </w:rPr>
        <w:t>为</w:t>
      </w:r>
      <w:r>
        <w:rPr>
          <w:rFonts w:hint="eastAsia" w:cs="仿宋"/>
          <w:snapToGrid w:val="0"/>
          <w:color w:val="000000"/>
          <w:kern w:val="0"/>
          <w:sz w:val="28"/>
          <w:szCs w:val="28"/>
          <w:vertAlign w:val="baseline"/>
          <w:lang w:val="en-US" w:eastAsia="zh-CN" w:bidi="ar-SA"/>
        </w:rPr>
        <w:t>9300</w:t>
      </w:r>
      <w:r>
        <w:rPr>
          <w:rFonts w:hint="eastAsia" w:cs="仿宋"/>
          <w:snapToGrid w:val="0"/>
          <w:color w:val="auto"/>
          <w:kern w:val="0"/>
          <w:sz w:val="28"/>
          <w:szCs w:val="28"/>
          <w:highlight w:val="none"/>
          <w:lang w:val="en-US" w:eastAsia="zh-CN" w:bidi="ar-SA"/>
        </w:rPr>
        <w:t>元</w:t>
      </w:r>
      <w:r>
        <w:rPr>
          <w:rFonts w:hint="eastAsia" w:cs="仿宋"/>
          <w:snapToGrid w:val="0"/>
          <w:color w:val="000000"/>
          <w:kern w:val="0"/>
          <w:sz w:val="28"/>
          <w:szCs w:val="28"/>
          <w:lang w:val="en-US" w:eastAsia="zh-CN" w:bidi="ar-SA"/>
        </w:rPr>
        <w:t>。具体明细如下：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6"/>
        <w:gridCol w:w="2886"/>
        <w:gridCol w:w="2886"/>
      </w:tblGrid>
      <w:tr w14:paraId="4B4111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6" w:type="dxa"/>
            <w:noWrap w:val="0"/>
            <w:vAlign w:val="center"/>
          </w:tcPr>
          <w:p w14:paraId="5C895B55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ind w:right="0" w:rightChars="0"/>
              <w:jc w:val="center"/>
              <w:textAlignment w:val="baseline"/>
              <w:rPr>
                <w:rFonts w:hint="default" w:cs="仿宋"/>
                <w:snapToGrid w:val="0"/>
                <w:color w:val="000000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cs="仿宋"/>
                <w:snapToGrid w:val="0"/>
                <w:color w:val="000000"/>
                <w:kern w:val="0"/>
                <w:sz w:val="28"/>
                <w:szCs w:val="28"/>
                <w:vertAlign w:val="baseline"/>
                <w:lang w:val="en-US" w:eastAsia="zh-CN" w:bidi="ar-SA"/>
              </w:rPr>
              <w:t>单位</w:t>
            </w:r>
          </w:p>
        </w:tc>
        <w:tc>
          <w:tcPr>
            <w:tcW w:w="2886" w:type="dxa"/>
            <w:noWrap w:val="0"/>
            <w:vAlign w:val="center"/>
          </w:tcPr>
          <w:p w14:paraId="1ECF1814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ind w:right="0" w:rightChars="0"/>
              <w:jc w:val="center"/>
              <w:textAlignment w:val="baseline"/>
              <w:rPr>
                <w:rFonts w:hint="default" w:cs="仿宋"/>
                <w:snapToGrid w:val="0"/>
                <w:color w:val="000000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cs="仿宋"/>
                <w:snapToGrid w:val="0"/>
                <w:color w:val="000000"/>
                <w:kern w:val="0"/>
                <w:sz w:val="28"/>
                <w:szCs w:val="28"/>
                <w:vertAlign w:val="baseline"/>
                <w:lang w:val="en-US" w:eastAsia="zh-CN" w:bidi="ar-SA"/>
              </w:rPr>
              <w:t>充值卡人数</w:t>
            </w:r>
          </w:p>
        </w:tc>
        <w:tc>
          <w:tcPr>
            <w:tcW w:w="2886" w:type="dxa"/>
            <w:noWrap w:val="0"/>
            <w:vAlign w:val="center"/>
          </w:tcPr>
          <w:p w14:paraId="213065C8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ind w:right="0" w:rightChars="0"/>
              <w:jc w:val="center"/>
              <w:textAlignment w:val="baseline"/>
              <w:rPr>
                <w:rFonts w:hint="default" w:cs="仿宋"/>
                <w:snapToGrid w:val="0"/>
                <w:color w:val="000000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cs="仿宋"/>
                <w:snapToGrid w:val="0"/>
                <w:color w:val="000000"/>
                <w:kern w:val="0"/>
                <w:sz w:val="28"/>
                <w:szCs w:val="28"/>
                <w:vertAlign w:val="baseline"/>
                <w:lang w:val="en-US" w:eastAsia="zh-CN" w:bidi="ar-SA"/>
              </w:rPr>
              <w:t>出资/元/年</w:t>
            </w:r>
          </w:p>
        </w:tc>
      </w:tr>
      <w:tr w14:paraId="65CBF6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6" w:type="dxa"/>
            <w:noWrap w:val="0"/>
            <w:vAlign w:val="center"/>
          </w:tcPr>
          <w:p w14:paraId="0A607BF0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ind w:right="0" w:rightChars="0"/>
              <w:jc w:val="center"/>
              <w:textAlignment w:val="baseline"/>
              <w:rPr>
                <w:rFonts w:hint="default" w:cs="仿宋"/>
                <w:snapToGrid w:val="0"/>
                <w:color w:val="000000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cs="仿宋"/>
                <w:snapToGrid w:val="0"/>
                <w:color w:val="000000"/>
                <w:kern w:val="0"/>
                <w:sz w:val="28"/>
                <w:szCs w:val="28"/>
                <w:vertAlign w:val="baseline"/>
                <w:lang w:val="en-US" w:eastAsia="zh-CN" w:bidi="ar-SA"/>
              </w:rPr>
              <w:t>货运中心</w:t>
            </w:r>
          </w:p>
        </w:tc>
        <w:tc>
          <w:tcPr>
            <w:tcW w:w="2886" w:type="dxa"/>
            <w:noWrap w:val="0"/>
            <w:vAlign w:val="center"/>
          </w:tcPr>
          <w:p w14:paraId="4D73AFCE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ind w:right="0" w:rightChars="0"/>
              <w:jc w:val="center"/>
              <w:textAlignment w:val="baseline"/>
              <w:rPr>
                <w:rFonts w:hint="default" w:cs="仿宋"/>
                <w:snapToGrid w:val="0"/>
                <w:color w:val="000000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cs="仿宋"/>
                <w:snapToGrid w:val="0"/>
                <w:color w:val="000000"/>
                <w:kern w:val="0"/>
                <w:sz w:val="28"/>
                <w:szCs w:val="28"/>
                <w:vertAlign w:val="baseline"/>
                <w:lang w:val="en-US" w:eastAsia="zh-CN" w:bidi="ar-SA"/>
              </w:rPr>
              <w:t>34</w:t>
            </w:r>
          </w:p>
        </w:tc>
        <w:tc>
          <w:tcPr>
            <w:tcW w:w="2886" w:type="dxa"/>
            <w:noWrap w:val="0"/>
            <w:vAlign w:val="center"/>
          </w:tcPr>
          <w:p w14:paraId="16C9EFBC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ind w:right="0" w:rightChars="0"/>
              <w:jc w:val="center"/>
              <w:textAlignment w:val="baseline"/>
              <w:rPr>
                <w:rFonts w:hint="default" w:cs="仿宋"/>
                <w:snapToGrid w:val="0"/>
                <w:color w:val="000000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cs="仿宋"/>
                <w:snapToGrid w:val="0"/>
                <w:color w:val="000000"/>
                <w:kern w:val="0"/>
                <w:sz w:val="28"/>
                <w:szCs w:val="28"/>
                <w:vertAlign w:val="baseline"/>
                <w:lang w:val="en-US" w:eastAsia="zh-CN" w:bidi="ar-SA"/>
              </w:rPr>
              <w:t>9300</w:t>
            </w:r>
          </w:p>
        </w:tc>
      </w:tr>
    </w:tbl>
    <w:p w14:paraId="218E3CF5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560" w:leftChars="0" w:right="0" w:rightChars="0"/>
        <w:textAlignment w:val="baseline"/>
        <w:rPr>
          <w:rFonts w:hint="default" w:cs="仿宋"/>
          <w:snapToGrid w:val="0"/>
          <w:color w:val="000000"/>
          <w:kern w:val="0"/>
          <w:sz w:val="28"/>
          <w:szCs w:val="28"/>
          <w:lang w:val="en-US" w:eastAsia="zh-CN" w:bidi="ar-SA"/>
        </w:rPr>
      </w:pPr>
    </w:p>
    <w:p w14:paraId="10D3571D">
      <w:pPr>
        <w:pStyle w:val="2"/>
        <w:keepNext w:val="0"/>
        <w:keepLines w:val="0"/>
        <w:pageBreakBefore w:val="0"/>
        <w:widowControl/>
        <w:numPr>
          <w:ilvl w:val="0"/>
          <w:numId w:val="2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560" w:leftChars="0" w:right="0" w:rightChars="0"/>
        <w:textAlignment w:val="baseline"/>
        <w:rPr>
          <w:rFonts w:hint="eastAsia" w:cs="仿宋"/>
          <w:snapToGrid w:val="0"/>
          <w:color w:val="000000"/>
          <w:kern w:val="0"/>
          <w:sz w:val="28"/>
          <w:szCs w:val="28"/>
          <w:lang w:val="en-US" w:eastAsia="zh-CN" w:bidi="ar-SA"/>
        </w:rPr>
      </w:pPr>
      <w:r>
        <w:rPr>
          <w:rFonts w:hint="eastAsia" w:cs="仿宋"/>
          <w:snapToGrid w:val="0"/>
          <w:color w:val="000000"/>
          <w:kern w:val="0"/>
          <w:sz w:val="28"/>
          <w:szCs w:val="28"/>
          <w:lang w:val="en-US" w:eastAsia="zh-CN" w:bidi="ar-SA"/>
        </w:rPr>
        <w:t>文化场所分摊</w:t>
      </w:r>
    </w:p>
    <w:p w14:paraId="5D785E8D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right="0" w:rightChars="0" w:firstLine="560" w:firstLineChars="200"/>
        <w:textAlignment w:val="baseline"/>
        <w:rPr>
          <w:rFonts w:hint="eastAsia" w:cs="仿宋"/>
          <w:snapToGrid w:val="0"/>
          <w:color w:val="000000"/>
          <w:kern w:val="0"/>
          <w:sz w:val="28"/>
          <w:szCs w:val="28"/>
          <w:lang w:val="en-US" w:eastAsia="zh-CN" w:bidi="ar-SA"/>
        </w:rPr>
      </w:pPr>
      <w:r>
        <w:rPr>
          <w:rFonts w:hint="eastAsia" w:cs="仿宋"/>
          <w:snapToGrid w:val="0"/>
          <w:color w:val="000000"/>
          <w:kern w:val="0"/>
          <w:sz w:val="28"/>
          <w:szCs w:val="28"/>
          <w:lang w:val="en-US" w:eastAsia="zh-CN" w:bidi="ar-SA"/>
        </w:rPr>
        <w:t>经甲乙双方协商，文化场所费用进行分摊，年度费用</w:t>
      </w:r>
      <w:r>
        <w:rPr>
          <w:rFonts w:hint="eastAsia" w:cs="仿宋"/>
          <w:snapToGrid w:val="0"/>
          <w:color w:val="auto"/>
          <w:kern w:val="0"/>
          <w:sz w:val="28"/>
          <w:szCs w:val="28"/>
          <w:highlight w:val="none"/>
          <w:lang w:val="en-US" w:eastAsia="zh-CN" w:bidi="ar-SA"/>
        </w:rPr>
        <w:t>为</w:t>
      </w:r>
      <w:r>
        <w:rPr>
          <w:rFonts w:hint="eastAsia" w:cs="仿宋"/>
          <w:snapToGrid w:val="0"/>
          <w:color w:val="000000"/>
          <w:kern w:val="0"/>
          <w:sz w:val="28"/>
          <w:szCs w:val="28"/>
          <w:vertAlign w:val="baseline"/>
          <w:lang w:val="en-US" w:eastAsia="zh-CN" w:bidi="ar-SA"/>
        </w:rPr>
        <w:t>16336.45</w:t>
      </w:r>
      <w:r>
        <w:rPr>
          <w:rFonts w:hint="eastAsia" w:cs="仿宋"/>
          <w:snapToGrid w:val="0"/>
          <w:color w:val="auto"/>
          <w:kern w:val="0"/>
          <w:sz w:val="28"/>
          <w:szCs w:val="28"/>
          <w:highlight w:val="none"/>
          <w:lang w:val="en-US" w:eastAsia="zh-CN" w:bidi="ar-SA"/>
        </w:rPr>
        <w:t>元</w:t>
      </w:r>
      <w:r>
        <w:rPr>
          <w:rFonts w:hint="eastAsia" w:cs="仿宋"/>
          <w:snapToGrid w:val="0"/>
          <w:color w:val="000000"/>
          <w:kern w:val="0"/>
          <w:sz w:val="28"/>
          <w:szCs w:val="28"/>
          <w:lang w:val="en-US" w:eastAsia="zh-CN" w:bidi="ar-SA"/>
        </w:rPr>
        <w:t>。具体明细如下：</w:t>
      </w:r>
    </w:p>
    <w:tbl>
      <w:tblPr>
        <w:tblStyle w:val="5"/>
        <w:tblW w:w="8302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4"/>
        <w:gridCol w:w="2058"/>
        <w:gridCol w:w="3840"/>
      </w:tblGrid>
      <w:tr w14:paraId="34A824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2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CDD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人数</w:t>
            </w:r>
          </w:p>
        </w:tc>
        <w:tc>
          <w:tcPr>
            <w:tcW w:w="20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281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分摊基数</w:t>
            </w:r>
          </w:p>
        </w:tc>
        <w:tc>
          <w:tcPr>
            <w:tcW w:w="3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FFE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年分摊金额</w:t>
            </w:r>
          </w:p>
        </w:tc>
      </w:tr>
      <w:tr w14:paraId="3F4C7F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2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224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34</w:t>
            </w:r>
          </w:p>
        </w:tc>
        <w:tc>
          <w:tcPr>
            <w:tcW w:w="20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1376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122042.9</w:t>
            </w:r>
          </w:p>
        </w:tc>
        <w:tc>
          <w:tcPr>
            <w:tcW w:w="3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1F1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16336.45</w:t>
            </w:r>
          </w:p>
        </w:tc>
      </w:tr>
    </w:tbl>
    <w:p w14:paraId="7836061C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right="0" w:rightChars="0"/>
        <w:textAlignment w:val="baseline"/>
        <w:rPr>
          <w:rFonts w:hint="default" w:cs="仿宋"/>
          <w:snapToGrid w:val="0"/>
          <w:color w:val="000000"/>
          <w:kern w:val="0"/>
          <w:sz w:val="28"/>
          <w:szCs w:val="28"/>
          <w:lang w:val="en-US" w:eastAsia="zh-CN" w:bidi="ar-SA"/>
        </w:rPr>
      </w:pPr>
    </w:p>
    <w:p w14:paraId="6ED7E80E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right="0" w:firstLine="560" w:firstLineChars="200"/>
        <w:textAlignment w:val="baseline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lang w:val="en-US" w:eastAsia="en-US" w:bidi="ar-SA"/>
        </w:rPr>
      </w:pPr>
      <w:r>
        <w:rPr>
          <w:rFonts w:hint="eastAsia" w:cs="仿宋"/>
          <w:snapToGrid w:val="0"/>
          <w:color w:val="000000"/>
          <w:kern w:val="0"/>
          <w:sz w:val="28"/>
          <w:szCs w:val="28"/>
          <w:lang w:val="en-US" w:eastAsia="zh-CN" w:bidi="ar-SA"/>
        </w:rPr>
        <w:t>三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lang w:val="en-US" w:eastAsia="en-US" w:bidi="ar-SA"/>
        </w:rPr>
        <w:t>、本协议费用分</w:t>
      </w:r>
      <w:r>
        <w:rPr>
          <w:rFonts w:hint="eastAsia" w:cs="仿宋"/>
          <w:snapToGrid w:val="0"/>
          <w:color w:val="000000"/>
          <w:kern w:val="0"/>
          <w:sz w:val="28"/>
          <w:szCs w:val="28"/>
          <w:lang w:val="en-US" w:eastAsia="zh-CN" w:bidi="ar-SA"/>
        </w:rPr>
        <w:t>二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lang w:val="en-US" w:eastAsia="en-US" w:bidi="ar-SA"/>
        </w:rPr>
        <w:t>次付款；</w:t>
      </w:r>
    </w:p>
    <w:p w14:paraId="77A2394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right="0" w:firstLine="560" w:firstLineChars="200"/>
        <w:textAlignment w:val="baseline"/>
        <w:rPr>
          <w:rFonts w:hint="default" w:cs="仿宋"/>
          <w:snapToGrid w:val="0"/>
          <w:color w:val="000000"/>
          <w:kern w:val="0"/>
          <w:sz w:val="28"/>
          <w:szCs w:val="28"/>
          <w:lang w:val="en-US" w:eastAsia="zh-CN" w:bidi="ar-SA"/>
        </w:rPr>
      </w:pPr>
      <w:r>
        <w:rPr>
          <w:rFonts w:hint="eastAsia" w:cs="仿宋"/>
          <w:snapToGrid w:val="0"/>
          <w:color w:val="auto"/>
          <w:kern w:val="0"/>
          <w:sz w:val="28"/>
          <w:szCs w:val="28"/>
          <w:lang w:val="en-US" w:eastAsia="zh-CN" w:bidi="ar-SA"/>
        </w:rPr>
        <w:t>第一次付款时间为：2026年6月支付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本协议</w:t>
      </w:r>
      <w:r>
        <w:rPr>
          <w:rFonts w:hint="eastAsia" w:ascii="仿宋_GB2312" w:hAnsi="仿宋_GB2312" w:eastAsia="仿宋_GB2312" w:cs="仿宋_GB2312"/>
          <w:strike w:val="0"/>
          <w:dstrike w:val="0"/>
          <w:color w:val="auto"/>
          <w:sz w:val="28"/>
          <w:szCs w:val="28"/>
          <w:lang w:val="en-US" w:eastAsia="zh-CN"/>
        </w:rPr>
        <w:t>暂定总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价款的50%，金额为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  <w:lang w:val="en-US" w:eastAsia="zh-CN"/>
        </w:rPr>
        <w:t>793080.97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元，人民币（大写）：柒拾玖万叁仟零捌拾元玖角柒分。</w:t>
      </w:r>
      <w:r>
        <w:rPr>
          <w:rFonts w:hint="eastAsia" w:ascii="仿宋" w:hAnsi="仿宋" w:eastAsia="仿宋" w:cs="仿宋"/>
          <w:snapToGrid w:val="0"/>
          <w:color w:val="auto"/>
          <w:kern w:val="0"/>
          <w:sz w:val="28"/>
          <w:szCs w:val="28"/>
          <w:lang w:val="en-US" w:eastAsia="zh-CN" w:bidi="ar-SA"/>
        </w:rPr>
        <w:t>第二次付款时间为：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202</w:t>
      </w:r>
      <w:r>
        <w:rPr>
          <w:rFonts w:hint="eastAsia" w:cs="仿宋"/>
          <w:color w:val="auto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年12月</w:t>
      </w:r>
      <w:r>
        <w:rPr>
          <w:rFonts w:hint="eastAsia" w:cs="仿宋"/>
          <w:color w:val="auto"/>
          <w:sz w:val="28"/>
          <w:szCs w:val="28"/>
          <w:lang w:val="en-US" w:eastAsia="zh-CN"/>
        </w:rPr>
        <w:t>前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支付本协议据实后的</w:t>
      </w:r>
      <w:r>
        <w:rPr>
          <w:rFonts w:hint="eastAsia" w:ascii="仿宋" w:hAnsi="仿宋" w:eastAsia="仿宋" w:cs="仿宋"/>
          <w:strike w:val="0"/>
          <w:dstrike w:val="0"/>
          <w:color w:val="auto"/>
          <w:sz w:val="28"/>
          <w:szCs w:val="28"/>
          <w:lang w:val="en-US" w:eastAsia="zh-CN"/>
        </w:rPr>
        <w:t>协议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价尾款。</w:t>
      </w:r>
    </w:p>
    <w:p w14:paraId="291303DE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right="0" w:firstLine="560" w:firstLineChars="200"/>
        <w:textAlignment w:val="baseline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lang w:val="en-US" w:eastAsia="en-US" w:bidi="ar-SA"/>
        </w:rPr>
      </w:pPr>
      <w:r>
        <w:rPr>
          <w:rFonts w:hint="eastAsia" w:cs="仿宋"/>
          <w:snapToGrid w:val="0"/>
          <w:color w:val="000000"/>
          <w:kern w:val="0"/>
          <w:sz w:val="28"/>
          <w:szCs w:val="28"/>
          <w:lang w:val="en-US" w:eastAsia="zh-CN" w:bidi="ar-SA"/>
        </w:rPr>
        <w:t>四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lang w:val="en-US" w:eastAsia="en-US" w:bidi="ar-SA"/>
        </w:rPr>
        <w:t>、物业管理服务费收支的情况，每年由物业公司向用户委员会报告。</w:t>
      </w:r>
    </w:p>
    <w:p w14:paraId="2BC4E5F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right="0" w:firstLine="560" w:firstLineChars="200"/>
        <w:textAlignment w:val="baseline"/>
        <w:rPr>
          <w:rFonts w:hint="default" w:cs="仿宋"/>
          <w:snapToGrid w:val="0"/>
          <w:color w:val="000000"/>
          <w:kern w:val="0"/>
          <w:sz w:val="28"/>
          <w:szCs w:val="28"/>
          <w:lang w:val="en-US" w:eastAsia="zh-CN" w:bidi="ar-SA"/>
        </w:rPr>
      </w:pPr>
      <w:r>
        <w:rPr>
          <w:rFonts w:hint="eastAsia" w:cs="仿宋"/>
          <w:snapToGrid w:val="0"/>
          <w:color w:val="000000"/>
          <w:kern w:val="0"/>
          <w:sz w:val="28"/>
          <w:szCs w:val="28"/>
          <w:lang w:val="en-US" w:eastAsia="zh-CN" w:bidi="ar-SA"/>
        </w:rPr>
        <w:t>五、乙方对公账户信息</w:t>
      </w:r>
    </w:p>
    <w:p w14:paraId="6F185FCE">
      <w:pPr>
        <w:spacing w:before="242" w:line="221" w:lineRule="auto"/>
        <w:ind w:firstLine="560" w:firstLineChars="200"/>
        <w:rPr>
          <w:rFonts w:hint="default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单位名称：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武汉天衢城市服务科技有限公司</w:t>
      </w:r>
    </w:p>
    <w:p w14:paraId="46050804">
      <w:pPr>
        <w:spacing w:before="248" w:line="576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position w:val="22"/>
          <w:sz w:val="28"/>
          <w:szCs w:val="28"/>
        </w:rPr>
        <w:t>纳税人识别号：91420102744756396A</w:t>
      </w:r>
    </w:p>
    <w:p w14:paraId="656CE14D">
      <w:pPr>
        <w:spacing w:line="220" w:lineRule="auto"/>
        <w:ind w:firstLine="560" w:firstLineChars="200"/>
        <w:rPr>
          <w:rFonts w:hint="default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开户行：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上海浦东发展银行武汉分行</w:t>
      </w:r>
    </w:p>
    <w:p w14:paraId="7922BB4D">
      <w:pPr>
        <w:spacing w:before="251" w:line="224" w:lineRule="auto"/>
        <w:ind w:firstLine="560" w:firstLineChars="200"/>
        <w:rPr>
          <w:rFonts w:hint="default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开户行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账号：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70160078801000006015</w:t>
      </w:r>
    </w:p>
    <w:p w14:paraId="1BDE71FC">
      <w:pPr>
        <w:spacing w:before="251" w:line="224" w:lineRule="auto"/>
        <w:ind w:firstLine="560" w:firstLineChars="200"/>
        <w:rPr>
          <w:rFonts w:hint="default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银行行号：310521000162</w:t>
      </w:r>
    </w:p>
    <w:p w14:paraId="3E78E381">
      <w:pPr>
        <w:spacing w:before="240" w:line="222" w:lineRule="auto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地址、电话：湖北省武汉市黄孝河路47号027-68820285</w:t>
      </w:r>
    </w:p>
    <w:p w14:paraId="48E4881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right="0" w:firstLine="562" w:firstLineChars="200"/>
        <w:textAlignment w:val="baseline"/>
        <w:rPr>
          <w:rFonts w:ascii="Arial"/>
          <w:sz w:val="21"/>
        </w:rPr>
      </w:pPr>
      <w:r>
        <w:rPr>
          <w:rFonts w:hint="eastAsia" w:ascii="仿宋" w:hAnsi="仿宋" w:eastAsia="仿宋" w:cs="仿宋"/>
          <w:b/>
          <w:bCs/>
          <w:snapToGrid w:val="0"/>
          <w:color w:val="000000"/>
          <w:kern w:val="0"/>
          <w:sz w:val="28"/>
          <w:szCs w:val="28"/>
          <w:lang w:val="en-US" w:eastAsia="en-US" w:bidi="ar-SA"/>
        </w:rPr>
        <w:t>第四条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lang w:val="en-US" w:eastAsia="en-US" w:bidi="ar-SA"/>
        </w:rPr>
        <w:t xml:space="preserve"> 本协议有效时限自202</w:t>
      </w:r>
      <w:r>
        <w:rPr>
          <w:rFonts w:hint="eastAsia" w:cs="仿宋"/>
          <w:snapToGrid w:val="0"/>
          <w:color w:val="000000"/>
          <w:kern w:val="0"/>
          <w:sz w:val="28"/>
          <w:szCs w:val="28"/>
          <w:lang w:val="en-US" w:eastAsia="zh-CN" w:bidi="ar-SA"/>
        </w:rPr>
        <w:t>6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lang w:val="en-US" w:eastAsia="en-US" w:bidi="ar-SA"/>
        </w:rPr>
        <w:t>年1月1日至202</w:t>
      </w:r>
      <w:r>
        <w:rPr>
          <w:rFonts w:hint="eastAsia" w:cs="仿宋"/>
          <w:snapToGrid w:val="0"/>
          <w:color w:val="000000"/>
          <w:kern w:val="0"/>
          <w:sz w:val="28"/>
          <w:szCs w:val="28"/>
          <w:lang w:val="en-US" w:eastAsia="zh-CN" w:bidi="ar-SA"/>
        </w:rPr>
        <w:t>6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lang w:val="en-US" w:eastAsia="en-US" w:bidi="ar-SA"/>
        </w:rPr>
        <w:t>年12月31日一年内有效。</w:t>
      </w:r>
    </w:p>
    <w:p w14:paraId="423088FB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630" w:leftChars="0"/>
        <w:jc w:val="left"/>
        <w:textAlignment w:val="baseline"/>
        <w:rPr>
          <w:spacing w:val="-1"/>
        </w:rPr>
      </w:pPr>
      <w:r>
        <w:rPr>
          <w:rFonts w:hint="eastAsia"/>
          <w:b/>
          <w:bCs/>
          <w:spacing w:val="-1"/>
          <w:lang w:val="en-US" w:eastAsia="zh-CN"/>
        </w:rPr>
        <w:t>第五条</w:t>
      </w:r>
      <w:r>
        <w:rPr>
          <w:rFonts w:hint="eastAsia"/>
          <w:spacing w:val="-1"/>
          <w:lang w:val="en-US" w:eastAsia="zh-CN"/>
        </w:rPr>
        <w:t xml:space="preserve"> </w:t>
      </w:r>
      <w:r>
        <w:rPr>
          <w:spacing w:val="-1"/>
        </w:rPr>
        <w:t>服务内容及服务质量</w:t>
      </w:r>
    </w:p>
    <w:p w14:paraId="3E75084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38" w:firstLineChars="228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一、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房屋结构装修部位的维护和管理。</w:t>
      </w:r>
    </w:p>
    <w:p w14:paraId="3A2746A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38" w:firstLineChars="228"/>
        <w:textAlignment w:val="baseline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房屋结构装修部位是指主体承重部位，室内户外墙面、 门厅、楼梯间、走廊通道等。要求保持房屋结构装修良好， 保证其安全性，外观整洁，涂料无脱落、无污渍；无乱贴、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lang w:val="en-US" w:eastAsia="en-US" w:bidi="ar-SA"/>
        </w:rPr>
        <w:t>乱涂、乱画及乱悬挂现象。</w:t>
      </w:r>
    </w:p>
    <w:p w14:paraId="47384C9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38" w:firstLineChars="228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、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房屋设施设备及其运行的维护和管理。</w:t>
      </w:r>
    </w:p>
    <w:p w14:paraId="1208EBA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房屋设施设备包括供电系统设备、给排水及消防设施、空调系统设备、电梯设备、燃气设备、绿化工程、市政道路、广场停车场等，实行定期维护保养，做好登记。要保持设备设施良好运行状态，无重大管理责任事故。</w:t>
      </w:r>
    </w:p>
    <w:p w14:paraId="20EB6F5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三、公共区域卫生保洁服务</w:t>
      </w:r>
    </w:p>
    <w:p w14:paraId="402D12C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560" w:firstLineChars="200"/>
        <w:textAlignment w:val="baseline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对大楼公共部位，包括楼内大厅、梯间、楼梯走道、卫生间、楼外大楼四周的环境卫生、停车场的等提供清洁卫生服务，以及垃圾的收集、清运。要求公共部位保持洁净、光亮、无灰尘、无水渍、无污迹等，符合卫生标准，环境卫生 无杂物，无灰尘，无鼠、虫害，垃圾日产日清，定期进行消毒灭杀。</w:t>
      </w:r>
    </w:p>
    <w:p w14:paraId="6DFBA2B9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right="0" w:firstLine="560" w:firstLineChars="200"/>
        <w:textAlignment w:val="baseline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lang w:val="en-US" w:eastAsia="en-US" w:bidi="ar-SA"/>
        </w:rPr>
        <w:t>四</w:t>
      </w:r>
      <w:r>
        <w:rPr>
          <w:rFonts w:hint="eastAsia" w:cs="仿宋"/>
          <w:snapToGrid w:val="0"/>
          <w:color w:val="000000"/>
          <w:kern w:val="0"/>
          <w:sz w:val="28"/>
          <w:szCs w:val="28"/>
          <w:lang w:val="en-US" w:eastAsia="zh-CN" w:bidi="ar-SA"/>
        </w:rPr>
        <w:t>、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lang w:val="en-US" w:eastAsia="en-US" w:bidi="ar-SA"/>
        </w:rPr>
        <w:t>大楼安防服务</w:t>
      </w:r>
    </w:p>
    <w:p w14:paraId="568D47A9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right="0" w:firstLine="560" w:firstLineChars="200"/>
        <w:textAlignment w:val="baseline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lang w:val="en-US" w:eastAsia="en-US" w:bidi="ar-SA"/>
        </w:rPr>
        <w:t>主要工作内容：物业保安人员对大楼实行封闭式的管理，采取24 小时不间断安全、消防监控、巡查；制定安全 防范措施；协助公安部门维护本物业区域内的公共秩序。要求制定保安管理制度和消防紧急预案，对用户进行消防知识宣传教育，并适时组织消防演习，保持消防设施的良好。</w:t>
      </w:r>
    </w:p>
    <w:p w14:paraId="21BE9DC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五、环境绿化服务</w:t>
      </w:r>
    </w:p>
    <w:p w14:paraId="46874E7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做好大楼环境绿化和环境创新工作，保持大楼的良好形象，绿化管理要花草树木长势良好，摆放、修剪整齐美观；绿地无纸屑、烟头、石块等杂物。</w:t>
      </w:r>
    </w:p>
    <w:p w14:paraId="5BF776C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六、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就餐服务</w:t>
      </w:r>
    </w:p>
    <w:p w14:paraId="54038DC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为用户提供早、中、晚工作餐和客餐、会议餐。要求餐厅为用户提供色香味美价廉的各类饭菜食品且符合卫生标准。</w:t>
      </w:r>
    </w:p>
    <w:p w14:paraId="2EE60AF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七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、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会议服务</w:t>
      </w:r>
    </w:p>
    <w:p w14:paraId="531E233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大楼五楼会议中心为用户提供各类会议服务。</w:t>
      </w:r>
    </w:p>
    <w:p w14:paraId="33DE1ED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八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、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室内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会务接待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保洁服务</w:t>
      </w:r>
    </w:p>
    <w:p w14:paraId="1CF7997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负责甲方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会务接待工作，以及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办公室、接待室、会议室、值班室的卫生清洁和收发甲方报纸及刊物等工作，保持地面、墙面、沙发、茶几、台面、柜体等部位干净、无灰尘污渍与积水。每天至少一次更换值班室床上用品和办公区域的垃圾收集清理、更换垃圾袋工作。</w:t>
      </w:r>
    </w:p>
    <w:p w14:paraId="18B36AC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560" w:firstLineChars="200"/>
        <w:textAlignment w:val="baseline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九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、驾驶员服务</w:t>
      </w:r>
    </w:p>
    <w:p w14:paraId="348838E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560" w:firstLineChars="200"/>
        <w:textAlignment w:val="baseline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乙方根据甲方驾驶员需求，选派符合条件的驾驶员为甲方公务车辆提供驾驶服务。</w:t>
      </w:r>
    </w:p>
    <w:p w14:paraId="27A8F74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十、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其它特约服务</w:t>
      </w:r>
    </w:p>
    <w:p w14:paraId="5ADC20F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560" w:firstLineChars="200"/>
        <w:textAlignment w:val="baseline"/>
        <w:rPr>
          <w:rFonts w:ascii="Arial"/>
          <w:sz w:val="21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按照用户要求并为其提供专项服务。</w:t>
      </w:r>
    </w:p>
    <w:p w14:paraId="089E9F2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562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第六条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代收代缴收费服务</w:t>
      </w:r>
    </w:p>
    <w:p w14:paraId="4089D5D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560" w:firstLineChars="200"/>
        <w:textAlignment w:val="baseline"/>
        <w:rPr>
          <w:rFonts w:ascii="Arial"/>
          <w:sz w:val="21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大楼物业所有项目实行统一管理，代为特约服务的方式运行，乙方受入住用户的委托，可根据甲方要求提供特约服务并代收代缴甲方自用电费、电话费、室内绿化租摆费、房租等相关费用(代收代缴费用不属于物业管理服务费用),并收取相应增值税发票税金，代收代缴收费标准按政府有关部门或有关合同规定执行。</w:t>
      </w:r>
    </w:p>
    <w:p w14:paraId="7F63A4E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562" w:firstLineChars="200"/>
        <w:textAlignment w:val="baseline"/>
        <w:rPr>
          <w:rFonts w:ascii="Arial"/>
          <w:sz w:val="21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 xml:space="preserve">第七条 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双方的权利和义务</w:t>
      </w:r>
    </w:p>
    <w:p w14:paraId="1FB67E5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38" w:firstLineChars="228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一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、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甲方的权利义务</w:t>
      </w:r>
    </w:p>
    <w:p w14:paraId="48687A5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38" w:firstLineChars="228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1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监督乙方的物业管理服务行为，就物业管理的有关问题向乙方提出意见和建议；</w:t>
      </w:r>
    </w:p>
    <w:p w14:paraId="428C261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38" w:firstLineChars="228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遵守本物业的物业管理制度和《用户守则》;</w:t>
      </w:r>
    </w:p>
    <w:p w14:paraId="302A328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38" w:firstLineChars="228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3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依据本协议向乙方交纳物业管理及相关费用；</w:t>
      </w:r>
    </w:p>
    <w:p w14:paraId="0499A62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38" w:firstLineChars="228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4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装饰装修房屋时，遵守《房屋装饰装修管理协议》;</w:t>
      </w:r>
    </w:p>
    <w:p w14:paraId="6E5C475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38" w:firstLineChars="228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5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不得占用、损坏本物业的共用部位、共用设施设备或改变其使用功能。因搬迁、装饰装修等原因确需合理使用共用部位、共用设施设备的，应事先通知乙方，并在约定的期限内恢复原状，造成损失的，给予赔偿；</w:t>
      </w:r>
    </w:p>
    <w:p w14:paraId="67D7409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38" w:firstLineChars="228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6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转让房屋时，事先通知乙方，告知受让方与乙方签订本协议；</w:t>
      </w:r>
    </w:p>
    <w:p w14:paraId="5B3B38D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38" w:firstLineChars="228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7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对承租人、使用人及访客等，违反本物业的物业管理制度和《用户守则》等造成的损失、损害承担民事责任；</w:t>
      </w:r>
    </w:p>
    <w:p w14:paraId="26D04FB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38" w:firstLineChars="228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8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按照安全、公平、合理的原则，正确处理物业的给排水、通风、采光、维修、通行、卫生、环保等方面的相邻关系，不得侵害他人的合法权益；</w:t>
      </w:r>
    </w:p>
    <w:p w14:paraId="6327511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38" w:firstLineChars="228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9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检查监督乙方管理工作的执行情况。</w:t>
      </w:r>
    </w:p>
    <w:p w14:paraId="705D141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38" w:firstLineChars="228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10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如甲方认为乙方员工业务水平、专业技能等不能满足实际工作需要时，有权要求乙方无条件调配符合资格要求的人员。</w:t>
      </w:r>
    </w:p>
    <w:p w14:paraId="7BBC355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38" w:firstLineChars="228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二、乙方的权利义务</w:t>
      </w:r>
    </w:p>
    <w:p w14:paraId="3D1790D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38" w:firstLineChars="228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1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根据物业管理有关法规和政策，由业主授权对大楼实施全面经营和物业管理，并结合实际情况，制定本物业的物业管理的相关制度和《用户公约》,并督促大楼用户共同遵守；</w:t>
      </w:r>
    </w:p>
    <w:p w14:paraId="561C44A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38" w:firstLineChars="228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严格按照本协议第二条为用户提供服务；</w:t>
      </w:r>
    </w:p>
    <w:p w14:paraId="4D7564D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38" w:firstLineChars="228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3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建立健全本物业的物业管理档案资料：</w:t>
      </w:r>
    </w:p>
    <w:p w14:paraId="03F64FB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38" w:firstLineChars="228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4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有权制止违反本物业的物业管理制度的行为；</w:t>
      </w:r>
    </w:p>
    <w:p w14:paraId="71D6C6D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38" w:firstLineChars="228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5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物业管理单位可委托专业公司承担本物业的专项管理与服务业务，但不得将本物业的整体管理责任转让给第三方；</w:t>
      </w:r>
    </w:p>
    <w:p w14:paraId="4488508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38" w:firstLineChars="228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6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依据本协议向甲方收取物业管理及相关费用；</w:t>
      </w:r>
    </w:p>
    <w:p w14:paraId="568BF1E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38" w:firstLineChars="228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7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编制物业管理服务项目及财务年度支出、预算，并经业主和用户委员会批准认可；</w:t>
      </w:r>
    </w:p>
    <w:p w14:paraId="21EE72C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38" w:firstLineChars="228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8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不得占用本物业的共用部位、共用设施设备或改变其使用功能；</w:t>
      </w:r>
    </w:p>
    <w:p w14:paraId="4490FD4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38" w:firstLineChars="228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9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向甲方提供房屋自用部位、自用设施设备维修养护等有偿服务。</w:t>
      </w:r>
    </w:p>
    <w:p w14:paraId="1F2B29E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38" w:firstLineChars="228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10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乙方年度管理计划、资金使用计划及决算报告在用户管理委员会会议中公布；</w:t>
      </w:r>
    </w:p>
    <w:p w14:paraId="53DF381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38" w:firstLineChars="228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11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乙方制定的物业管理方案在用户管理委员会会议中公布；</w:t>
      </w:r>
    </w:p>
    <w:p w14:paraId="2278B56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38" w:firstLineChars="228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12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无偿提供甲方在本大楼工作的职工(本人)车辆停车服务。</w:t>
      </w:r>
    </w:p>
    <w:p w14:paraId="610F49E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38" w:firstLineChars="228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13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乙方负责对室内保洁服务人员的全面管理工作，并承担服务人员的劳动用工及安全责任；甲方与乙方指派服务人员间不存在劳动关系、劳务派遣关系或类似关系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乙方与服务人员签订劳动合同，并负责所指派人员的工资、福利、各项社会保险或人身意外伤害保险等。</w:t>
      </w:r>
    </w:p>
    <w:p w14:paraId="1A43AC5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38" w:firstLineChars="228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14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如乙方员工在工作中发生重大工伤、工亡或意外事故的，由乙方承担责任。</w:t>
      </w:r>
    </w:p>
    <w:p w14:paraId="37FF340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38" w:firstLineChars="228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15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乙方员工在服务过程中因过错或过失给甲方造成一切损失的，由乙方负责协调。</w:t>
      </w:r>
    </w:p>
    <w:p w14:paraId="6149329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38" w:firstLineChars="228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16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乙方必须及时将服务人员基本情况向甲方报备，若发生人员调整，应当提前72小时向甲方报备。</w:t>
      </w:r>
    </w:p>
    <w:p w14:paraId="31B611B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38" w:firstLineChars="228"/>
        <w:textAlignment w:val="baseline"/>
        <w:rPr>
          <w:rFonts w:ascii="Arial"/>
          <w:sz w:val="21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17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如乙方与服务人员需解除或终止劳动合同的，应至少在劳动合同解除前30日提前书面告知甲方。</w:t>
      </w:r>
    </w:p>
    <w:p w14:paraId="69A36FC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562" w:firstLineChars="200"/>
        <w:textAlignment w:val="baseline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 xml:space="preserve">第八条 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违约责任</w:t>
      </w:r>
    </w:p>
    <w:p w14:paraId="636DD3D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38" w:firstLineChars="228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一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、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甲方违反协议，使乙方未达到管理服务质量约定目标的，乙方有权利要求甲方限期改正，逾期未改正给乙方造成损失的，甲方承担相应的法律责任；</w:t>
      </w:r>
    </w:p>
    <w:p w14:paraId="4E57237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38" w:firstLineChars="228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、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乙方违反协议，未达到管理服务质量约定目标的甲方有权要求乙方限期改正，逾期未改正给甲方造成损失的，乙方承担相应的法律责任；</w:t>
      </w:r>
    </w:p>
    <w:p w14:paraId="282D8FA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38" w:firstLineChars="228"/>
        <w:textAlignment w:val="baseline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三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、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甲方违反协议，不按本协议约定的收费标准和时间交纳有关费用的，乙方有权要求甲方补交并从逾期之日起每天按月物业管理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en-US"/>
        </w:rPr>
        <w:t>费5%交纳违约金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>。</w:t>
      </w:r>
    </w:p>
    <w:p w14:paraId="0F86A14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38" w:firstLineChars="228"/>
        <w:textAlignment w:val="baseline"/>
        <w:rPr>
          <w:rFonts w:ascii="Arial"/>
          <w:sz w:val="21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四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、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乙方违反协议，擅自提高收费标准或乱收费的，甲方有权要求乙方清退所收费用，退还利息并按月物业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en-US"/>
        </w:rPr>
        <w:t>管理费5%支付违约金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。</w:t>
      </w:r>
    </w:p>
    <w:p w14:paraId="656B3A7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562" w:firstLineChars="200"/>
        <w:textAlignment w:val="baseline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第九条</w:t>
      </w:r>
      <w:r>
        <w:rPr>
          <w:rFonts w:hint="eastAsia" w:ascii="仿宋" w:hAnsi="仿宋" w:eastAsia="仿宋" w:cs="仿宋"/>
          <w:sz w:val="28"/>
          <w:szCs w:val="28"/>
        </w:rPr>
        <w:t xml:space="preserve"> 为维护公众、业主、使用人的切身利益，在不可预见情况下，如发生煤气泄漏、漏电、火灾、水管破裂、救助人命、协助公安机关执行任务等突发事件，乙方因采取紧急措施造成甲方不必要的财产损失的，双方按有关法律规定处理。</w:t>
      </w:r>
    </w:p>
    <w:p w14:paraId="715D791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41" w:firstLineChars="228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en-US"/>
        </w:rPr>
        <w:t>第十条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 xml:space="preserve"> 在本协议执行期间，如遇不可抗力，致使协议无法履行，双方按有关法律规定处理。</w:t>
      </w:r>
    </w:p>
    <w:p w14:paraId="58C2D14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41" w:firstLineChars="228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en-US"/>
        </w:rPr>
        <w:t>第十一条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 xml:space="preserve"> 本协议内空格部分填写的文字与印刷文字具有同等效力。本协议中未规定的事宜，均遵照国家有关法律、法规和规章执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行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。</w:t>
      </w:r>
    </w:p>
    <w:p w14:paraId="0DC33C2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41" w:firstLineChars="228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en-US"/>
        </w:rPr>
        <w:t>第十二条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 xml:space="preserve"> 物管费按用户管理委员会确认的标准由甲乙双方签字生效。</w:t>
      </w:r>
    </w:p>
    <w:p w14:paraId="6812B07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41" w:firstLineChars="228"/>
        <w:textAlignment w:val="baseline"/>
        <w:rPr>
          <w:rFonts w:ascii="Arial"/>
          <w:sz w:val="21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en-US"/>
        </w:rPr>
        <w:t>第十三条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 xml:space="preserve"> 本协议在履行中如发生争议，双方协商解决或向大楼用户委员会申请调解；协商或调解无效的，可向甲方所在地人民法院起诉。</w:t>
      </w:r>
    </w:p>
    <w:p w14:paraId="46E2640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41" w:firstLineChars="228"/>
        <w:textAlignment w:val="baseline"/>
        <w:rPr>
          <w:rFonts w:hint="default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en-US"/>
        </w:rPr>
        <w:t>第十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 xml:space="preserve">四条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本协议签章之日起生效，若双方已签订电子商城格式版合同的（简称“原合同”），本协议作为原合同附件具有同等法律效力。本协议约定条款与原合同约定不一致的，以本协议为准。</w:t>
      </w:r>
    </w:p>
    <w:p w14:paraId="23346C7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41" w:firstLineChars="228"/>
        <w:textAlignment w:val="baseline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第十五条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en-US"/>
        </w:rPr>
        <w:t>本协议正本连同附件共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u w:val="single"/>
          <w:lang w:val="en-US" w:eastAsia="zh-CN"/>
        </w:rPr>
        <w:t>10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en-US"/>
        </w:rPr>
        <w:t>页，一式捌份，甲方执陆份、乙方执贰份，均具有同等法律效力。</w:t>
      </w:r>
    </w:p>
    <w:p w14:paraId="64B402C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641" w:firstLineChars="228"/>
        <w:textAlignment w:val="baseline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 xml:space="preserve">第十六条 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本协议自签字之日起生效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。</w:t>
      </w:r>
    </w:p>
    <w:p w14:paraId="4FFB2010">
      <w:pPr>
        <w:pStyle w:val="4"/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</w:p>
    <w:p w14:paraId="25523EF1">
      <w:pPr>
        <w:pStyle w:val="4"/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</w:p>
    <w:p w14:paraId="75BF00F1">
      <w:pPr>
        <w:pStyle w:val="4"/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</w:p>
    <w:p w14:paraId="22516EB5">
      <w:pPr>
        <w:pStyle w:val="4"/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</w:p>
    <w:p w14:paraId="14A35D4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甲方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盖章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 xml:space="preserve">                  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乙方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盖章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：</w:t>
      </w:r>
    </w:p>
    <w:p w14:paraId="4587083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</w:p>
    <w:p w14:paraId="3BB47AF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</w:p>
    <w:p w14:paraId="59E3DCD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textAlignment w:val="baseline"/>
        <w:rPr>
          <w:rFonts w:hint="eastAsia" w:eastAsia="仿宋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法定代表人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         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法定代表人</w:t>
      </w:r>
    </w:p>
    <w:p w14:paraId="1158F91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textAlignment w:val="baseline"/>
        <w:rPr>
          <w:rFonts w:hint="eastAsia" w:eastAsia="仿宋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或委托代理人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签字：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 或委托代理人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签字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:</w:t>
      </w:r>
    </w:p>
    <w:p w14:paraId="5704F00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textAlignment w:val="baseline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</w:t>
      </w:r>
    </w:p>
    <w:p w14:paraId="0FAF093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textAlignment w:val="baseline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经办人：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           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经办人：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      </w:t>
      </w:r>
    </w:p>
    <w:p w14:paraId="4F851E4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</w:t>
      </w:r>
    </w:p>
    <w:p w14:paraId="3D3DC0C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75FBEEE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1960" w:firstLineChars="700"/>
        <w:textAlignment w:val="baseline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本合同签订日期：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年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en-US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月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en-US"/>
        </w:rPr>
        <w:t xml:space="preserve">  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日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            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                                                                    </w:t>
      </w:r>
    </w:p>
    <w:sectPr>
      <w:footerReference r:id="rId5" w:type="default"/>
      <w:type w:val="continuous"/>
      <w:pgSz w:w="11900" w:h="16840"/>
      <w:pgMar w:top="1429" w:right="1701" w:bottom="1440" w:left="1757" w:header="0" w:footer="850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720" w:num="1"/>
      <w:rtlGutter w:val="0"/>
      <w:docGrid w:linePitch="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AB37B6">
    <w:pPr>
      <w:spacing w:line="169" w:lineRule="auto"/>
      <w:ind w:left="3934"/>
      <w:rPr>
        <w:rFonts w:ascii="宋体" w:hAnsi="宋体" w:eastAsia="宋体" w:cs="宋体"/>
        <w:sz w:val="13"/>
        <w:szCs w:val="13"/>
      </w:rPr>
    </w:pPr>
    <w:r>
      <w:rPr>
        <w:sz w:val="13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BCFDA5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G15XmjdAQAAvg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6BCFDA5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9E76DA"/>
    <w:multiLevelType w:val="singleLevel"/>
    <w:tmpl w:val="169E76DA"/>
    <w:lvl w:ilvl="0" w:tentative="0">
      <w:start w:val="4"/>
      <w:numFmt w:val="decimal"/>
      <w:lvlText w:val="%1."/>
      <w:lvlJc w:val="left"/>
      <w:pPr>
        <w:tabs>
          <w:tab w:val="left" w:pos="312"/>
        </w:tabs>
        <w:ind w:left="560" w:firstLine="0"/>
      </w:pPr>
    </w:lvl>
  </w:abstractNum>
  <w:abstractNum w:abstractNumId="1">
    <w:nsid w:val="734B27D5"/>
    <w:multiLevelType w:val="singleLevel"/>
    <w:tmpl w:val="734B27D5"/>
    <w:lvl w:ilvl="0" w:tentative="0">
      <w:start w:val="5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attachedTemplate r:id="rId1"/>
  <w:documentProtection w:enforcement="0"/>
  <w:defaultTabStop w:val="500"/>
  <w:hyphenationZone w:val="36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FiNGJkNzllYmJhNDNmMGEyMWJhODhjZmU5MTQ4NDAifQ=="/>
  </w:docVars>
  <w:rsids>
    <w:rsidRoot w:val="7B336DEA"/>
    <w:rsid w:val="02346C2B"/>
    <w:rsid w:val="037C064E"/>
    <w:rsid w:val="066176CC"/>
    <w:rsid w:val="0D487E4C"/>
    <w:rsid w:val="0DEA2F15"/>
    <w:rsid w:val="101231D3"/>
    <w:rsid w:val="10CE500F"/>
    <w:rsid w:val="11B060FE"/>
    <w:rsid w:val="15D317AF"/>
    <w:rsid w:val="1745562F"/>
    <w:rsid w:val="21C0621B"/>
    <w:rsid w:val="240E229E"/>
    <w:rsid w:val="24552360"/>
    <w:rsid w:val="2475518F"/>
    <w:rsid w:val="25665B84"/>
    <w:rsid w:val="269C7FCA"/>
    <w:rsid w:val="26DD4C90"/>
    <w:rsid w:val="2AE759E5"/>
    <w:rsid w:val="2B5318C8"/>
    <w:rsid w:val="35E617FE"/>
    <w:rsid w:val="4195642A"/>
    <w:rsid w:val="420B65B4"/>
    <w:rsid w:val="442C38D3"/>
    <w:rsid w:val="46776C06"/>
    <w:rsid w:val="473F4E91"/>
    <w:rsid w:val="518028B2"/>
    <w:rsid w:val="5869743C"/>
    <w:rsid w:val="5F72441A"/>
    <w:rsid w:val="608A7C71"/>
    <w:rsid w:val="60C50CA9"/>
    <w:rsid w:val="62A00EEC"/>
    <w:rsid w:val="67564D51"/>
    <w:rsid w:val="680B403A"/>
    <w:rsid w:val="68ED2C5D"/>
    <w:rsid w:val="6AFB38A9"/>
    <w:rsid w:val="6B826114"/>
    <w:rsid w:val="6CE63EE6"/>
    <w:rsid w:val="6DC01176"/>
    <w:rsid w:val="72275320"/>
    <w:rsid w:val="74503199"/>
    <w:rsid w:val="74EEB62E"/>
    <w:rsid w:val="76C8536C"/>
    <w:rsid w:val="772A6DA4"/>
    <w:rsid w:val="77DFC06B"/>
    <w:rsid w:val="78C80F89"/>
    <w:rsid w:val="7B336DEA"/>
    <w:rsid w:val="7D1E1A1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0"/>
      <w:szCs w:val="30"/>
      <w:lang w:val="en-US" w:eastAsia="en-US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9">
    <w:name w:val="Table Text"/>
    <w:basedOn w:val="1"/>
    <w:semiHidden/>
    <w:qFormat/>
    <w:uiPriority w:val="0"/>
    <w:rPr>
      <w:rFonts w:ascii="宋体" w:hAnsi="宋体" w:eastAsia="宋体" w:cs="宋体"/>
      <w:sz w:val="23"/>
      <w:szCs w:val="23"/>
      <w:lang w:val="en-US" w:eastAsia="en-US" w:bidi="ar-SA"/>
    </w:rPr>
  </w:style>
  <w:style w:type="character" w:customStyle="1" w:styleId="10">
    <w:name w:val="font01"/>
    <w:basedOn w:val="7"/>
    <w:qFormat/>
    <w:uiPriority w:val="0"/>
    <w:rPr>
      <w:rFonts w:hint="eastAsia" w:ascii="仿宋" w:hAnsi="仿宋" w:eastAsia="仿宋" w:cs="仿宋"/>
      <w:color w:val="000000"/>
      <w:sz w:val="24"/>
      <w:szCs w:val="24"/>
      <w:u w:val="none"/>
    </w:rPr>
  </w:style>
  <w:style w:type="character" w:customStyle="1" w:styleId="11">
    <w:name w:val="font61"/>
    <w:basedOn w:val="7"/>
    <w:qFormat/>
    <w:uiPriority w:val="0"/>
    <w:rPr>
      <w:rFonts w:hint="eastAsia" w:ascii="仿宋" w:hAnsi="仿宋" w:eastAsia="仿宋" w:cs="仿宋"/>
      <w:color w:val="000000"/>
      <w:sz w:val="24"/>
      <w:szCs w:val="24"/>
      <w:u w:val="none"/>
    </w:rPr>
  </w:style>
  <w:style w:type="character" w:customStyle="1" w:styleId="12">
    <w:name w:val="font21"/>
    <w:basedOn w:val="7"/>
    <w:qFormat/>
    <w:uiPriority w:val="0"/>
    <w:rPr>
      <w:rFonts w:hint="eastAsia" w:ascii="仿宋" w:hAnsi="仿宋" w:eastAsia="仿宋" w:cs="仿宋"/>
      <w:color w:val="000000"/>
      <w:sz w:val="24"/>
      <w:szCs w:val="24"/>
      <w:u w:val="none"/>
      <w:vertAlign w:val="superscript"/>
    </w:rPr>
  </w:style>
  <w:style w:type="character" w:customStyle="1" w:styleId="13">
    <w:name w:val="font31"/>
    <w:basedOn w:val="7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home\user\D:\&#20132;&#36890;&#23616;&#39033;&#30446;\&#21512;&#21516;\&#36135;&#36816;&#20013;&#24515;\2024&#24180;&#20132;&#36890;&#23616;&#36135;&#36816;&#20013;&#24515;&#29289;&#19994;&#26381;&#21153;&#21512;&#21516;(8)12.18(1)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2024年交通局货运中心物业服务合同(8)12.18(1).dot</Template>
  <Pages>10</Pages>
  <Words>4063</Words>
  <Characters>4418</Characters>
  <TotalTime>34</TotalTime>
  <ScaleCrop>false</ScaleCrop>
  <LinksUpToDate>false</LinksUpToDate>
  <CharactersWithSpaces>4674</CharactersWithSpaces>
  <Application>WPS Office_12.1.0.24034_F1E327BC-269C-435d-A152-05C5408002CA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2024-01-23T01:20:00Z</dcterms:created>
  <dc:creator>懒羊羊</dc:creator>
  <cp:lastModifiedBy>子执资</cp:lastModifiedBy>
  <cp:lastPrinted>2024-01-23T01:25:00Z</cp:lastPrinted>
  <dcterms:modified xsi:type="dcterms:W3CDTF">2025-12-23T07:14:35Z</dcterms:modified>
  <dc:subject>pdfbuilder</dc:subject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2023-11-29T11:39:55Z</vt:filetime>
  </property>
  <property fmtid="{D5CDD505-2E9C-101B-9397-08002B2CF9AE}" pid="4" name="UsrData">
    <vt:lpwstr>6566b2866dfa6f001f839296wl</vt:lpwstr>
  </property>
  <property fmtid="{D5CDD505-2E9C-101B-9397-08002B2CF9AE}" pid="5" name="KSOProductBuildVer">
    <vt:lpwstr>2052-12.1.0.24034</vt:lpwstr>
  </property>
  <property fmtid="{D5CDD505-2E9C-101B-9397-08002B2CF9AE}" pid="6" name="ICV">
    <vt:lpwstr>BA6EAA006E9A4E2A8B409F94CB5A250C_13</vt:lpwstr>
  </property>
  <property fmtid="{D5CDD505-2E9C-101B-9397-08002B2CF9AE}" pid="7" name="KSOTemplateDocerSaveRecord">
    <vt:lpwstr>eyJoZGlkIjoiM2Q2MDUwYzVjNDkwMjZjMjdmZTI2Y2RjYTgxOGU2YWIiLCJ1c2VySWQiOiI0MzE0MTAzMzEifQ==</vt:lpwstr>
  </property>
</Properties>
</file>