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9C6091">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武汉市中心医院</w:t>
      </w:r>
    </w:p>
    <w:p w14:paraId="072110E9">
      <w:pPr>
        <w:adjustRightInd w:val="0"/>
        <w:snapToGrid w:val="0"/>
        <w:spacing w:line="360" w:lineRule="auto"/>
        <w:jc w:val="center"/>
        <w:outlineLvl w:val="0"/>
        <w:rPr>
          <w:rFonts w:hint="eastAsia"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2025年信息化项目售后维保（医学影像信息系统）</w:t>
      </w:r>
    </w:p>
    <w:p w14:paraId="0EF07915">
      <w:pPr>
        <w:adjustRightInd w:val="0"/>
        <w:snapToGrid w:val="0"/>
        <w:spacing w:line="360" w:lineRule="auto"/>
        <w:jc w:val="center"/>
        <w:outlineLvl w:val="0"/>
        <w:rPr>
          <w:rFonts w:hint="default" w:ascii="黑体" w:hAnsi="黑体" w:eastAsia="黑体" w:cs="黑体"/>
          <w:b w:val="0"/>
          <w:bCs w:val="0"/>
          <w:color w:val="auto"/>
          <w:sz w:val="32"/>
          <w:szCs w:val="32"/>
          <w:lang w:val="en-US" w:eastAsia="zh-CN"/>
        </w:rPr>
      </w:pPr>
      <w:r>
        <w:rPr>
          <w:rFonts w:hint="eastAsia" w:ascii="黑体" w:hAnsi="黑体" w:eastAsia="黑体" w:cs="黑体"/>
          <w:b w:val="0"/>
          <w:bCs w:val="0"/>
          <w:color w:val="auto"/>
          <w:sz w:val="32"/>
          <w:szCs w:val="32"/>
          <w:lang w:val="en-US" w:eastAsia="zh-CN"/>
        </w:rPr>
        <w:t>采购需求</w:t>
      </w:r>
    </w:p>
    <w:p w14:paraId="162B44D8">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项目基本情况</w:t>
      </w:r>
    </w:p>
    <w:p w14:paraId="55322A5D">
      <w:pPr>
        <w:numPr>
          <w:ilvl w:val="0"/>
          <w:numId w:val="2"/>
        </w:numPr>
        <w:adjustRightInd w:val="0"/>
        <w:snapToGrid w:val="0"/>
        <w:spacing w:line="360" w:lineRule="auto"/>
        <w:ind w:firstLine="480" w:firstLineChars="200"/>
        <w:jc w:val="left"/>
        <w:rPr>
          <w:rFonts w:hint="eastAsia" w:ascii="仿宋" w:hAnsi="仿宋" w:eastAsia="仿宋" w:cs="宋体"/>
          <w:color w:val="000000"/>
          <w:sz w:val="24"/>
          <w:szCs w:val="24"/>
          <w:lang w:val="en-US" w:eastAsia="zh-CN"/>
        </w:rPr>
      </w:pPr>
      <w:r>
        <w:rPr>
          <w:rFonts w:hint="eastAsia" w:ascii="仿宋" w:hAnsi="仿宋" w:eastAsia="仿宋" w:cs="宋体"/>
          <w:color w:val="000000"/>
          <w:sz w:val="24"/>
          <w:szCs w:val="24"/>
        </w:rPr>
        <w:t>项目名称：</w:t>
      </w:r>
      <w:r>
        <w:rPr>
          <w:rFonts w:hint="eastAsia" w:ascii="仿宋" w:hAnsi="仿宋" w:eastAsia="仿宋" w:cs="宋体"/>
          <w:color w:val="000000"/>
          <w:sz w:val="24"/>
          <w:szCs w:val="24"/>
          <w:lang w:val="en-US" w:eastAsia="zh-CN"/>
        </w:rPr>
        <w:t>2025年信息化项目售后维保（</w:t>
      </w:r>
      <w:r>
        <w:rPr>
          <w:rFonts w:hint="eastAsia" w:ascii="仿宋" w:hAnsi="仿宋" w:eastAsia="仿宋" w:cs="仿宋"/>
          <w:i w:val="0"/>
          <w:iCs w:val="0"/>
          <w:color w:val="000000"/>
          <w:kern w:val="0"/>
          <w:sz w:val="24"/>
          <w:szCs w:val="24"/>
          <w:u w:val="none"/>
          <w:lang w:val="en-US" w:eastAsia="zh-CN" w:bidi="ar"/>
        </w:rPr>
        <w:t>医学影像信息系统</w:t>
      </w:r>
      <w:r>
        <w:rPr>
          <w:rFonts w:hint="eastAsia" w:ascii="仿宋" w:hAnsi="仿宋" w:eastAsia="仿宋" w:cs="宋体"/>
          <w:color w:val="000000"/>
          <w:sz w:val="24"/>
          <w:szCs w:val="24"/>
          <w:lang w:val="en-US" w:eastAsia="zh-CN"/>
        </w:rPr>
        <w:t>）</w:t>
      </w:r>
    </w:p>
    <w:p w14:paraId="55852FAC">
      <w:pPr>
        <w:numPr>
          <w:ilvl w:val="0"/>
          <w:numId w:val="2"/>
        </w:num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rPr>
        <w:t>项目预算：</w:t>
      </w:r>
      <w:r>
        <w:rPr>
          <w:rFonts w:hint="eastAsia" w:ascii="仿宋" w:hAnsi="仿宋" w:eastAsia="仿宋" w:cs="宋体"/>
          <w:color w:val="auto"/>
          <w:sz w:val="24"/>
          <w:szCs w:val="24"/>
          <w:highlight w:val="none"/>
          <w:lang w:val="en-US" w:eastAsia="zh-CN"/>
        </w:rPr>
        <w:t>15.6</w:t>
      </w:r>
      <w:r>
        <w:rPr>
          <w:rFonts w:hint="eastAsia" w:ascii="仿宋" w:hAnsi="仿宋" w:eastAsia="仿宋" w:cs="宋体"/>
          <w:color w:val="auto"/>
          <w:sz w:val="24"/>
          <w:szCs w:val="24"/>
        </w:rPr>
        <w:t>万</w:t>
      </w:r>
      <w:r>
        <w:rPr>
          <w:rFonts w:hint="eastAsia" w:ascii="仿宋" w:hAnsi="仿宋" w:eastAsia="仿宋" w:cs="宋体"/>
          <w:color w:val="000000"/>
          <w:sz w:val="24"/>
          <w:szCs w:val="24"/>
        </w:rPr>
        <w:t>元</w:t>
      </w:r>
    </w:p>
    <w:p w14:paraId="2DA11E07">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宋体"/>
          <w:color w:val="000000"/>
          <w:sz w:val="24"/>
          <w:szCs w:val="24"/>
        </w:rPr>
        <w:t>3.合同履行期限：</w:t>
      </w:r>
      <w:r>
        <w:rPr>
          <w:rFonts w:hint="eastAsia" w:ascii="仿宋" w:hAnsi="仿宋" w:eastAsia="仿宋" w:cs="仿宋"/>
          <w:i w:val="0"/>
          <w:iCs w:val="0"/>
          <w:color w:val="000000"/>
          <w:kern w:val="0"/>
          <w:sz w:val="24"/>
          <w:szCs w:val="24"/>
          <w:u w:val="none"/>
          <w:lang w:val="en-US" w:eastAsia="zh-CN" w:bidi="ar"/>
        </w:rPr>
        <w:t>2025年7月16日—2026年7月15日</w:t>
      </w:r>
    </w:p>
    <w:p w14:paraId="78C73269">
      <w:pPr>
        <w:adjustRightInd w:val="0"/>
        <w:snapToGrid w:val="0"/>
        <w:spacing w:line="360" w:lineRule="auto"/>
        <w:ind w:firstLine="480" w:firstLineChars="200"/>
        <w:jc w:val="left"/>
        <w:rPr>
          <w:rFonts w:hint="eastAsia" w:ascii="仿宋" w:hAnsi="仿宋" w:eastAsia="仿宋" w:cs="宋体"/>
          <w:color w:val="000000"/>
          <w:sz w:val="24"/>
          <w:szCs w:val="24"/>
        </w:rPr>
      </w:pPr>
      <w:r>
        <w:rPr>
          <w:rFonts w:hint="eastAsia" w:ascii="仿宋" w:hAnsi="仿宋" w:eastAsia="仿宋" w:cs="宋体"/>
          <w:color w:val="000000"/>
          <w:sz w:val="24"/>
          <w:szCs w:val="24"/>
          <w:lang w:val="en-US" w:eastAsia="zh-CN"/>
        </w:rPr>
        <w:t>4</w:t>
      </w:r>
      <w:r>
        <w:rPr>
          <w:rFonts w:hint="eastAsia" w:ascii="仿宋" w:hAnsi="仿宋" w:eastAsia="仿宋" w:cs="宋体"/>
          <w:color w:val="000000"/>
          <w:sz w:val="24"/>
          <w:szCs w:val="24"/>
        </w:rPr>
        <w:t>.本项目（是/否）接受联合体投标：否</w:t>
      </w:r>
    </w:p>
    <w:p w14:paraId="44D99E2F">
      <w:pPr>
        <w:adjustRightInd w:val="0"/>
        <w:snapToGrid w:val="0"/>
        <w:spacing w:line="360" w:lineRule="auto"/>
        <w:ind w:firstLine="480" w:firstLineChars="200"/>
        <w:jc w:val="left"/>
        <w:rPr>
          <w:rFonts w:ascii="仿宋" w:hAnsi="仿宋" w:eastAsia="仿宋" w:cs="宋体"/>
          <w:color w:val="000000"/>
          <w:sz w:val="24"/>
          <w:szCs w:val="24"/>
        </w:rPr>
      </w:pPr>
      <w:r>
        <w:rPr>
          <w:rFonts w:hint="eastAsia" w:ascii="仿宋" w:hAnsi="仿宋" w:eastAsia="仿宋" w:cs="仿宋"/>
          <w:color w:val="auto"/>
          <w:sz w:val="24"/>
          <w:szCs w:val="24"/>
          <w:highlight w:val="none"/>
          <w:lang w:val="en-US" w:eastAsia="zh-CN"/>
        </w:rPr>
        <w:t>5.本项目</w:t>
      </w:r>
      <w:r>
        <w:rPr>
          <w:rFonts w:hint="eastAsia" w:ascii="仿宋" w:hAnsi="仿宋" w:eastAsia="仿宋" w:cs="仿宋"/>
          <w:color w:val="auto"/>
          <w:sz w:val="24"/>
          <w:szCs w:val="24"/>
          <w:highlight w:val="none"/>
        </w:rPr>
        <w:t>（是/否）接受</w:t>
      </w:r>
      <w:r>
        <w:rPr>
          <w:rFonts w:hint="eastAsia" w:ascii="仿宋" w:hAnsi="仿宋" w:eastAsia="仿宋" w:cs="仿宋"/>
          <w:color w:val="auto"/>
          <w:sz w:val="24"/>
          <w:szCs w:val="24"/>
          <w:highlight w:val="none"/>
          <w:lang w:val="en-US" w:eastAsia="zh-CN"/>
        </w:rPr>
        <w:t>分包</w:t>
      </w:r>
      <w:r>
        <w:rPr>
          <w:rFonts w:hint="eastAsia" w:ascii="仿宋" w:hAnsi="仿宋" w:eastAsia="仿宋" w:cs="仿宋"/>
          <w:color w:val="auto"/>
          <w:sz w:val="24"/>
          <w:szCs w:val="24"/>
          <w:highlight w:val="none"/>
        </w:rPr>
        <w:t>：否</w:t>
      </w:r>
    </w:p>
    <w:p w14:paraId="36BB0BCA">
      <w:pPr>
        <w:pStyle w:val="2"/>
        <w:numPr>
          <w:ilvl w:val="0"/>
          <w:numId w:val="1"/>
        </w:numPr>
        <w:snapToGrid w:val="0"/>
        <w:spacing w:before="0" w:after="0" w:line="360" w:lineRule="auto"/>
        <w:ind w:firstLineChars="0"/>
        <w:jc w:val="left"/>
        <w:outlineLvl w:val="1"/>
        <w:rPr>
          <w:rFonts w:ascii="仿宋" w:hAnsi="仿宋" w:eastAsia="仿宋" w:cs="Times New Roman"/>
          <w:b/>
          <w:color w:val="0000FF"/>
          <w:sz w:val="24"/>
          <w:szCs w:val="24"/>
          <w:lang w:val="zh-CN"/>
        </w:rPr>
      </w:pPr>
      <w:r>
        <w:rPr>
          <w:rFonts w:hint="eastAsia" w:ascii="仿宋" w:hAnsi="仿宋" w:eastAsia="仿宋" w:cs="Times New Roman"/>
          <w:b/>
          <w:color w:val="auto"/>
          <w:sz w:val="24"/>
          <w:szCs w:val="24"/>
          <w:lang w:val="zh-CN"/>
        </w:rPr>
        <w:t>国</w:t>
      </w:r>
      <w:r>
        <w:rPr>
          <w:rFonts w:hint="eastAsia" w:ascii="仿宋" w:hAnsi="仿宋" w:eastAsia="仿宋" w:cs="Times New Roman"/>
          <w:b/>
          <w:sz w:val="24"/>
          <w:szCs w:val="24"/>
          <w:lang w:val="zh-CN"/>
        </w:rPr>
        <w:t>家相关行政主管部门颁布的强制标准、规范</w:t>
      </w:r>
    </w:p>
    <w:p w14:paraId="72350B90">
      <w:pPr>
        <w:adjustRightInd w:val="0"/>
        <w:snapToGrid w:val="0"/>
        <w:spacing w:line="360" w:lineRule="auto"/>
        <w:ind w:firstLine="480" w:firstLineChars="200"/>
        <w:jc w:val="left"/>
        <w:rPr>
          <w:rFonts w:hint="eastAsia" w:ascii="仿宋" w:hAnsi="仿宋" w:eastAsia="仿宋" w:cs="宋体"/>
          <w:color w:val="000000"/>
          <w:sz w:val="24"/>
          <w:szCs w:val="24"/>
          <w:lang w:val="zh-CN"/>
        </w:rPr>
      </w:pPr>
      <w:r>
        <w:rPr>
          <w:rFonts w:hint="eastAsia" w:ascii="仿宋" w:hAnsi="仿宋" w:eastAsia="仿宋" w:cs="宋体"/>
          <w:color w:val="000000"/>
          <w:sz w:val="24"/>
          <w:szCs w:val="24"/>
          <w:lang w:val="zh-CN"/>
        </w:rPr>
        <w:t>《武汉市卫生健康信息化项目管理办法（</w:t>
      </w:r>
      <w:r>
        <w:rPr>
          <w:rFonts w:hint="eastAsia" w:ascii="仿宋" w:hAnsi="仿宋" w:eastAsia="仿宋" w:cs="宋体"/>
          <w:color w:val="000000"/>
          <w:sz w:val="24"/>
          <w:szCs w:val="24"/>
          <w:lang w:val="en-US" w:eastAsia="zh-CN"/>
        </w:rPr>
        <w:t>试行</w:t>
      </w:r>
      <w:r>
        <w:rPr>
          <w:rFonts w:hint="eastAsia" w:ascii="仿宋" w:hAnsi="仿宋" w:eastAsia="仿宋" w:cs="宋体"/>
          <w:color w:val="000000"/>
          <w:sz w:val="24"/>
          <w:szCs w:val="24"/>
          <w:lang w:val="zh-CN"/>
        </w:rPr>
        <w:t>）》（武卫</w:t>
      </w:r>
      <w:r>
        <w:rPr>
          <w:rFonts w:hint="eastAsia" w:ascii="仿宋" w:hAnsi="仿宋" w:eastAsia="仿宋" w:cs="宋体"/>
          <w:color w:val="000000"/>
          <w:sz w:val="24"/>
          <w:szCs w:val="24"/>
          <w:lang w:val="en-US" w:eastAsia="zh-CN"/>
        </w:rPr>
        <w:t>通</w:t>
      </w:r>
      <w:r>
        <w:rPr>
          <w:rFonts w:hint="eastAsia" w:ascii="仿宋" w:hAnsi="仿宋" w:eastAsia="仿宋" w:cs="宋体"/>
          <w:color w:val="000000"/>
          <w:sz w:val="24"/>
          <w:szCs w:val="24"/>
          <w:lang w:val="zh-CN"/>
        </w:rPr>
        <w:t>〔20</w:t>
      </w:r>
      <w:r>
        <w:rPr>
          <w:rFonts w:hint="eastAsia" w:ascii="仿宋" w:hAnsi="仿宋" w:eastAsia="仿宋" w:cs="宋体"/>
          <w:color w:val="000000"/>
          <w:sz w:val="24"/>
          <w:szCs w:val="24"/>
          <w:lang w:val="en-US" w:eastAsia="zh-CN"/>
        </w:rPr>
        <w:t>22</w:t>
      </w:r>
      <w:r>
        <w:rPr>
          <w:rFonts w:hint="eastAsia" w:ascii="仿宋" w:hAnsi="仿宋" w:eastAsia="仿宋" w:cs="宋体"/>
          <w:color w:val="000000"/>
          <w:sz w:val="24"/>
          <w:szCs w:val="24"/>
          <w:lang w:val="zh-CN"/>
        </w:rPr>
        <w:t>〕1</w:t>
      </w:r>
      <w:r>
        <w:rPr>
          <w:rFonts w:hint="eastAsia" w:ascii="仿宋" w:hAnsi="仿宋" w:eastAsia="仿宋" w:cs="宋体"/>
          <w:color w:val="000000"/>
          <w:sz w:val="24"/>
          <w:szCs w:val="24"/>
          <w:lang w:val="en-US" w:eastAsia="zh-CN"/>
        </w:rPr>
        <w:t>8</w:t>
      </w:r>
      <w:r>
        <w:rPr>
          <w:rFonts w:hint="eastAsia" w:ascii="仿宋" w:hAnsi="仿宋" w:eastAsia="仿宋" w:cs="宋体"/>
          <w:color w:val="000000"/>
          <w:sz w:val="24"/>
          <w:szCs w:val="24"/>
          <w:lang w:val="zh-CN"/>
        </w:rPr>
        <w:t>号）</w:t>
      </w:r>
    </w:p>
    <w:p w14:paraId="1B6F8B2E">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项目需求及技术要求</w:t>
      </w:r>
    </w:p>
    <w:p w14:paraId="16FC8EF2">
      <w:pPr>
        <w:bidi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武汉市中心医院始建于1880年，</w:t>
      </w:r>
      <w:r>
        <w:rPr>
          <w:rFonts w:hint="eastAsia" w:ascii="仿宋" w:hAnsi="仿宋" w:eastAsia="仿宋" w:cs="仿宋"/>
          <w:sz w:val="24"/>
          <w:szCs w:val="24"/>
          <w:lang w:val="en-US" w:eastAsia="zh-CN"/>
        </w:rPr>
        <w:t>已有140余年悠久历史</w:t>
      </w:r>
      <w:r>
        <w:rPr>
          <w:rFonts w:hint="eastAsia" w:ascii="仿宋" w:hAnsi="仿宋" w:eastAsia="仿宋" w:cs="仿宋"/>
          <w:sz w:val="24"/>
          <w:szCs w:val="24"/>
        </w:rPr>
        <w:t>，是一所融医疗、科研、教学、预防、培训为一体的大型现代化三级甲</w:t>
      </w:r>
      <w:bookmarkStart w:id="0" w:name="_GoBack"/>
      <w:bookmarkEnd w:id="0"/>
      <w:r>
        <w:rPr>
          <w:rFonts w:hint="eastAsia" w:ascii="仿宋" w:hAnsi="仿宋" w:eastAsia="仿宋" w:cs="仿宋"/>
          <w:sz w:val="24"/>
          <w:szCs w:val="24"/>
        </w:rPr>
        <w:t>等医院。医院现有南京路院区、后湖院区、杨春湖院区（洪山区人民医院），编制床位3700张，为武汉市心血管病医院。现有职工</w:t>
      </w:r>
      <w:r>
        <w:rPr>
          <w:rFonts w:hint="eastAsia" w:ascii="仿宋" w:hAnsi="仿宋" w:eastAsia="仿宋" w:cs="仿宋"/>
          <w:sz w:val="24"/>
          <w:szCs w:val="24"/>
          <w:lang w:val="en-US" w:eastAsia="zh-CN"/>
        </w:rPr>
        <w:t>5020</w:t>
      </w:r>
      <w:r>
        <w:rPr>
          <w:rFonts w:hint="eastAsia" w:ascii="仿宋" w:hAnsi="仿宋" w:eastAsia="仿宋" w:cs="仿宋"/>
          <w:sz w:val="24"/>
          <w:szCs w:val="24"/>
        </w:rPr>
        <w:t>余人，中高级职称2600余人，博士、硕士1500余人。享受</w:t>
      </w:r>
      <w:r>
        <w:rPr>
          <w:rFonts w:hint="eastAsia" w:ascii="仿宋" w:hAnsi="仿宋" w:eastAsia="仿宋" w:cs="仿宋"/>
          <w:sz w:val="24"/>
          <w:szCs w:val="24"/>
          <w:lang w:eastAsia="zh-CN"/>
        </w:rPr>
        <w:t>国务院政府特殊津贴</w:t>
      </w:r>
      <w:r>
        <w:rPr>
          <w:rFonts w:hint="eastAsia" w:ascii="仿宋" w:hAnsi="仿宋" w:eastAsia="仿宋" w:cs="仿宋"/>
          <w:sz w:val="24"/>
          <w:szCs w:val="24"/>
        </w:rPr>
        <w:t>专家 10人，省、市各级专项津贴专家15人，一大批专家在各专业学会担任要职。国家临床重点专科能力建设项目2个，省级临床重点专科42个，市级临床重点专科48个。</w:t>
      </w:r>
    </w:p>
    <w:p w14:paraId="3B93869A">
      <w:pPr>
        <w:pStyle w:val="3"/>
        <w:numPr>
          <w:ilvl w:val="0"/>
          <w:numId w:val="3"/>
        </w:numPr>
        <w:adjustRightInd w:val="0"/>
        <w:snapToGrid w:val="0"/>
        <w:spacing w:before="0" w:after="0" w:line="360" w:lineRule="auto"/>
        <w:ind w:left="-641" w:leftChars="0" w:firstLine="638" w:firstLineChars="0"/>
        <w:jc w:val="left"/>
        <w:outlineLvl w:val="2"/>
        <w:rPr>
          <w:rFonts w:hint="eastAsia" w:ascii="仿宋" w:hAnsi="仿宋" w:eastAsia="仿宋" w:cs="仿宋"/>
          <w:sz w:val="24"/>
          <w:szCs w:val="24"/>
          <w:lang w:val="zh-CN"/>
        </w:rPr>
      </w:pPr>
      <w:r>
        <w:rPr>
          <w:rFonts w:hint="eastAsia" w:ascii="仿宋" w:hAnsi="仿宋" w:eastAsia="仿宋" w:cs="仿宋"/>
          <w:sz w:val="24"/>
          <w:szCs w:val="24"/>
          <w:lang w:val="zh-CN"/>
        </w:rPr>
        <w:t>项目目标</w:t>
      </w:r>
    </w:p>
    <w:p w14:paraId="38395095">
      <w:pPr>
        <w:bidi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lang w:val="zh-CN"/>
        </w:rPr>
        <w:t>本次项目为</w:t>
      </w:r>
      <w:r>
        <w:rPr>
          <w:rFonts w:hint="eastAsia" w:ascii="仿宋" w:hAnsi="仿宋" w:eastAsia="仿宋" w:cs="仿宋"/>
          <w:sz w:val="24"/>
          <w:szCs w:val="24"/>
          <w:lang w:val="en-US" w:eastAsia="zh-CN"/>
        </w:rPr>
        <w:t>医学影像信息系统提供一年</w:t>
      </w:r>
      <w:r>
        <w:rPr>
          <w:rFonts w:hint="eastAsia" w:ascii="仿宋" w:hAnsi="仿宋" w:eastAsia="仿宋" w:cs="仿宋"/>
          <w:sz w:val="24"/>
          <w:szCs w:val="24"/>
          <w:lang w:val="zh-CN"/>
        </w:rPr>
        <w:t>售后维保服务。</w:t>
      </w:r>
    </w:p>
    <w:p w14:paraId="2A23CD03">
      <w:pPr>
        <w:spacing w:line="360" w:lineRule="auto"/>
        <w:rPr>
          <w:rFonts w:hint="eastAsia"/>
          <w:lang w:val="zh-CN"/>
        </w:rPr>
      </w:pPr>
      <w:r>
        <w:rPr>
          <w:rFonts w:hint="eastAsia" w:ascii="仿宋" w:hAnsi="仿宋" w:eastAsia="仿宋" w:cs="仿宋"/>
          <w:sz w:val="24"/>
          <w:szCs w:val="24"/>
          <w:lang w:val="zh-CN"/>
        </w:rPr>
        <w:br w:type="page"/>
      </w:r>
    </w:p>
    <w:p w14:paraId="39ED7997">
      <w:pPr>
        <w:numPr>
          <w:ilvl w:val="0"/>
          <w:numId w:val="3"/>
        </w:numPr>
        <w:bidi w:val="0"/>
        <w:spacing w:line="360" w:lineRule="auto"/>
        <w:ind w:left="-641" w:leftChars="0" w:firstLine="641" w:firstLineChars="0"/>
        <w:outlineLvl w:val="2"/>
        <w:rPr>
          <w:rFonts w:hint="eastAsia" w:ascii="仿宋" w:hAnsi="仿宋" w:eastAsia="仿宋" w:cs="仿宋"/>
          <w:b/>
          <w:bCs w:val="0"/>
          <w:sz w:val="24"/>
          <w:szCs w:val="24"/>
          <w:lang w:val="zh-CN"/>
        </w:rPr>
      </w:pPr>
      <w:r>
        <w:rPr>
          <w:rFonts w:hint="eastAsia" w:ascii="仿宋" w:hAnsi="仿宋" w:eastAsia="仿宋" w:cs="仿宋"/>
          <w:b/>
          <w:bCs w:val="0"/>
          <w:kern w:val="2"/>
          <w:sz w:val="24"/>
          <w:szCs w:val="24"/>
          <w:lang w:val="en-US" w:eastAsia="zh-CN" w:bidi="ar-SA"/>
        </w:rPr>
        <w:t>维保项目</w:t>
      </w:r>
      <w:r>
        <w:rPr>
          <w:rFonts w:hint="eastAsia" w:ascii="仿宋" w:hAnsi="仿宋" w:eastAsia="仿宋" w:cs="仿宋"/>
          <w:b/>
          <w:bCs w:val="0"/>
          <w:kern w:val="2"/>
          <w:sz w:val="24"/>
          <w:szCs w:val="24"/>
          <w:lang w:val="zh-CN" w:eastAsia="zh-CN" w:bidi="ar-SA"/>
        </w:rPr>
        <w:t>清单</w:t>
      </w:r>
    </w:p>
    <w:p w14:paraId="462AE943">
      <w:pPr>
        <w:numPr>
          <w:ilvl w:val="0"/>
          <w:numId w:val="0"/>
        </w:numPr>
        <w:bidi w:val="0"/>
        <w:spacing w:line="360" w:lineRule="auto"/>
        <w:ind w:leftChars="266"/>
        <w:rPr>
          <w:rFonts w:hint="eastAsia" w:ascii="仿宋" w:hAnsi="仿宋" w:eastAsia="仿宋" w:cs="Times New Roman"/>
          <w:b/>
          <w:color w:val="0000FF"/>
          <w:sz w:val="24"/>
          <w:szCs w:val="24"/>
          <w:lang w:val="zh-CN"/>
        </w:rPr>
      </w:pPr>
    </w:p>
    <w:tbl>
      <w:tblPr>
        <w:tblStyle w:val="10"/>
        <w:tblW w:w="0" w:type="auto"/>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58"/>
        <w:gridCol w:w="1531"/>
        <w:gridCol w:w="4214"/>
        <w:gridCol w:w="2026"/>
      </w:tblGrid>
      <w:tr w14:paraId="69D8A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658"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2C9A93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序号</w:t>
            </w:r>
          </w:p>
        </w:tc>
        <w:tc>
          <w:tcPr>
            <w:tcW w:w="1531"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2FD62D0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采购内容</w:t>
            </w:r>
          </w:p>
        </w:tc>
        <w:tc>
          <w:tcPr>
            <w:tcW w:w="4214"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76D7A2B1">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运维主要功能范围</w:t>
            </w:r>
          </w:p>
        </w:tc>
        <w:tc>
          <w:tcPr>
            <w:tcW w:w="2026" w:type="dxa"/>
            <w:tcBorders>
              <w:top w:val="single" w:color="000000" w:sz="4" w:space="0"/>
              <w:left w:val="single" w:color="000000" w:sz="4" w:space="0"/>
              <w:bottom w:val="single" w:color="auto" w:sz="4" w:space="0"/>
              <w:right w:val="single" w:color="000000" w:sz="4" w:space="0"/>
            </w:tcBorders>
            <w:shd w:val="clear" w:color="auto" w:fill="auto"/>
            <w:noWrap/>
            <w:vAlign w:val="center"/>
          </w:tcPr>
          <w:p w14:paraId="49F26412">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服务期</w:t>
            </w:r>
          </w:p>
        </w:tc>
      </w:tr>
      <w:tr w14:paraId="11C0E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658" w:type="dxa"/>
            <w:tcBorders>
              <w:top w:val="single" w:color="auto" w:sz="4" w:space="0"/>
              <w:left w:val="single" w:color="auto" w:sz="4" w:space="0"/>
              <w:bottom w:val="single" w:color="auto" w:sz="4" w:space="0"/>
              <w:right w:val="single" w:color="auto" w:sz="4" w:space="0"/>
            </w:tcBorders>
            <w:shd w:val="clear" w:color="auto" w:fill="auto"/>
            <w:vAlign w:val="center"/>
          </w:tcPr>
          <w:p w14:paraId="500F57CB">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1531" w:type="dxa"/>
            <w:tcBorders>
              <w:top w:val="single" w:color="auto" w:sz="4" w:space="0"/>
              <w:left w:val="single" w:color="auto" w:sz="4" w:space="0"/>
              <w:bottom w:val="single" w:color="auto" w:sz="4" w:space="0"/>
              <w:right w:val="single" w:color="auto" w:sz="4" w:space="0"/>
            </w:tcBorders>
            <w:shd w:val="clear" w:color="auto" w:fill="auto"/>
            <w:vAlign w:val="center"/>
          </w:tcPr>
          <w:p w14:paraId="1FF6D15F">
            <w:pPr>
              <w:widowControl/>
              <w:jc w:val="left"/>
              <w:textAlignment w:val="center"/>
              <w:rPr>
                <w:rFonts w:hint="eastAsia" w:ascii="仿宋" w:hAnsi="仿宋" w:eastAsia="仿宋" w:cs="仿宋"/>
                <w:i w:val="0"/>
                <w:iCs w:val="0"/>
                <w:color w:val="000000"/>
                <w:sz w:val="24"/>
                <w:szCs w:val="24"/>
                <w:u w:val="none"/>
                <w:lang w:val="en-US"/>
              </w:rPr>
            </w:pPr>
            <w:r>
              <w:rPr>
                <w:rFonts w:hint="eastAsia" w:ascii="仿宋" w:hAnsi="仿宋" w:eastAsia="仿宋" w:cs="仿宋"/>
                <w:i w:val="0"/>
                <w:iCs w:val="0"/>
                <w:color w:val="000000"/>
                <w:kern w:val="0"/>
                <w:sz w:val="24"/>
                <w:szCs w:val="24"/>
                <w:u w:val="none"/>
                <w:lang w:val="en-US" w:eastAsia="zh-CN" w:bidi="ar"/>
              </w:rPr>
              <w:t>医学影像信息系统售后维保服务</w:t>
            </w:r>
          </w:p>
        </w:tc>
        <w:tc>
          <w:tcPr>
            <w:tcW w:w="4214" w:type="dxa"/>
            <w:tcBorders>
              <w:top w:val="single" w:color="auto" w:sz="4" w:space="0"/>
              <w:left w:val="single" w:color="auto" w:sz="4" w:space="0"/>
              <w:bottom w:val="single" w:color="auto" w:sz="4" w:space="0"/>
              <w:right w:val="single" w:color="auto" w:sz="4" w:space="0"/>
            </w:tcBorders>
            <w:shd w:val="clear" w:color="auto" w:fill="auto"/>
            <w:vAlign w:val="center"/>
          </w:tcPr>
          <w:p w14:paraId="27A1ECF6">
            <w:pPr>
              <w:widowControl/>
              <w:jc w:val="left"/>
              <w:textAlignment w:val="center"/>
              <w:rPr>
                <w:rFonts w:hint="eastAsia" w:ascii="仿宋" w:hAnsi="仿宋" w:eastAsia="仿宋" w:cs="仿宋"/>
                <w:kern w:val="2"/>
                <w:sz w:val="24"/>
                <w:szCs w:val="24"/>
                <w:lang w:val="en-US" w:eastAsia="zh-CN" w:bidi="ar-SA"/>
              </w:rPr>
            </w:pPr>
            <w:r>
              <w:rPr>
                <w:rFonts w:hint="eastAsia" w:ascii="仿宋" w:hAnsi="仿宋" w:eastAsia="仿宋" w:cs="仿宋"/>
                <w:i w:val="0"/>
                <w:iCs w:val="0"/>
                <w:color w:val="000000"/>
                <w:kern w:val="0"/>
                <w:sz w:val="24"/>
                <w:szCs w:val="24"/>
                <w:u w:val="none"/>
                <w:lang w:val="en-US" w:eastAsia="zh-CN" w:bidi="ar"/>
              </w:rPr>
              <w:t>医学影像平台系统基本功能应用、业务数据及数据库、与其他软硬件系统接口、系统升级及需求变更、相关服务器软硬件的安全维护服务</w:t>
            </w:r>
          </w:p>
        </w:tc>
        <w:tc>
          <w:tcPr>
            <w:tcW w:w="2026" w:type="dxa"/>
            <w:tcBorders>
              <w:top w:val="single" w:color="auto" w:sz="4" w:space="0"/>
              <w:left w:val="single" w:color="auto" w:sz="4" w:space="0"/>
              <w:bottom w:val="single" w:color="auto" w:sz="4" w:space="0"/>
              <w:right w:val="single" w:color="auto" w:sz="4" w:space="0"/>
            </w:tcBorders>
            <w:shd w:val="clear" w:color="auto" w:fill="auto"/>
            <w:vAlign w:val="center"/>
          </w:tcPr>
          <w:p w14:paraId="0183391F">
            <w:pPr>
              <w:keepNext w:val="0"/>
              <w:keepLines w:val="0"/>
              <w:widowControl/>
              <w:suppressLineNumbers w:val="0"/>
              <w:jc w:val="center"/>
              <w:textAlignment w:val="center"/>
              <w:rPr>
                <w:rFonts w:hint="eastAsia" w:ascii="仿宋" w:hAnsi="仿宋" w:eastAsia="仿宋" w:cs="仿宋"/>
                <w:i w:val="0"/>
                <w:iCs w:val="0"/>
                <w:color w:val="000000"/>
                <w:sz w:val="24"/>
                <w:szCs w:val="24"/>
                <w:u w:val="none"/>
                <w:lang w:val="en-US" w:eastAsia="zh-CN"/>
              </w:rPr>
            </w:pPr>
            <w:r>
              <w:rPr>
                <w:rFonts w:hint="eastAsia" w:ascii="仿宋" w:hAnsi="仿宋" w:eastAsia="仿宋" w:cs="仿宋"/>
                <w:color w:val="000000"/>
                <w:kern w:val="0"/>
                <w:sz w:val="24"/>
                <w:szCs w:val="24"/>
                <w:lang w:bidi="ar"/>
              </w:rPr>
              <w:t>2025年</w:t>
            </w:r>
            <w:r>
              <w:rPr>
                <w:rFonts w:hint="eastAsia" w:ascii="仿宋" w:hAnsi="仿宋" w:eastAsia="仿宋" w:cs="仿宋"/>
                <w:color w:val="000000"/>
                <w:kern w:val="0"/>
                <w:sz w:val="24"/>
                <w:szCs w:val="24"/>
                <w:lang w:val="en-US" w:eastAsia="zh-CN" w:bidi="ar"/>
              </w:rPr>
              <w:t>7</w:t>
            </w:r>
            <w:r>
              <w:rPr>
                <w:rFonts w:hint="eastAsia" w:ascii="仿宋" w:hAnsi="仿宋" w:eastAsia="仿宋" w:cs="仿宋"/>
                <w:color w:val="000000"/>
                <w:kern w:val="0"/>
                <w:sz w:val="24"/>
                <w:szCs w:val="24"/>
                <w:lang w:bidi="ar"/>
              </w:rPr>
              <w:t>月</w:t>
            </w:r>
            <w:r>
              <w:rPr>
                <w:rFonts w:hint="eastAsia" w:ascii="仿宋" w:hAnsi="仿宋" w:eastAsia="仿宋" w:cs="仿宋"/>
                <w:color w:val="000000"/>
                <w:kern w:val="0"/>
                <w:sz w:val="24"/>
                <w:szCs w:val="24"/>
                <w:lang w:val="en-US" w:eastAsia="zh-CN" w:bidi="ar"/>
              </w:rPr>
              <w:t>16</w:t>
            </w:r>
            <w:r>
              <w:rPr>
                <w:rFonts w:hint="eastAsia" w:ascii="仿宋" w:hAnsi="仿宋" w:eastAsia="仿宋" w:cs="仿宋"/>
                <w:color w:val="000000"/>
                <w:kern w:val="0"/>
                <w:sz w:val="24"/>
                <w:szCs w:val="24"/>
                <w:lang w:bidi="ar"/>
              </w:rPr>
              <w:t>日至2026年7月</w:t>
            </w:r>
            <w:r>
              <w:rPr>
                <w:rFonts w:hint="eastAsia" w:ascii="仿宋" w:hAnsi="仿宋" w:eastAsia="仿宋" w:cs="仿宋"/>
                <w:color w:val="000000"/>
                <w:kern w:val="0"/>
                <w:sz w:val="24"/>
                <w:szCs w:val="24"/>
                <w:lang w:val="en-US" w:eastAsia="zh-CN" w:bidi="ar"/>
              </w:rPr>
              <w:t>15</w:t>
            </w:r>
            <w:r>
              <w:rPr>
                <w:rFonts w:hint="eastAsia" w:ascii="仿宋" w:hAnsi="仿宋" w:eastAsia="仿宋" w:cs="仿宋"/>
                <w:color w:val="000000"/>
                <w:kern w:val="0"/>
                <w:sz w:val="24"/>
                <w:szCs w:val="24"/>
                <w:lang w:bidi="ar"/>
              </w:rPr>
              <w:t>日</w:t>
            </w:r>
          </w:p>
        </w:tc>
      </w:tr>
      <w:tr w14:paraId="4DBC6F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2189"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8C612A0">
            <w:pPr>
              <w:widowControl/>
              <w:jc w:val="center"/>
              <w:textAlignment w:val="center"/>
              <w:rPr>
                <w:rFonts w:hint="default" w:ascii="仿宋" w:hAnsi="仿宋" w:eastAsia="仿宋" w:cs="仿宋"/>
                <w:i w:val="0"/>
                <w:iCs w:val="0"/>
                <w:color w:val="000000"/>
                <w:kern w:val="0"/>
                <w:sz w:val="24"/>
                <w:szCs w:val="24"/>
                <w:u w:val="none"/>
                <w:lang w:val="en-US" w:eastAsia="zh-CN" w:bidi="ar"/>
              </w:rPr>
            </w:pPr>
            <w:r>
              <w:rPr>
                <w:rFonts w:hint="eastAsia" w:ascii="仿宋" w:hAnsi="仿宋" w:eastAsia="仿宋" w:cs="仿宋"/>
                <w:i w:val="0"/>
                <w:iCs w:val="0"/>
                <w:color w:val="000000"/>
                <w:kern w:val="0"/>
                <w:sz w:val="24"/>
                <w:szCs w:val="24"/>
                <w:u w:val="none"/>
                <w:lang w:val="en-US" w:eastAsia="zh-CN" w:bidi="ar"/>
              </w:rPr>
              <w:t>驻场要求</w:t>
            </w:r>
          </w:p>
        </w:tc>
        <w:tc>
          <w:tcPr>
            <w:tcW w:w="62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66C9C13">
            <w:pPr>
              <w:keepNext w:val="0"/>
              <w:keepLines w:val="0"/>
              <w:widowControl/>
              <w:suppressLineNumbers w:val="0"/>
              <w:jc w:val="left"/>
              <w:textAlignment w:val="center"/>
              <w:rPr>
                <w:rFonts w:hint="eastAsia" w:ascii="仿宋" w:hAnsi="仿宋" w:eastAsia="仿宋" w:cs="仿宋"/>
                <w:color w:val="000000"/>
                <w:kern w:val="0"/>
                <w:sz w:val="24"/>
                <w:szCs w:val="24"/>
                <w:lang w:bidi="ar"/>
              </w:rPr>
            </w:pPr>
            <w:r>
              <w:rPr>
                <w:rFonts w:hint="eastAsia" w:ascii="仿宋" w:hAnsi="仿宋" w:eastAsia="仿宋" w:cs="仿宋"/>
                <w:b w:val="0"/>
                <w:bCs/>
                <w:sz w:val="24"/>
                <w:szCs w:val="24"/>
              </w:rPr>
              <w:t>提供</w:t>
            </w:r>
            <w:r>
              <w:rPr>
                <w:rFonts w:hint="eastAsia" w:ascii="仿宋" w:hAnsi="仿宋" w:eastAsia="仿宋" w:cs="仿宋"/>
                <w:i w:val="0"/>
                <w:iCs w:val="0"/>
                <w:color w:val="000000"/>
                <w:kern w:val="0"/>
                <w:sz w:val="24"/>
                <w:szCs w:val="24"/>
                <w:u w:val="none"/>
                <w:lang w:val="en-US" w:eastAsia="zh-CN" w:bidi="ar"/>
              </w:rPr>
              <w:t>每周3个工作日1人</w:t>
            </w:r>
            <w:r>
              <w:rPr>
                <w:rFonts w:hint="eastAsia" w:ascii="仿宋" w:hAnsi="仿宋" w:eastAsia="仿宋" w:cs="仿宋"/>
                <w:b w:val="0"/>
                <w:bCs/>
                <w:sz w:val="24"/>
                <w:szCs w:val="24"/>
              </w:rPr>
              <w:t>的驻场工程师为院方提供驻场服务，驻场时间为</w:t>
            </w:r>
            <w:r>
              <w:rPr>
                <w:rFonts w:hint="eastAsia" w:ascii="仿宋" w:hAnsi="仿宋" w:eastAsia="仿宋" w:cs="仿宋"/>
                <w:b w:val="0"/>
                <w:bCs/>
                <w:sz w:val="24"/>
                <w:szCs w:val="24"/>
                <w:lang w:val="en-US" w:eastAsia="zh-CN"/>
              </w:rPr>
              <w:t>3</w:t>
            </w:r>
            <w:r>
              <w:rPr>
                <w:rFonts w:hint="eastAsia" w:ascii="仿宋" w:hAnsi="仿宋" w:eastAsia="仿宋" w:cs="仿宋"/>
                <w:b w:val="0"/>
                <w:bCs/>
                <w:sz w:val="24"/>
                <w:szCs w:val="24"/>
              </w:rPr>
              <w:t>天×9小时（非驻场时段，有紧急故障报修，要求工程师在60分钟内到达故障现场；负责受理维保的</w:t>
            </w:r>
            <w:r>
              <w:rPr>
                <w:rFonts w:hint="eastAsia" w:ascii="仿宋" w:hAnsi="仿宋" w:eastAsia="仿宋" w:cs="仿宋"/>
                <w:b w:val="0"/>
                <w:bCs/>
                <w:sz w:val="24"/>
                <w:szCs w:val="24"/>
                <w:lang w:val="en-US" w:eastAsia="zh-CN"/>
              </w:rPr>
              <w:t>自助机</w:t>
            </w:r>
            <w:r>
              <w:rPr>
                <w:rFonts w:hint="eastAsia" w:ascii="仿宋" w:hAnsi="仿宋" w:eastAsia="仿宋" w:cs="仿宋"/>
                <w:b w:val="0"/>
                <w:bCs/>
                <w:sz w:val="24"/>
                <w:szCs w:val="24"/>
              </w:rPr>
              <w:t>终端故障报修，做好工作记录，及时处理日常报修）服务地点为武汉市中心医院，具体人员分配按</w:t>
            </w:r>
            <w:r>
              <w:rPr>
                <w:rFonts w:hint="eastAsia" w:ascii="仿宋" w:hAnsi="仿宋" w:eastAsia="仿宋" w:cs="仿宋"/>
                <w:b w:val="0"/>
                <w:bCs/>
                <w:sz w:val="24"/>
                <w:szCs w:val="24"/>
                <w:lang w:val="en-US" w:eastAsia="zh-CN"/>
              </w:rPr>
              <w:t>甲</w:t>
            </w:r>
            <w:r>
              <w:rPr>
                <w:rFonts w:hint="eastAsia" w:ascii="仿宋" w:hAnsi="仿宋" w:eastAsia="仿宋" w:cs="仿宋"/>
                <w:b w:val="0"/>
                <w:bCs/>
                <w:sz w:val="24"/>
                <w:szCs w:val="24"/>
              </w:rPr>
              <w:t>方要求</w:t>
            </w:r>
            <w:r>
              <w:rPr>
                <w:rFonts w:hint="eastAsia" w:ascii="仿宋" w:hAnsi="仿宋" w:eastAsia="仿宋" w:cs="仿宋"/>
                <w:b w:val="0"/>
                <w:bCs/>
                <w:sz w:val="24"/>
                <w:szCs w:val="24"/>
                <w:lang w:eastAsia="zh-CN"/>
              </w:rPr>
              <w:t>。</w:t>
            </w:r>
          </w:p>
        </w:tc>
      </w:tr>
    </w:tbl>
    <w:p w14:paraId="6B3F04D7">
      <w:pPr>
        <w:numPr>
          <w:ilvl w:val="0"/>
          <w:numId w:val="0"/>
        </w:numPr>
        <w:bidi w:val="0"/>
        <w:spacing w:line="360" w:lineRule="auto"/>
        <w:ind w:leftChars="266"/>
        <w:rPr>
          <w:rFonts w:hint="eastAsia" w:ascii="仿宋" w:hAnsi="仿宋" w:eastAsia="仿宋" w:cs="Times New Roman"/>
          <w:b/>
          <w:color w:val="0000FF"/>
          <w:sz w:val="24"/>
          <w:szCs w:val="24"/>
          <w:lang w:val="zh-CN"/>
        </w:rPr>
      </w:pPr>
    </w:p>
    <w:p w14:paraId="02C712A6">
      <w:pPr>
        <w:pStyle w:val="3"/>
        <w:numPr>
          <w:ilvl w:val="0"/>
          <w:numId w:val="3"/>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项目需求</w:t>
      </w:r>
    </w:p>
    <w:p w14:paraId="3444B367">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zh-CN" w:eastAsia="zh-CN"/>
        </w:rPr>
        <w:t>1. 总体原则</w:t>
      </w:r>
    </w:p>
    <w:p w14:paraId="0226ECD3">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软件稳定</w:t>
      </w:r>
      <w:r>
        <w:rPr>
          <w:rFonts w:hint="eastAsia" w:ascii="仿宋" w:hAnsi="仿宋" w:eastAsia="仿宋" w:cs="仿宋"/>
          <w:sz w:val="24"/>
          <w:szCs w:val="24"/>
          <w:lang w:val="en-US" w:eastAsia="zh-CN"/>
        </w:rPr>
        <w:t>性</w:t>
      </w:r>
      <w:r>
        <w:rPr>
          <w:rFonts w:hint="eastAsia" w:ascii="仿宋" w:hAnsi="仿宋" w:eastAsia="仿宋" w:cs="仿宋"/>
          <w:sz w:val="24"/>
          <w:szCs w:val="24"/>
          <w:lang w:val="zh-CN" w:eastAsia="zh-CN"/>
        </w:rPr>
        <w:t>：确保在长时间运行中不出现崩溃、数据丢失等问题，以保障患者安全。</w:t>
      </w:r>
    </w:p>
    <w:p w14:paraId="035BF352">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安全性保障：确保软件系统的安全性，防止数据泄露、非法访问等安全问题。</w:t>
      </w:r>
    </w:p>
    <w:p w14:paraId="7B012D62">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可维护性提升：通过重构优化软件结构，降低维护成本，提高维护效率。</w:t>
      </w:r>
    </w:p>
    <w:p w14:paraId="2D77A174">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可扩展性增强：为未来的功能扩展和升级预留空间，满足医疗行业不断发展的需求。</w:t>
      </w:r>
    </w:p>
    <w:p w14:paraId="0C89904A">
      <w:pPr>
        <w:pStyle w:val="6"/>
        <w:keepNext w:val="0"/>
        <w:keepLines w:val="0"/>
        <w:pageBreakBefore w:val="0"/>
        <w:widowControl w:val="0"/>
        <w:numPr>
          <w:ilvl w:val="0"/>
          <w:numId w:val="4"/>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数据保密性：采用加密技术保护关键数据，防止非授权人员获取数据，确保数据传输过程的安全性。</w:t>
      </w:r>
    </w:p>
    <w:p w14:paraId="57DF7218">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val="zh-CN" w:eastAsia="zh-CN"/>
        </w:rPr>
        <w:t>总体要求</w:t>
      </w:r>
    </w:p>
    <w:p w14:paraId="286B6B7F">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w:t>
      </w:r>
      <w:r>
        <w:rPr>
          <w:rFonts w:hint="eastAsia" w:ascii="仿宋" w:hAnsi="仿宋" w:eastAsia="仿宋" w:cs="仿宋"/>
          <w:sz w:val="24"/>
          <w:szCs w:val="24"/>
          <w:lang w:val="en-US" w:eastAsia="zh-CN"/>
        </w:rPr>
        <w:t>软件</w:t>
      </w:r>
      <w:r>
        <w:rPr>
          <w:rFonts w:hint="eastAsia" w:ascii="仿宋" w:hAnsi="仿宋" w:eastAsia="仿宋" w:cs="仿宋"/>
          <w:sz w:val="24"/>
          <w:szCs w:val="24"/>
          <w:lang w:val="zh-CN" w:eastAsia="zh-CN"/>
        </w:rPr>
        <w:t>系统的技术支持服务。</w:t>
      </w:r>
    </w:p>
    <w:p w14:paraId="4F63E148">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提供同一大版本内系统软件升级服务</w:t>
      </w:r>
      <w:r>
        <w:rPr>
          <w:rFonts w:hint="eastAsia" w:ascii="仿宋" w:hAnsi="仿宋" w:eastAsia="仿宋" w:cs="仿宋"/>
          <w:sz w:val="24"/>
          <w:szCs w:val="24"/>
          <w:lang w:val="en-US" w:eastAsia="zh-CN"/>
        </w:rPr>
        <w:t>不再产生费用</w:t>
      </w:r>
      <w:r>
        <w:rPr>
          <w:rFonts w:hint="eastAsia" w:ascii="仿宋" w:hAnsi="仿宋" w:eastAsia="仿宋" w:cs="仿宋"/>
          <w:sz w:val="24"/>
          <w:szCs w:val="24"/>
          <w:lang w:val="zh-CN" w:eastAsia="zh-CN"/>
        </w:rPr>
        <w:t>。</w:t>
      </w:r>
    </w:p>
    <w:p w14:paraId="65626FB6">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提供7×24小时咨询服务，包括：日常的电话/传真/电子邮件技术服务、问题解答。</w:t>
      </w:r>
    </w:p>
    <w:p w14:paraId="27D4ECFC">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w:t>
      </w:r>
      <w:r>
        <w:rPr>
          <w:rFonts w:hint="eastAsia" w:ascii="仿宋" w:hAnsi="仿宋" w:eastAsia="仿宋" w:cs="仿宋"/>
          <w:sz w:val="24"/>
          <w:szCs w:val="24"/>
          <w:lang w:val="en-US" w:eastAsia="zh-CN"/>
        </w:rPr>
        <w:t>运维</w:t>
      </w:r>
      <w:r>
        <w:rPr>
          <w:rFonts w:hint="eastAsia" w:ascii="仿宋" w:hAnsi="仿宋" w:eastAsia="仿宋" w:cs="仿宋"/>
          <w:sz w:val="24"/>
          <w:szCs w:val="24"/>
          <w:lang w:val="zh-CN" w:eastAsia="zh-CN"/>
        </w:rPr>
        <w:t>系统软件故障上门解决、排除服务。服务响应时间：1小时内响应，紧急情况下2小时内安排技术工程师上门服务，</w:t>
      </w:r>
      <w:r>
        <w:rPr>
          <w:rFonts w:hint="eastAsia" w:ascii="仿宋" w:hAnsi="仿宋" w:eastAsia="仿宋" w:cs="仿宋"/>
          <w:sz w:val="24"/>
          <w:szCs w:val="24"/>
          <w:lang w:val="en-US" w:eastAsia="zh-CN"/>
        </w:rPr>
        <w:t>4小时内解决问题，不再产生费用</w:t>
      </w:r>
      <w:r>
        <w:rPr>
          <w:rFonts w:hint="eastAsia" w:ascii="仿宋" w:hAnsi="仿宋" w:eastAsia="仿宋" w:cs="仿宋"/>
          <w:sz w:val="24"/>
          <w:szCs w:val="24"/>
          <w:lang w:val="zh-CN" w:eastAsia="zh-CN"/>
        </w:rPr>
        <w:t>。</w:t>
      </w:r>
    </w:p>
    <w:p w14:paraId="185DEC47">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数据备份与恢复：定期备份系统数据，并进行数据恢复测试，确保数据的完整性和可用性，防止数据丢失或损坏。</w:t>
      </w:r>
    </w:p>
    <w:p w14:paraId="511D4F1D">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每季度一次的系统巡检服务，在应用系统出现初期故障征兆时，即能及时解决问题，最大限度保证系统正常高效运行。每次服务结束后需提供一式两份的书面的巡检单或维护单并请使用科室和信息中心负责人签字确认，由医院信息部门负责对维保项目进行质量考核。</w:t>
      </w:r>
    </w:p>
    <w:p w14:paraId="0CD14048">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根据需要随时为医院相关人员提供产品功能和使用培训，确保工作人员熟练掌握系统软件的应用及基本的运维知识。</w:t>
      </w:r>
    </w:p>
    <w:p w14:paraId="18787D4E">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针对院方提出的一些合理的功能微调，若当前软件本身能够解决的，需予以解决。</w:t>
      </w:r>
    </w:p>
    <w:p w14:paraId="79E4D030">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需定期对院方现有系统进行分析，并及时针对院方系统使用科室的实际工作需求提供系统优化扩展方案。</w:t>
      </w:r>
    </w:p>
    <w:p w14:paraId="2D106134">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需遵守医院的信息安全规定，对医院的网络、主机、系统软件、应用软件等的密码、核心参数、业务数据等负有保密责任，未经医院书面同意不得随意复制和传播。</w:t>
      </w:r>
    </w:p>
    <w:p w14:paraId="2A591B7B">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及时响应院方的重大维护保障需求，对于医院机房、网络、服务器调整或搬迁等重大维护配合要求，医院将提前5个工作日书面通知公司，公司需安排技术人员按时提供协助配合。</w:t>
      </w:r>
    </w:p>
    <w:p w14:paraId="744E9042">
      <w:pPr>
        <w:pStyle w:val="6"/>
        <w:keepNext w:val="0"/>
        <w:keepLines w:val="0"/>
        <w:pageBreakBefore w:val="0"/>
        <w:widowControl w:val="0"/>
        <w:numPr>
          <w:ilvl w:val="0"/>
          <w:numId w:val="5"/>
        </w:numPr>
        <w:kinsoku/>
        <w:wordWrap/>
        <w:overflowPunct/>
        <w:topLinePunct w:val="0"/>
        <w:autoSpaceDE/>
        <w:autoSpaceDN/>
        <w:bidi w:val="0"/>
        <w:adjustRightInd/>
        <w:snapToGrid/>
        <w:spacing w:after="120" w:line="360" w:lineRule="auto"/>
        <w:ind w:left="0" w:leftChars="0" w:firstLine="425" w:firstLineChars="0"/>
        <w:textAlignment w:val="auto"/>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用户培训和支持：定期开展系统使用培训和技术支持工作，提供解决方案和在线支持，帮助用户更好地使用系统。</w:t>
      </w:r>
    </w:p>
    <w:p w14:paraId="35157CED">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val="zh-CN" w:eastAsia="zh-CN"/>
        </w:rPr>
        <w:t>. 用户支持</w:t>
      </w:r>
    </w:p>
    <w:p w14:paraId="1C71EEC1">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提供培训：为医疗工作人员提供软件使用培训和技术支持，确保他们能够充分利用软件系统的功能。</w:t>
      </w:r>
    </w:p>
    <w:p w14:paraId="1CA338D9">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收集反馈：定期收集用户对软件系统的使用反馈，了解用户需求和痛点，为后续的功能优化和升级提供依据。</w:t>
      </w:r>
    </w:p>
    <w:p w14:paraId="4537B323">
      <w:pPr>
        <w:pStyle w:val="6"/>
        <w:spacing w:after="120" w:line="360" w:lineRule="auto"/>
        <w:ind w:firstLine="480" w:firstLineChars="20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通过遵循以上要求，医疗软件重构将能够确保软件系统的稳定性、安全性、可维护性和可扩展性，为医疗行业提供可靠的技术支持。</w:t>
      </w:r>
    </w:p>
    <w:p w14:paraId="4321534A">
      <w:pPr>
        <w:pStyle w:val="6"/>
        <w:spacing w:after="120" w:line="360" w:lineRule="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4.信息安全要求</w:t>
      </w:r>
    </w:p>
    <w:p w14:paraId="14157E0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乙方配合甲方落实网络信息安全管理所提出的相关技术要求和管理要求，对于各类网络安全检测发现的问题，乙方提供技术支持，配合整改。</w:t>
      </w:r>
    </w:p>
    <w:p w14:paraId="010544FD">
      <w:pPr>
        <w:pStyle w:val="6"/>
        <w:spacing w:after="120" w:line="360" w:lineRule="auto"/>
        <w:outlineLvl w:val="3"/>
        <w:rPr>
          <w:rFonts w:hint="eastAsia" w:ascii="仿宋" w:hAnsi="仿宋" w:eastAsia="仿宋" w:cs="仿宋"/>
          <w:b/>
          <w:bCs/>
          <w:sz w:val="24"/>
          <w:szCs w:val="24"/>
          <w:lang w:val="zh-CN" w:eastAsia="zh-CN"/>
        </w:rPr>
      </w:pP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val="zh-CN" w:eastAsia="zh-CN"/>
        </w:rPr>
        <w:t>其他要求</w:t>
      </w:r>
    </w:p>
    <w:p w14:paraId="681728BF">
      <w:pPr>
        <w:widowControl/>
        <w:shd w:val="clear"/>
        <w:spacing w:line="360" w:lineRule="auto"/>
        <w:ind w:firstLine="480" w:firstLineChars="200"/>
        <w:jc w:val="left"/>
        <w:rPr>
          <w:rFonts w:hint="eastAsia" w:ascii="仿宋" w:hAnsi="仿宋" w:eastAsia="仿宋" w:cs="仿宋"/>
          <w:sz w:val="24"/>
          <w:lang w:val="zh-CN" w:eastAsia="zh-CN"/>
        </w:rPr>
      </w:pPr>
      <w:r>
        <w:rPr>
          <w:rFonts w:hint="eastAsia" w:ascii="仿宋" w:hAnsi="仿宋" w:eastAsia="仿宋" w:cs="仿宋"/>
          <w:sz w:val="24"/>
          <w:lang w:val="zh-CN" w:eastAsia="zh-CN"/>
        </w:rPr>
        <w:t>合规性：软件产品应符合相关的法律法规、技术标准、相关的国家标准和规范。</w:t>
      </w:r>
    </w:p>
    <w:p w14:paraId="3EB1C25F">
      <w:pPr>
        <w:widowControl/>
        <w:shd w:val="clear"/>
        <w:spacing w:line="360" w:lineRule="auto"/>
        <w:ind w:firstLine="480" w:firstLineChars="200"/>
        <w:jc w:val="left"/>
        <w:rPr>
          <w:rFonts w:hint="eastAsia" w:ascii="仿宋" w:hAnsi="仿宋" w:eastAsia="仿宋" w:cs="仿宋"/>
          <w:sz w:val="24"/>
          <w:lang w:val="zh-CN" w:eastAsia="zh-CN"/>
        </w:rPr>
      </w:pPr>
      <w:r>
        <w:rPr>
          <w:rFonts w:hint="eastAsia" w:ascii="仿宋" w:hAnsi="仿宋" w:eastAsia="仿宋" w:cs="仿宋"/>
          <w:sz w:val="24"/>
          <w:lang w:val="en-US" w:eastAsia="zh-CN"/>
        </w:rPr>
        <w:t>评价</w:t>
      </w:r>
      <w:r>
        <w:rPr>
          <w:rFonts w:hint="eastAsia" w:ascii="仿宋" w:hAnsi="仿宋" w:eastAsia="仿宋" w:cs="仿宋"/>
          <w:sz w:val="24"/>
          <w:lang w:val="zh-CN" w:eastAsia="zh-CN"/>
        </w:rPr>
        <w:t>报告：对软件</w:t>
      </w:r>
      <w:r>
        <w:rPr>
          <w:rFonts w:hint="eastAsia" w:ascii="仿宋" w:hAnsi="仿宋" w:eastAsia="仿宋" w:cs="仿宋"/>
          <w:sz w:val="24"/>
          <w:lang w:val="en-US" w:eastAsia="zh-CN"/>
        </w:rPr>
        <w:t>维保服务</w:t>
      </w:r>
      <w:r>
        <w:rPr>
          <w:rFonts w:hint="eastAsia" w:ascii="仿宋" w:hAnsi="仿宋" w:eastAsia="仿宋" w:cs="仿宋"/>
          <w:sz w:val="24"/>
          <w:lang w:val="zh-CN" w:eastAsia="zh-CN"/>
        </w:rPr>
        <w:t>进行</w:t>
      </w:r>
      <w:r>
        <w:rPr>
          <w:rFonts w:hint="eastAsia" w:ascii="仿宋" w:hAnsi="仿宋" w:eastAsia="仿宋" w:cs="仿宋"/>
          <w:sz w:val="24"/>
          <w:lang w:val="en-US" w:eastAsia="zh-CN"/>
        </w:rPr>
        <w:t>评价</w:t>
      </w:r>
      <w:r>
        <w:rPr>
          <w:rFonts w:hint="eastAsia" w:ascii="仿宋" w:hAnsi="仿宋" w:eastAsia="仿宋" w:cs="仿宋"/>
          <w:sz w:val="24"/>
          <w:lang w:val="zh-CN" w:eastAsia="zh-CN"/>
        </w:rPr>
        <w:t>后，应编制</w:t>
      </w:r>
      <w:r>
        <w:rPr>
          <w:rFonts w:hint="eastAsia" w:ascii="仿宋" w:hAnsi="仿宋" w:eastAsia="仿宋" w:cs="仿宋"/>
          <w:sz w:val="24"/>
          <w:lang w:val="en-US" w:eastAsia="zh-CN"/>
        </w:rPr>
        <w:t>评价</w:t>
      </w:r>
      <w:r>
        <w:rPr>
          <w:rFonts w:hint="eastAsia" w:ascii="仿宋" w:hAnsi="仿宋" w:eastAsia="仿宋" w:cs="仿宋"/>
          <w:sz w:val="24"/>
          <w:lang w:val="zh-CN" w:eastAsia="zh-CN"/>
        </w:rPr>
        <w:t>报告，</w:t>
      </w:r>
      <w:r>
        <w:rPr>
          <w:rFonts w:hint="eastAsia" w:ascii="仿宋" w:hAnsi="仿宋" w:eastAsia="仿宋" w:cs="仿宋"/>
          <w:sz w:val="24"/>
          <w:lang w:val="en-US" w:eastAsia="zh-CN"/>
        </w:rPr>
        <w:t>包含用户评价</w:t>
      </w:r>
      <w:r>
        <w:rPr>
          <w:rFonts w:hint="eastAsia" w:ascii="仿宋" w:hAnsi="仿宋" w:eastAsia="仿宋" w:cs="仿宋"/>
          <w:sz w:val="24"/>
          <w:lang w:val="zh-CN" w:eastAsia="zh-CN"/>
        </w:rPr>
        <w:t>以及存在的问题和改进建议。</w:t>
      </w:r>
    </w:p>
    <w:p w14:paraId="552EA0F5">
      <w:pPr>
        <w:pStyle w:val="3"/>
        <w:numPr>
          <w:ilvl w:val="0"/>
          <w:numId w:val="3"/>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zh-CN" w:eastAsia="zh-CN" w:bidi="ar-SA"/>
        </w:rPr>
        <w:t>售后服务内容</w:t>
      </w:r>
    </w:p>
    <w:p w14:paraId="6D121CDB">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（1）技术咨询：乙方为甲方提供技术服务热线，在接到甲方请求后，乙方根据请求情况协调资源，第一时间给甲方反馈并解决问题。</w:t>
      </w:r>
    </w:p>
    <w:p w14:paraId="32A2BB0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（2）应用软件运行维护：乙方应用软件自身缺陷的调整，及时解决日常运行中出现的问题。</w:t>
      </w:r>
    </w:p>
    <w:p w14:paraId="5A26FAF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（3）及时响应需求变更：乙方在要求的时限内完成对应用系统的修改或调整。</w:t>
      </w:r>
    </w:p>
    <w:p w14:paraId="0F2ED81D">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（4）应用软件技术改造与升级服务：乙方将</w:t>
      </w:r>
      <w:r>
        <w:rPr>
          <w:rFonts w:hint="eastAsia" w:ascii="仿宋" w:hAnsi="仿宋" w:eastAsia="仿宋" w:cs="仿宋"/>
          <w:sz w:val="24"/>
          <w:lang w:val="en-US" w:eastAsia="zh-CN"/>
        </w:rPr>
        <w:t>大版本内</w:t>
      </w:r>
      <w:r>
        <w:rPr>
          <w:rFonts w:hint="eastAsia" w:ascii="仿宋" w:hAnsi="仿宋" w:eastAsia="仿宋" w:cs="仿宋"/>
          <w:sz w:val="24"/>
        </w:rPr>
        <w:t>最新的技术成果和先进的管理模式</w:t>
      </w:r>
      <w:r>
        <w:rPr>
          <w:rFonts w:hint="eastAsia" w:ascii="仿宋" w:hAnsi="仿宋" w:eastAsia="仿宋" w:cs="仿宋"/>
          <w:sz w:val="24"/>
          <w:lang w:val="en-US" w:eastAsia="zh-CN"/>
        </w:rPr>
        <w:t>进行升级</w:t>
      </w:r>
      <w:r>
        <w:rPr>
          <w:rFonts w:hint="eastAsia" w:ascii="仿宋" w:hAnsi="仿宋" w:eastAsia="仿宋" w:cs="仿宋"/>
          <w:sz w:val="24"/>
        </w:rPr>
        <w:t>，使应用</w:t>
      </w:r>
      <w:r>
        <w:rPr>
          <w:rFonts w:hint="eastAsia" w:ascii="仿宋" w:hAnsi="仿宋" w:eastAsia="仿宋" w:cs="仿宋"/>
          <w:sz w:val="24"/>
          <w:lang w:eastAsia="zh-CN"/>
        </w:rPr>
        <w:t>系统</w:t>
      </w:r>
      <w:r>
        <w:rPr>
          <w:rFonts w:hint="eastAsia" w:ascii="仿宋" w:hAnsi="仿宋" w:eastAsia="仿宋" w:cs="仿宋"/>
          <w:sz w:val="24"/>
        </w:rPr>
        <w:t>永远保持先进性。若因甲方其他系统升级或其他新系统需接入，需乙方配合的，乙方提供技术服务</w:t>
      </w:r>
      <w:r>
        <w:rPr>
          <w:rFonts w:hint="eastAsia" w:ascii="仿宋" w:hAnsi="仿宋" w:eastAsia="仿宋" w:cs="仿宋"/>
          <w:sz w:val="24"/>
          <w:lang w:val="en-US" w:eastAsia="zh-CN"/>
        </w:rPr>
        <w:t>不再产生费用</w:t>
      </w:r>
      <w:r>
        <w:rPr>
          <w:rFonts w:hint="eastAsia" w:ascii="仿宋" w:hAnsi="仿宋" w:eastAsia="仿宋" w:cs="仿宋"/>
          <w:sz w:val="24"/>
        </w:rPr>
        <w:t>。乙方配合甲方完成国家制定的电子病历系统应用水平分级评价、医院信息互联互通成熟度测评、医院智慧医疗服务分级评估、医院智慧管理分级评估标准体系标准版本变更后新要求的技术实现及更新。</w:t>
      </w:r>
    </w:p>
    <w:p w14:paraId="6C50F81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（5）数据库支持服务：乙方</w:t>
      </w:r>
      <w:r>
        <w:rPr>
          <w:rFonts w:hint="eastAsia" w:ascii="仿宋" w:hAnsi="仿宋" w:eastAsia="仿宋" w:cs="仿宋"/>
          <w:sz w:val="24"/>
          <w:lang w:val="en-US" w:eastAsia="zh-CN"/>
        </w:rPr>
        <w:t>需支持迁移OceanBase数据库，并</w:t>
      </w:r>
      <w:r>
        <w:rPr>
          <w:rFonts w:hint="eastAsia" w:ascii="仿宋" w:hAnsi="仿宋" w:eastAsia="仿宋" w:cs="仿宋"/>
          <w:sz w:val="24"/>
        </w:rPr>
        <w:t>提供长期的数据库优化及技术支持服务，以及异常数据修正、批量数据处理、数据备份等数据维护工作，每月清理服务器系统日志文件，磁盘垃圾、碎片文件等。</w:t>
      </w:r>
    </w:p>
    <w:p w14:paraId="0F41B46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（6）定期系统巡检：乙方定期</w:t>
      </w:r>
      <w:r>
        <w:rPr>
          <w:rFonts w:hint="eastAsia" w:ascii="仿宋" w:hAnsi="仿宋" w:eastAsia="仿宋" w:cs="仿宋"/>
          <w:sz w:val="24"/>
          <w:lang w:eastAsia="zh-CN"/>
        </w:rPr>
        <w:t>到</w:t>
      </w:r>
      <w:r>
        <w:rPr>
          <w:rFonts w:hint="eastAsia" w:ascii="仿宋" w:hAnsi="仿宋" w:eastAsia="仿宋" w:cs="仿宋"/>
          <w:sz w:val="24"/>
        </w:rPr>
        <w:t>现场对应用系统运行情况，主机运行情况，数据库系统情况进行检查和维护。</w:t>
      </w:r>
    </w:p>
    <w:p w14:paraId="082253E0">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7）系统调优服务：乙方提供性能分析及专业的系统优化服务来提高甲方系统的安全性、稳定性、应用性能及实用性，将系统故障进行规避。根据业务发展情况进行跟踪，针对业务情况及应用变化调整系统和应用的结合。乙方资深专家通过对系统运行状况、问题进行周期性检查、评估、分析后，为甲方提出指导性建议。</w:t>
      </w:r>
    </w:p>
    <w:p w14:paraId="2E56268A">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（8）乙方向甲方开放数据库表结构。</w:t>
      </w:r>
    </w:p>
    <w:p w14:paraId="5CEB96C4">
      <w:pPr>
        <w:pStyle w:val="3"/>
        <w:numPr>
          <w:ilvl w:val="0"/>
          <w:numId w:val="3"/>
        </w:numPr>
        <w:adjustRightInd w:val="0"/>
        <w:snapToGrid w:val="0"/>
        <w:spacing w:before="0" w:after="0" w:line="360" w:lineRule="auto"/>
        <w:ind w:left="-641" w:leftChars="0" w:firstLine="641" w:firstLineChars="0"/>
        <w:jc w:val="left"/>
        <w:outlineLvl w:val="2"/>
        <w:rPr>
          <w:rFonts w:hint="eastAsia" w:ascii="仿宋" w:hAnsi="仿宋" w:eastAsia="仿宋" w:cs="仿宋"/>
          <w:b/>
          <w:bCs w:val="0"/>
          <w:kern w:val="2"/>
          <w:sz w:val="24"/>
          <w:szCs w:val="24"/>
          <w:lang w:val="zh-CN" w:eastAsia="zh-CN" w:bidi="ar-SA"/>
        </w:rPr>
      </w:pPr>
      <w:r>
        <w:rPr>
          <w:rFonts w:hint="eastAsia" w:ascii="仿宋" w:hAnsi="仿宋" w:eastAsia="仿宋" w:cs="仿宋"/>
          <w:b/>
          <w:bCs w:val="0"/>
          <w:kern w:val="2"/>
          <w:sz w:val="24"/>
          <w:szCs w:val="24"/>
          <w:lang w:val="en-US" w:eastAsia="zh-CN" w:bidi="ar-SA"/>
        </w:rPr>
        <w:t>服务方式</w:t>
      </w:r>
    </w:p>
    <w:p w14:paraId="08BC0133">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甲方可获得乙方7*24小时的技术支持中心客户热线电话、传真、EMAIL、在线支持以及现场服务，解答软件系统应用中的各种问题。</w:t>
      </w:r>
    </w:p>
    <w:tbl>
      <w:tblPr>
        <w:tblStyle w:val="10"/>
        <w:tblW w:w="8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95"/>
        <w:gridCol w:w="1667"/>
        <w:gridCol w:w="4041"/>
      </w:tblGrid>
      <w:tr w14:paraId="10B13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2695" w:type="dxa"/>
          </w:tcPr>
          <w:p w14:paraId="2E70023E">
            <w:pPr>
              <w:shd w:val="clear"/>
              <w:spacing w:line="360" w:lineRule="auto"/>
              <w:rPr>
                <w:rFonts w:hint="eastAsia" w:ascii="仿宋" w:hAnsi="仿宋" w:eastAsia="仿宋" w:cs="仿宋"/>
                <w:kern w:val="0"/>
                <w:sz w:val="24"/>
              </w:rPr>
            </w:pPr>
            <w:r>
              <w:rPr>
                <w:rFonts w:hint="eastAsia" w:ascii="仿宋" w:hAnsi="仿宋" w:eastAsia="仿宋" w:cs="仿宋"/>
                <w:kern w:val="0"/>
                <w:sz w:val="24"/>
              </w:rPr>
              <w:t>错误报告类别</w:t>
            </w:r>
          </w:p>
        </w:tc>
        <w:tc>
          <w:tcPr>
            <w:tcW w:w="1667" w:type="dxa"/>
          </w:tcPr>
          <w:p w14:paraId="6A8E31D6">
            <w:pPr>
              <w:shd w:val="clear"/>
              <w:spacing w:line="360" w:lineRule="auto"/>
              <w:rPr>
                <w:rFonts w:hint="eastAsia" w:ascii="仿宋" w:hAnsi="仿宋" w:eastAsia="仿宋" w:cs="仿宋"/>
                <w:kern w:val="0"/>
                <w:sz w:val="24"/>
              </w:rPr>
            </w:pPr>
            <w:r>
              <w:rPr>
                <w:rFonts w:hint="eastAsia" w:ascii="仿宋" w:hAnsi="仿宋" w:eastAsia="仿宋" w:cs="仿宋"/>
                <w:kern w:val="0"/>
                <w:sz w:val="24"/>
              </w:rPr>
              <w:t>响应时间</w:t>
            </w:r>
          </w:p>
        </w:tc>
        <w:tc>
          <w:tcPr>
            <w:tcW w:w="4041" w:type="dxa"/>
          </w:tcPr>
          <w:p w14:paraId="796E0CA6">
            <w:pPr>
              <w:shd w:val="clear"/>
              <w:spacing w:line="360" w:lineRule="auto"/>
              <w:rPr>
                <w:rFonts w:hint="eastAsia" w:ascii="仿宋" w:hAnsi="仿宋" w:eastAsia="仿宋" w:cs="仿宋"/>
                <w:kern w:val="0"/>
                <w:sz w:val="24"/>
              </w:rPr>
            </w:pPr>
            <w:r>
              <w:rPr>
                <w:rFonts w:hint="eastAsia" w:ascii="仿宋" w:hAnsi="仿宋" w:eastAsia="仿宋" w:cs="仿宋"/>
                <w:kern w:val="0"/>
                <w:sz w:val="24"/>
              </w:rPr>
              <w:t>解决办法</w:t>
            </w:r>
          </w:p>
        </w:tc>
      </w:tr>
      <w:tr w14:paraId="67E0B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2695" w:type="dxa"/>
          </w:tcPr>
          <w:p w14:paraId="230754DC">
            <w:pPr>
              <w:shd w:val="clear"/>
              <w:spacing w:line="360" w:lineRule="auto"/>
              <w:rPr>
                <w:rFonts w:hint="eastAsia" w:ascii="仿宋" w:hAnsi="仿宋" w:eastAsia="仿宋" w:cs="仿宋"/>
                <w:kern w:val="0"/>
                <w:sz w:val="24"/>
              </w:rPr>
            </w:pPr>
            <w:r>
              <w:rPr>
                <w:rFonts w:hint="eastAsia" w:ascii="仿宋" w:hAnsi="仿宋" w:eastAsia="仿宋" w:cs="仿宋"/>
                <w:kern w:val="0"/>
                <w:sz w:val="24"/>
              </w:rPr>
              <w:t>致命错误（Fatal）</w:t>
            </w:r>
          </w:p>
        </w:tc>
        <w:tc>
          <w:tcPr>
            <w:tcW w:w="1667" w:type="dxa"/>
          </w:tcPr>
          <w:p w14:paraId="40A378E9">
            <w:pPr>
              <w:shd w:val="clear"/>
              <w:spacing w:line="360" w:lineRule="auto"/>
              <w:rPr>
                <w:rFonts w:hint="eastAsia" w:ascii="仿宋" w:hAnsi="仿宋" w:eastAsia="仿宋" w:cs="仿宋"/>
                <w:kern w:val="0"/>
                <w:sz w:val="24"/>
              </w:rPr>
            </w:pPr>
            <w:r>
              <w:rPr>
                <w:rFonts w:hint="eastAsia" w:ascii="仿宋" w:hAnsi="仿宋" w:eastAsia="仿宋" w:cs="仿宋"/>
                <w:kern w:val="0"/>
                <w:sz w:val="24"/>
              </w:rPr>
              <w:t>1个小时</w:t>
            </w:r>
          </w:p>
        </w:tc>
        <w:tc>
          <w:tcPr>
            <w:tcW w:w="4041" w:type="dxa"/>
          </w:tcPr>
          <w:p w14:paraId="1311C73D">
            <w:pPr>
              <w:shd w:val="clear"/>
              <w:spacing w:line="360" w:lineRule="auto"/>
              <w:rPr>
                <w:rFonts w:hint="eastAsia" w:ascii="仿宋" w:hAnsi="仿宋" w:eastAsia="仿宋" w:cs="仿宋"/>
                <w:kern w:val="0"/>
                <w:sz w:val="24"/>
              </w:rPr>
            </w:pPr>
            <w:r>
              <w:rPr>
                <w:rFonts w:hint="eastAsia" w:ascii="仿宋" w:hAnsi="仿宋" w:eastAsia="仿宋" w:cs="仿宋"/>
                <w:kern w:val="0"/>
                <w:sz w:val="24"/>
              </w:rPr>
              <w:t>研究解决方法并力争尽快解决，最长不得超过2个小时</w:t>
            </w:r>
          </w:p>
        </w:tc>
      </w:tr>
      <w:tr w14:paraId="63985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5" w:hRule="atLeast"/>
          <w:jc w:val="center"/>
        </w:trPr>
        <w:tc>
          <w:tcPr>
            <w:tcW w:w="2695" w:type="dxa"/>
          </w:tcPr>
          <w:p w14:paraId="002C4055">
            <w:pPr>
              <w:shd w:val="clear"/>
              <w:spacing w:line="360" w:lineRule="auto"/>
              <w:rPr>
                <w:rFonts w:hint="eastAsia" w:ascii="仿宋" w:hAnsi="仿宋" w:eastAsia="仿宋" w:cs="仿宋"/>
                <w:kern w:val="0"/>
                <w:sz w:val="24"/>
              </w:rPr>
            </w:pPr>
            <w:r>
              <w:rPr>
                <w:rFonts w:hint="eastAsia" w:ascii="仿宋" w:hAnsi="仿宋" w:eastAsia="仿宋" w:cs="仿宋"/>
                <w:kern w:val="0"/>
                <w:sz w:val="24"/>
              </w:rPr>
              <w:t>严重错误（Serious）</w:t>
            </w:r>
          </w:p>
        </w:tc>
        <w:tc>
          <w:tcPr>
            <w:tcW w:w="1667" w:type="dxa"/>
          </w:tcPr>
          <w:p w14:paraId="76AB7E91">
            <w:pPr>
              <w:shd w:val="clear"/>
              <w:spacing w:line="360" w:lineRule="auto"/>
              <w:rPr>
                <w:rFonts w:hint="eastAsia" w:ascii="仿宋" w:hAnsi="仿宋" w:eastAsia="仿宋" w:cs="仿宋"/>
                <w:kern w:val="0"/>
                <w:sz w:val="24"/>
              </w:rPr>
            </w:pPr>
            <w:r>
              <w:rPr>
                <w:rFonts w:hint="eastAsia" w:ascii="仿宋" w:hAnsi="仿宋" w:eastAsia="仿宋" w:cs="仿宋"/>
                <w:kern w:val="0"/>
                <w:sz w:val="24"/>
              </w:rPr>
              <w:t>2个小时</w:t>
            </w:r>
          </w:p>
        </w:tc>
        <w:tc>
          <w:tcPr>
            <w:tcW w:w="4041" w:type="dxa"/>
          </w:tcPr>
          <w:p w14:paraId="1786E6B6">
            <w:pPr>
              <w:shd w:val="clear"/>
              <w:spacing w:line="360" w:lineRule="auto"/>
              <w:rPr>
                <w:rFonts w:hint="eastAsia" w:ascii="仿宋" w:hAnsi="仿宋" w:eastAsia="仿宋" w:cs="仿宋"/>
                <w:kern w:val="0"/>
                <w:sz w:val="24"/>
              </w:rPr>
            </w:pPr>
            <w:r>
              <w:rPr>
                <w:rFonts w:hint="eastAsia" w:ascii="仿宋" w:hAnsi="仿宋" w:eastAsia="仿宋" w:cs="仿宋"/>
                <w:kern w:val="0"/>
                <w:sz w:val="24"/>
              </w:rPr>
              <w:t>尽快修正，或提交Service Pack</w:t>
            </w:r>
          </w:p>
        </w:tc>
      </w:tr>
      <w:tr w14:paraId="7538E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2695" w:type="dxa"/>
          </w:tcPr>
          <w:p w14:paraId="19C8E19C">
            <w:pPr>
              <w:shd w:val="clear"/>
              <w:spacing w:line="360" w:lineRule="auto"/>
              <w:rPr>
                <w:rFonts w:hint="eastAsia" w:ascii="仿宋" w:hAnsi="仿宋" w:eastAsia="仿宋" w:cs="仿宋"/>
                <w:kern w:val="0"/>
                <w:sz w:val="24"/>
              </w:rPr>
            </w:pPr>
            <w:r>
              <w:rPr>
                <w:rFonts w:hint="eastAsia" w:ascii="仿宋" w:hAnsi="仿宋" w:eastAsia="仿宋" w:cs="仿宋"/>
                <w:kern w:val="0"/>
                <w:sz w:val="24"/>
              </w:rPr>
              <w:t>一般错误（Minor）</w:t>
            </w:r>
          </w:p>
        </w:tc>
        <w:tc>
          <w:tcPr>
            <w:tcW w:w="1667" w:type="dxa"/>
          </w:tcPr>
          <w:p w14:paraId="3C6F4B61">
            <w:pPr>
              <w:shd w:val="clear"/>
              <w:spacing w:line="360" w:lineRule="auto"/>
              <w:rPr>
                <w:rFonts w:hint="eastAsia" w:ascii="仿宋" w:hAnsi="仿宋" w:eastAsia="仿宋" w:cs="仿宋"/>
                <w:kern w:val="0"/>
                <w:sz w:val="24"/>
              </w:rPr>
            </w:pPr>
            <w:r>
              <w:rPr>
                <w:rFonts w:hint="eastAsia" w:ascii="仿宋" w:hAnsi="仿宋" w:eastAsia="仿宋" w:cs="仿宋"/>
                <w:kern w:val="0"/>
                <w:sz w:val="24"/>
              </w:rPr>
              <w:t>4个小时</w:t>
            </w:r>
          </w:p>
        </w:tc>
        <w:tc>
          <w:tcPr>
            <w:tcW w:w="4041" w:type="dxa"/>
          </w:tcPr>
          <w:p w14:paraId="5E216D2E">
            <w:pPr>
              <w:shd w:val="clear"/>
              <w:spacing w:line="360" w:lineRule="auto"/>
              <w:rPr>
                <w:rFonts w:hint="eastAsia" w:ascii="仿宋" w:hAnsi="仿宋" w:eastAsia="仿宋" w:cs="仿宋"/>
                <w:kern w:val="0"/>
                <w:sz w:val="24"/>
              </w:rPr>
            </w:pPr>
            <w:r>
              <w:rPr>
                <w:rFonts w:hint="eastAsia" w:ascii="仿宋" w:hAnsi="仿宋" w:eastAsia="仿宋" w:cs="仿宋"/>
                <w:kern w:val="0"/>
                <w:sz w:val="24"/>
              </w:rPr>
              <w:t>以Service Pack修正</w:t>
            </w:r>
          </w:p>
        </w:tc>
      </w:tr>
    </w:tbl>
    <w:p w14:paraId="208C999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定义：</w:t>
      </w:r>
    </w:p>
    <w:p w14:paraId="0027C255">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致命错误——能够引起系统停机或中断的错误；</w:t>
      </w:r>
    </w:p>
    <w:p w14:paraId="299E64EF">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严重错误——对系统运行有较大影响，但不致导致系统停机或无法使用的错误；</w:t>
      </w:r>
    </w:p>
    <w:p w14:paraId="2F222A32">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一般错误——对系统运行有影响，但不妨碍系统正常运行的错误；</w:t>
      </w:r>
    </w:p>
    <w:p w14:paraId="474EC08C">
      <w:pPr>
        <w:widowControl/>
        <w:shd w:val="clea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响应时间——自甲方向乙方发出书面报告错误之时起计。</w:t>
      </w:r>
    </w:p>
    <w:p w14:paraId="18717650">
      <w:pPr>
        <w:pStyle w:val="6"/>
        <w:spacing w:after="120" w:line="360" w:lineRule="auto"/>
        <w:rPr>
          <w:rFonts w:hint="eastAsia" w:ascii="仿宋" w:hAnsi="仿宋" w:eastAsia="仿宋" w:cs="仿宋"/>
          <w:sz w:val="24"/>
          <w:szCs w:val="24"/>
          <w:lang w:val="zh-CN" w:eastAsia="zh-CN"/>
        </w:rPr>
      </w:pPr>
    </w:p>
    <w:p w14:paraId="368876F1">
      <w:pPr>
        <w:pStyle w:val="2"/>
        <w:numPr>
          <w:ilvl w:val="0"/>
          <w:numId w:val="1"/>
        </w:numPr>
        <w:snapToGrid w:val="0"/>
        <w:spacing w:before="0" w:after="0" w:line="360" w:lineRule="auto"/>
        <w:ind w:firstLineChars="0"/>
        <w:jc w:val="left"/>
        <w:outlineLvl w:val="1"/>
        <w:rPr>
          <w:rFonts w:ascii="仿宋" w:hAnsi="仿宋" w:eastAsia="仿宋" w:cs="Times New Roman"/>
          <w:b/>
          <w:sz w:val="24"/>
          <w:szCs w:val="24"/>
          <w:lang w:val="zh-CN"/>
        </w:rPr>
      </w:pPr>
      <w:r>
        <w:rPr>
          <w:rFonts w:hint="eastAsia" w:ascii="仿宋" w:hAnsi="仿宋" w:eastAsia="仿宋" w:cs="Times New Roman"/>
          <w:b/>
          <w:sz w:val="24"/>
          <w:szCs w:val="24"/>
          <w:lang w:val="zh-CN"/>
        </w:rPr>
        <w:t>商务要求</w:t>
      </w:r>
    </w:p>
    <w:p w14:paraId="3CE351F3">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（一）项目提交物</w:t>
      </w:r>
    </w:p>
    <w:p w14:paraId="67F093B4">
      <w:pPr>
        <w:widowControl/>
        <w:shd w:val="clear"/>
        <w:spacing w:line="360" w:lineRule="auto"/>
        <w:ind w:firstLine="480" w:firstLineChars="200"/>
        <w:jc w:val="left"/>
        <w:rPr>
          <w:rFonts w:hint="default" w:ascii="仿宋" w:hAnsi="仿宋" w:eastAsia="仿宋" w:cs="仿宋"/>
          <w:sz w:val="24"/>
          <w:lang w:val="en-US" w:eastAsia="zh-CN"/>
        </w:rPr>
      </w:pPr>
      <w:r>
        <w:rPr>
          <w:rFonts w:hint="eastAsia" w:ascii="仿宋" w:hAnsi="仿宋" w:eastAsia="仿宋" w:cs="仿宋"/>
          <w:sz w:val="24"/>
          <w:lang w:val="en-US" w:eastAsia="zh-CN"/>
        </w:rPr>
        <w:t>服务期每三个月，乙方向甲方提交项目交付物，包括但不限于：巡检报告、系统应用效果评价报告（见附件1）、需求沟通会议纪要（如有）、需求变更改造清单（如有）、用户培训记录（如有）、系统调优记录（如有）。</w:t>
      </w:r>
    </w:p>
    <w:p w14:paraId="5B669F05">
      <w:pPr>
        <w:snapToGrid w:val="0"/>
        <w:spacing w:line="360" w:lineRule="auto"/>
        <w:ind w:firstLine="482" w:firstLineChars="200"/>
        <w:jc w:val="left"/>
        <w:outlineLvl w:val="2"/>
        <w:rPr>
          <w:rFonts w:hint="eastAsia" w:ascii="仿宋" w:hAnsi="仿宋" w:eastAsia="仿宋" w:cs="宋体"/>
          <w:b/>
          <w:bCs/>
          <w:color w:val="000000"/>
          <w:sz w:val="24"/>
          <w:szCs w:val="24"/>
          <w:lang w:val="en-US" w:eastAsia="zh-CN"/>
        </w:rPr>
      </w:pPr>
      <w:r>
        <w:rPr>
          <w:rFonts w:hint="eastAsia" w:ascii="仿宋" w:hAnsi="仿宋" w:eastAsia="仿宋" w:cs="宋体"/>
          <w:b/>
          <w:bCs/>
          <w:color w:val="000000"/>
          <w:sz w:val="24"/>
          <w:szCs w:val="24"/>
          <w:lang w:val="en-US" w:eastAsia="zh-CN"/>
        </w:rPr>
        <w:t>（二）付款方式</w:t>
      </w:r>
    </w:p>
    <w:p w14:paraId="1FCFE3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（1）首付款：合同签订完毕，甲方收到乙方开具相应税票后的15个工作日内，甲方向乙方支付合同总金额的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0%作为首付款。</w:t>
      </w:r>
    </w:p>
    <w:p w14:paraId="06374BDE">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进度款</w:t>
      </w:r>
      <w:r>
        <w:rPr>
          <w:rFonts w:hint="eastAsia" w:ascii="仿宋" w:hAnsi="仿宋" w:eastAsia="仿宋" w:cs="仿宋"/>
          <w:sz w:val="24"/>
          <w:szCs w:val="24"/>
        </w:rPr>
        <w:t>：</w:t>
      </w:r>
      <w:r>
        <w:rPr>
          <w:rFonts w:hint="eastAsia" w:ascii="仿宋" w:hAnsi="仿宋" w:eastAsia="仿宋" w:cs="仿宋"/>
          <w:sz w:val="24"/>
          <w:szCs w:val="24"/>
          <w:lang w:val="en-US" w:eastAsia="zh-CN"/>
        </w:rPr>
        <w:t>服务期满6个月</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cs="仿宋"/>
          <w:sz w:val="24"/>
          <w:szCs w:val="24"/>
        </w:rPr>
        <w:t>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个工作日内，甲方向乙方支付合同总金额的</w:t>
      </w:r>
      <w:r>
        <w:rPr>
          <w:rFonts w:hint="eastAsia" w:ascii="仿宋" w:hAnsi="仿宋" w:eastAsia="仿宋" w:cs="仿宋"/>
          <w:sz w:val="24"/>
          <w:szCs w:val="24"/>
          <w:lang w:val="en-US" w:eastAsia="zh-CN"/>
        </w:rPr>
        <w:t>3</w:t>
      </w:r>
      <w:r>
        <w:rPr>
          <w:rFonts w:hint="eastAsia" w:ascii="仿宋" w:hAnsi="仿宋" w:eastAsia="仿宋" w:cs="仿宋"/>
          <w:sz w:val="24"/>
          <w:szCs w:val="24"/>
        </w:rPr>
        <w:t>0%作为</w:t>
      </w:r>
      <w:r>
        <w:rPr>
          <w:rFonts w:hint="eastAsia" w:ascii="仿宋" w:hAnsi="仿宋" w:eastAsia="仿宋" w:cs="仿宋"/>
          <w:sz w:val="24"/>
          <w:szCs w:val="24"/>
          <w:lang w:val="en-US" w:eastAsia="zh-CN"/>
        </w:rPr>
        <w:t>进度</w:t>
      </w:r>
      <w:r>
        <w:rPr>
          <w:rFonts w:hint="eastAsia" w:ascii="仿宋" w:hAnsi="仿宋" w:eastAsia="仿宋" w:cs="仿宋"/>
          <w:sz w:val="24"/>
          <w:szCs w:val="24"/>
        </w:rPr>
        <w:t>款</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05E09C3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3</w:t>
      </w:r>
      <w:r>
        <w:rPr>
          <w:rFonts w:hint="eastAsia" w:ascii="仿宋" w:hAnsi="仿宋" w:eastAsia="仿宋" w:cs="仿宋"/>
          <w:sz w:val="24"/>
          <w:szCs w:val="24"/>
          <w:lang w:eastAsia="zh-CN"/>
        </w:rPr>
        <w:t>）</w:t>
      </w:r>
      <w:r>
        <w:rPr>
          <w:rFonts w:hint="eastAsia" w:ascii="仿宋" w:hAnsi="仿宋" w:eastAsia="仿宋" w:cs="仿宋"/>
          <w:sz w:val="24"/>
          <w:szCs w:val="24"/>
        </w:rPr>
        <w:t>验收款：</w:t>
      </w:r>
      <w:r>
        <w:rPr>
          <w:rFonts w:hint="eastAsia" w:ascii="仿宋" w:hAnsi="仿宋" w:eastAsia="仿宋" w:cs="仿宋"/>
          <w:sz w:val="24"/>
          <w:szCs w:val="24"/>
          <w:lang w:val="en-US" w:eastAsia="zh-CN"/>
        </w:rPr>
        <w:t>合同约定的服务期满后</w:t>
      </w:r>
      <w:r>
        <w:rPr>
          <w:rFonts w:hint="eastAsia" w:ascii="仿宋" w:hAnsi="仿宋" w:eastAsia="仿宋" w:cs="仿宋"/>
          <w:sz w:val="24"/>
          <w:szCs w:val="24"/>
        </w:rPr>
        <w:t>，</w:t>
      </w:r>
      <w:r>
        <w:rPr>
          <w:rFonts w:hint="eastAsia" w:ascii="仿宋" w:hAnsi="仿宋" w:eastAsia="仿宋" w:cs="仿宋"/>
          <w:sz w:val="24"/>
          <w:szCs w:val="24"/>
          <w:lang w:val="en-US" w:eastAsia="zh-CN"/>
        </w:rPr>
        <w:t>前序季度</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均为合格及以上，并提交所有项目提交物后，</w:t>
      </w:r>
      <w:r>
        <w:rPr>
          <w:rFonts w:hint="eastAsia" w:ascii="仿宋" w:hAnsi="仿宋" w:eastAsia="仿宋"/>
          <w:sz w:val="24"/>
          <w:szCs w:val="24"/>
        </w:rPr>
        <w:t>进行审计，经审计确认</w:t>
      </w:r>
      <w:r>
        <w:rPr>
          <w:rFonts w:hint="eastAsia" w:ascii="仿宋" w:hAnsi="仿宋" w:eastAsia="仿宋" w:cs="仿宋"/>
          <w:sz w:val="24"/>
          <w:szCs w:val="24"/>
        </w:rPr>
        <w:t>且甲方收到乙方开具相应税票后的1</w:t>
      </w:r>
      <w:r>
        <w:rPr>
          <w:rFonts w:hint="eastAsia" w:ascii="仿宋" w:hAnsi="仿宋" w:eastAsia="仿宋" w:cs="仿宋"/>
          <w:sz w:val="24"/>
          <w:szCs w:val="24"/>
          <w:lang w:val="en-US" w:eastAsia="zh-CN"/>
        </w:rPr>
        <w:t>0</w:t>
      </w:r>
      <w:r>
        <w:rPr>
          <w:rFonts w:hint="eastAsia" w:ascii="仿宋" w:hAnsi="仿宋" w:eastAsia="仿宋" w:cs="仿宋"/>
          <w:sz w:val="24"/>
          <w:szCs w:val="24"/>
        </w:rPr>
        <w:t>个工作日内，甲方支付至总合同审定金额的</w:t>
      </w:r>
      <w:r>
        <w:rPr>
          <w:rFonts w:hint="eastAsia" w:ascii="仿宋" w:hAnsi="仿宋" w:eastAsia="仿宋" w:cs="仿宋"/>
          <w:sz w:val="24"/>
          <w:szCs w:val="24"/>
          <w:lang w:val="en-US" w:eastAsia="zh-CN"/>
        </w:rPr>
        <w:t>100</w:t>
      </w:r>
      <w:r>
        <w:rPr>
          <w:rFonts w:hint="eastAsia" w:ascii="仿宋" w:hAnsi="仿宋" w:eastAsia="仿宋" w:cs="仿宋"/>
          <w:sz w:val="24"/>
          <w:szCs w:val="24"/>
        </w:rPr>
        <w:t>%给乙方</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若存在</w:t>
      </w:r>
      <w:r>
        <w:rPr>
          <w:rFonts w:hint="eastAsia" w:ascii="仿宋" w:hAnsi="仿宋" w:eastAsia="仿宋" w:cs="仿宋"/>
          <w:sz w:val="24"/>
          <w:szCs w:val="24"/>
        </w:rPr>
        <w:t>《</w:t>
      </w:r>
      <w:r>
        <w:rPr>
          <w:rFonts w:hint="eastAsia" w:ascii="仿宋" w:hAnsi="仿宋" w:eastAsia="仿宋" w:cs="仿宋"/>
          <w:sz w:val="24"/>
          <w:szCs w:val="24"/>
          <w:lang w:val="en-US" w:eastAsia="zh-CN"/>
        </w:rPr>
        <w:t>维保服务评价</w:t>
      </w:r>
      <w:r>
        <w:rPr>
          <w:rFonts w:hint="eastAsia" w:ascii="仿宋" w:hAnsi="仿宋" w:eastAsia="仿宋" w:cs="仿宋"/>
          <w:sz w:val="24"/>
          <w:szCs w:val="24"/>
        </w:rPr>
        <w:t>报告》</w:t>
      </w:r>
      <w:r>
        <w:rPr>
          <w:rFonts w:hint="eastAsia" w:ascii="仿宋" w:hAnsi="仿宋" w:eastAsia="仿宋" w:cs="仿宋"/>
          <w:sz w:val="24"/>
          <w:szCs w:val="24"/>
          <w:lang w:val="en-US" w:eastAsia="zh-CN"/>
        </w:rPr>
        <w:t>不合格情况，按监理和审计出具报告执行</w:t>
      </w:r>
      <w:r>
        <w:rPr>
          <w:rFonts w:hint="eastAsia" w:ascii="仿宋" w:hAnsi="仿宋" w:eastAsia="仿宋" w:cs="仿宋"/>
          <w:sz w:val="24"/>
          <w:szCs w:val="24"/>
        </w:rPr>
        <w:t>。</w:t>
      </w:r>
    </w:p>
    <w:p w14:paraId="1C7F35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 xml:space="preserve">乙方开具相应金额的发票给甲方后，甲方采用银行电汇的方式付款。 </w:t>
      </w:r>
    </w:p>
    <w:p w14:paraId="537A4839">
      <w:pPr>
        <w:snapToGrid w:val="0"/>
        <w:spacing w:line="360" w:lineRule="auto"/>
        <w:ind w:firstLine="482" w:firstLineChars="200"/>
        <w:jc w:val="left"/>
        <w:outlineLvl w:val="2"/>
        <w:rPr>
          <w:rFonts w:hint="default" w:ascii="仿宋" w:hAnsi="仿宋" w:eastAsia="仿宋" w:cs="宋体"/>
          <w:b/>
          <w:bCs/>
          <w:color w:val="000000"/>
          <w:sz w:val="24"/>
          <w:szCs w:val="24"/>
          <w:lang w:val="en-US" w:eastAsia="zh-CN"/>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三</w:t>
      </w: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服务续签</w:t>
      </w:r>
    </w:p>
    <w:p w14:paraId="7BECCEA3">
      <w:pPr>
        <w:snapToGrid/>
        <w:spacing w:line="360" w:lineRule="auto"/>
        <w:ind w:firstLine="480" w:firstLineChars="200"/>
        <w:jc w:val="left"/>
        <w:outlineLvl w:val="9"/>
        <w:rPr>
          <w:rFonts w:hint="eastAsia" w:ascii="仿宋" w:hAnsi="仿宋" w:eastAsia="仿宋" w:cs="仿宋"/>
          <w:kern w:val="2"/>
          <w:sz w:val="24"/>
          <w:szCs w:val="24"/>
        </w:rPr>
      </w:pPr>
      <w:r>
        <w:rPr>
          <w:rFonts w:hint="eastAsia" w:ascii="仿宋" w:hAnsi="仿宋" w:eastAsia="仿宋" w:cs="仿宋"/>
          <w:kern w:val="2"/>
          <w:sz w:val="24"/>
          <w:szCs w:val="24"/>
          <w:lang w:val="en-US" w:eastAsia="zh-CN" w:bidi="ar-SA"/>
        </w:rPr>
        <w:t>本服务期满后，甲方根据上一年内的服务质量，对乙方服务质量进行考评（详见附件《</w:t>
      </w:r>
      <w:r>
        <w:rPr>
          <w:rFonts w:hint="eastAsia" w:ascii="仿宋" w:hAnsi="仿宋" w:eastAsia="仿宋" w:cs="仿宋"/>
          <w:sz w:val="24"/>
          <w:szCs w:val="24"/>
          <w:lang w:val="en-US" w:eastAsia="zh-CN"/>
        </w:rPr>
        <w:t>服务评价</w:t>
      </w:r>
      <w:r>
        <w:rPr>
          <w:rFonts w:hint="eastAsia" w:ascii="仿宋" w:hAnsi="仿宋" w:eastAsia="仿宋" w:cs="仿宋"/>
          <w:sz w:val="24"/>
          <w:szCs w:val="24"/>
        </w:rPr>
        <w:t>报告</w:t>
      </w:r>
      <w:r>
        <w:rPr>
          <w:rFonts w:hint="eastAsia" w:ascii="仿宋" w:hAnsi="仿宋" w:eastAsia="仿宋" w:cs="仿宋"/>
          <w:kern w:val="2"/>
          <w:sz w:val="24"/>
          <w:szCs w:val="24"/>
          <w:lang w:val="en-US" w:eastAsia="zh-CN" w:bidi="ar-SA"/>
        </w:rPr>
        <w:t>》），如考评结果合格，甲乙双方无异议可参照上一年度条款续签服务合同，最多可续签2次。</w:t>
      </w:r>
    </w:p>
    <w:p w14:paraId="1C385BA1">
      <w:pPr>
        <w:snapToGrid w:val="0"/>
        <w:spacing w:line="360" w:lineRule="auto"/>
        <w:ind w:firstLine="482" w:firstLineChars="200"/>
        <w:jc w:val="left"/>
        <w:outlineLvl w:val="2"/>
        <w:rPr>
          <w:rFonts w:ascii="仿宋" w:hAnsi="仿宋" w:eastAsia="仿宋" w:cs="宋体"/>
          <w:b/>
          <w:bCs/>
          <w:color w:val="000000"/>
          <w:sz w:val="24"/>
          <w:szCs w:val="24"/>
        </w:rPr>
      </w:pPr>
      <w:r>
        <w:rPr>
          <w:rFonts w:hint="eastAsia" w:ascii="仿宋" w:hAnsi="仿宋" w:eastAsia="仿宋" w:cs="宋体"/>
          <w:b/>
          <w:bCs/>
          <w:color w:val="000000"/>
          <w:sz w:val="24"/>
          <w:szCs w:val="24"/>
        </w:rPr>
        <w:t>（</w:t>
      </w:r>
      <w:r>
        <w:rPr>
          <w:rFonts w:hint="eastAsia" w:ascii="仿宋" w:hAnsi="仿宋" w:eastAsia="仿宋" w:cs="宋体"/>
          <w:b/>
          <w:bCs/>
          <w:color w:val="000000"/>
          <w:sz w:val="24"/>
          <w:szCs w:val="24"/>
          <w:lang w:val="en-US" w:eastAsia="zh-CN"/>
        </w:rPr>
        <w:t>四</w:t>
      </w:r>
      <w:r>
        <w:rPr>
          <w:rFonts w:hint="eastAsia" w:ascii="仿宋" w:hAnsi="仿宋" w:eastAsia="仿宋" w:cs="宋体"/>
          <w:b/>
          <w:bCs/>
          <w:color w:val="000000"/>
          <w:sz w:val="24"/>
          <w:szCs w:val="24"/>
        </w:rPr>
        <w:t>）违约责任</w:t>
      </w:r>
    </w:p>
    <w:p w14:paraId="0712EFF5">
      <w:pPr>
        <w:pStyle w:val="12"/>
        <w:numPr>
          <w:ilvl w:val="0"/>
          <w:numId w:val="0"/>
        </w:numPr>
        <w:topLinePunct/>
        <w:spacing w:line="360" w:lineRule="auto"/>
        <w:ind w:firstLine="480" w:firstLineChars="200"/>
        <w:rPr>
          <w:rFonts w:hint="eastAsia" w:ascii="仿宋" w:hAnsi="仿宋" w:eastAsia="仿宋"/>
          <w:color w:val="000000"/>
          <w:kern w:val="0"/>
          <w:sz w:val="24"/>
          <w:szCs w:val="24"/>
        </w:rPr>
      </w:pPr>
      <w:r>
        <w:rPr>
          <w:rFonts w:hint="eastAsia" w:ascii="仿宋" w:hAnsi="仿宋" w:eastAsia="仿宋"/>
          <w:color w:val="000000"/>
          <w:kern w:val="0"/>
          <w:sz w:val="24"/>
          <w:szCs w:val="24"/>
        </w:rPr>
        <w:t>乙方签署合同但不提供相应的技术维护服务，或甲方评价乙方服务合格，但拒绝支付服务费用的情况，视为违约。违约方需向对方支付违约金， 违约金每5个工作日为合同总价的1%</w:t>
      </w:r>
      <w:r>
        <w:rPr>
          <w:rFonts w:hint="eastAsia" w:ascii="仿宋" w:hAnsi="仿宋" w:eastAsia="仿宋"/>
          <w:color w:val="000000"/>
          <w:kern w:val="0"/>
          <w:sz w:val="24"/>
          <w:szCs w:val="24"/>
          <w:lang w:eastAsia="zh-CN"/>
        </w:rPr>
        <w:t>，</w:t>
      </w:r>
      <w:r>
        <w:rPr>
          <w:rFonts w:hint="eastAsia" w:ascii="仿宋" w:hAnsi="仿宋" w:eastAsia="仿宋"/>
          <w:color w:val="000000"/>
          <w:kern w:val="0"/>
          <w:sz w:val="24"/>
          <w:szCs w:val="24"/>
        </w:rPr>
        <w:t>违约金的总额不超过合同总价的10%。</w:t>
      </w:r>
    </w:p>
    <w:p w14:paraId="511A5695">
      <w:pPr>
        <w:pStyle w:val="12"/>
        <w:numPr>
          <w:ilvl w:val="0"/>
          <w:numId w:val="0"/>
        </w:numPr>
        <w:topLinePunct/>
        <w:spacing w:line="360" w:lineRule="auto"/>
        <w:ind w:firstLine="480" w:firstLineChars="200"/>
        <w:rPr>
          <w:rFonts w:ascii="仿宋" w:hAnsi="仿宋" w:eastAsia="仿宋"/>
          <w:color w:val="000000"/>
          <w:kern w:val="0"/>
          <w:sz w:val="24"/>
          <w:szCs w:val="24"/>
        </w:rPr>
      </w:pPr>
      <w:r>
        <w:rPr>
          <w:rFonts w:hint="eastAsia" w:ascii="仿宋" w:hAnsi="仿宋" w:eastAsia="仿宋"/>
          <w:color w:val="000000"/>
          <w:kern w:val="0"/>
          <w:sz w:val="24"/>
          <w:szCs w:val="24"/>
        </w:rPr>
        <w:t>如果非乙方原因或乙方不可抗力因素造成乙方未按期完成工作的，则乙方不承担由此产生的逾期未完成工作的责任。</w:t>
      </w:r>
    </w:p>
    <w:p w14:paraId="7C9CEAE8">
      <w:pPr>
        <w:spacing w:line="360" w:lineRule="auto"/>
        <w:rPr>
          <w:rFonts w:hint="eastAsia" w:ascii="仿宋" w:hAnsi="仿宋" w:eastAsia="仿宋" w:cs="仿宋"/>
          <w:spacing w:val="4"/>
          <w:sz w:val="24"/>
          <w:szCs w:val="24"/>
          <w:lang w:eastAsia="en-US"/>
        </w:rPr>
      </w:pPr>
    </w:p>
    <w:p w14:paraId="7A36A255">
      <w:pPr>
        <w:spacing w:line="360" w:lineRule="auto"/>
        <w:rPr>
          <w:rFonts w:hint="eastAsia" w:ascii="仿宋" w:hAnsi="仿宋" w:eastAsia="仿宋" w:cs="仿宋"/>
          <w:spacing w:val="4"/>
          <w:sz w:val="24"/>
          <w:szCs w:val="24"/>
          <w:lang w:eastAsia="en-US"/>
        </w:rPr>
      </w:pPr>
    </w:p>
    <w:p w14:paraId="1FAB4A42">
      <w:pPr>
        <w:rPr>
          <w:rFonts w:hint="default" w:ascii="仿宋" w:hAnsi="仿宋" w:eastAsia="仿宋" w:cs="仿宋"/>
          <w:kern w:val="2"/>
          <w:sz w:val="24"/>
          <w:szCs w:val="24"/>
          <w:lang w:val="en-US" w:eastAsia="zh-CN" w:bidi="ar-SA"/>
        </w:rPr>
      </w:pPr>
      <w:r>
        <w:rPr>
          <w:rFonts w:hint="default" w:ascii="仿宋" w:hAnsi="仿宋" w:eastAsia="仿宋" w:cs="仿宋"/>
          <w:kern w:val="2"/>
          <w:sz w:val="24"/>
          <w:szCs w:val="24"/>
          <w:lang w:val="en-US" w:eastAsia="zh-CN" w:bidi="ar-SA"/>
        </w:rPr>
        <w:br w:type="page"/>
      </w:r>
    </w:p>
    <w:p w14:paraId="6C4EA248">
      <w:pPr>
        <w:jc w:val="left"/>
        <w:outlineLvl w:val="1"/>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附件1：</w:t>
      </w:r>
    </w:p>
    <w:p w14:paraId="6F977B73">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武汉市中心医院</w:t>
      </w:r>
    </w:p>
    <w:p w14:paraId="0C048BDE">
      <w:pPr>
        <w:jc w:val="center"/>
        <w:rPr>
          <w:rFonts w:hint="eastAsia" w:ascii="黑体" w:hAnsi="黑体" w:eastAsia="黑体"/>
          <w:sz w:val="24"/>
          <w:szCs w:val="24"/>
          <w:lang w:eastAsia="zh-CN"/>
        </w:rPr>
      </w:pPr>
      <w:r>
        <w:rPr>
          <w:rFonts w:hint="eastAsia" w:ascii="黑体" w:hAnsi="黑体" w:eastAsia="黑体"/>
          <w:sz w:val="32"/>
          <w:szCs w:val="32"/>
          <w:lang w:val="en-US" w:eastAsia="zh-CN"/>
        </w:rPr>
        <w:t>20xx年度售后维保服务评价报告（模板）</w:t>
      </w:r>
    </w:p>
    <w:tbl>
      <w:tblPr>
        <w:tblStyle w:val="10"/>
        <w:tblW w:w="8271" w:type="dxa"/>
        <w:tblInd w:w="113" w:type="dxa"/>
        <w:tblLayout w:type="fixed"/>
        <w:tblCellMar>
          <w:top w:w="0" w:type="dxa"/>
          <w:left w:w="108" w:type="dxa"/>
          <w:bottom w:w="0" w:type="dxa"/>
          <w:right w:w="108" w:type="dxa"/>
        </w:tblCellMar>
      </w:tblPr>
      <w:tblGrid>
        <w:gridCol w:w="1429"/>
        <w:gridCol w:w="2699"/>
        <w:gridCol w:w="4143"/>
      </w:tblGrid>
      <w:tr w14:paraId="061864CE">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70F09EC1">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项目名称</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2EEB143C">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w:t>
            </w:r>
          </w:p>
        </w:tc>
      </w:tr>
      <w:tr w14:paraId="6D1DB59F">
        <w:tblPrEx>
          <w:tblCellMar>
            <w:top w:w="0" w:type="dxa"/>
            <w:left w:w="108" w:type="dxa"/>
            <w:bottom w:w="0" w:type="dxa"/>
            <w:right w:w="108" w:type="dxa"/>
          </w:tblCellMar>
        </w:tblPrEx>
        <w:trPr>
          <w:trHeight w:val="375" w:hRule="atLeast"/>
        </w:trPr>
        <w:tc>
          <w:tcPr>
            <w:tcW w:w="1429" w:type="dxa"/>
            <w:tcBorders>
              <w:top w:val="single" w:color="auto" w:sz="4" w:space="0"/>
              <w:left w:val="single" w:color="auto" w:sz="4" w:space="0"/>
              <w:bottom w:val="single" w:color="auto" w:sz="4" w:space="0"/>
              <w:right w:val="single" w:color="auto" w:sz="4" w:space="0"/>
            </w:tcBorders>
            <w:shd w:val="clear" w:color="auto" w:fill="auto"/>
            <w:vAlign w:val="center"/>
          </w:tcPr>
          <w:p w14:paraId="0CFDAA58">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服务提供方</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C6521D7">
            <w:pPr>
              <w:widowControl/>
              <w:spacing w:line="240" w:lineRule="auto"/>
              <w:jc w:val="center"/>
              <w:rPr>
                <w:rFonts w:ascii="仿宋" w:hAnsi="仿宋" w:eastAsia="仿宋" w:cs="宋体"/>
                <w:color w:val="000000"/>
                <w:kern w:val="0"/>
                <w:sz w:val="24"/>
                <w:szCs w:val="24"/>
              </w:rPr>
            </w:pPr>
          </w:p>
        </w:tc>
      </w:tr>
      <w:tr w14:paraId="620F1C34">
        <w:tblPrEx>
          <w:tblCellMar>
            <w:top w:w="0" w:type="dxa"/>
            <w:left w:w="108" w:type="dxa"/>
            <w:bottom w:w="0" w:type="dxa"/>
            <w:right w:w="108" w:type="dxa"/>
          </w:tblCellMar>
        </w:tblPrEx>
        <w:trPr>
          <w:trHeight w:val="538" w:hRule="atLeast"/>
        </w:trPr>
        <w:tc>
          <w:tcPr>
            <w:tcW w:w="1429" w:type="dxa"/>
            <w:tcBorders>
              <w:top w:val="nil"/>
              <w:left w:val="single" w:color="auto" w:sz="4" w:space="0"/>
              <w:bottom w:val="single" w:color="auto" w:sz="4" w:space="0"/>
              <w:right w:val="single" w:color="auto" w:sz="4" w:space="0"/>
            </w:tcBorders>
            <w:shd w:val="clear" w:color="auto" w:fill="auto"/>
            <w:vAlign w:val="center"/>
          </w:tcPr>
          <w:p w14:paraId="1812D78C">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评价区间</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A2FED83">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    年  月  日 至    </w:t>
            </w:r>
            <w:r>
              <w:rPr>
                <w:rFonts w:ascii="仿宋" w:hAnsi="仿宋" w:eastAsia="仿宋" w:cs="宋体"/>
                <w:color w:val="000000"/>
                <w:kern w:val="0"/>
                <w:sz w:val="24"/>
                <w:szCs w:val="24"/>
              </w:rPr>
              <w:t xml:space="preserve"> </w:t>
            </w:r>
            <w:r>
              <w:rPr>
                <w:rFonts w:hint="eastAsia" w:ascii="仿宋" w:hAnsi="仿宋" w:eastAsia="仿宋" w:cs="宋体"/>
                <w:color w:val="000000"/>
                <w:kern w:val="0"/>
                <w:sz w:val="24"/>
                <w:szCs w:val="24"/>
              </w:rPr>
              <w:t>年  月  日</w:t>
            </w:r>
          </w:p>
        </w:tc>
      </w:tr>
      <w:tr w14:paraId="252AB0DB">
        <w:tblPrEx>
          <w:tblCellMar>
            <w:top w:w="0" w:type="dxa"/>
            <w:left w:w="108" w:type="dxa"/>
            <w:bottom w:w="0" w:type="dxa"/>
            <w:right w:w="108" w:type="dxa"/>
          </w:tblCellMar>
        </w:tblPrEx>
        <w:trPr>
          <w:trHeight w:val="799" w:hRule="atLeast"/>
        </w:trPr>
        <w:tc>
          <w:tcPr>
            <w:tcW w:w="1429" w:type="dxa"/>
            <w:vMerge w:val="restart"/>
            <w:tcBorders>
              <w:top w:val="nil"/>
              <w:left w:val="single" w:color="auto" w:sz="4" w:space="0"/>
              <w:bottom w:val="single" w:color="auto" w:sz="4" w:space="0"/>
              <w:right w:val="single" w:color="auto" w:sz="4" w:space="0"/>
            </w:tcBorders>
            <w:vAlign w:val="center"/>
          </w:tcPr>
          <w:p w14:paraId="19D7A24A">
            <w:pPr>
              <w:widowControl/>
              <w:spacing w:line="240" w:lineRule="auto"/>
              <w:jc w:val="center"/>
              <w:rPr>
                <w:rFonts w:hint="eastAsia" w:ascii="仿宋" w:hAnsi="仿宋" w:eastAsia="仿宋" w:cs="宋体"/>
                <w:color w:val="000000"/>
                <w:kern w:val="0"/>
                <w:sz w:val="24"/>
                <w:szCs w:val="24"/>
              </w:rPr>
            </w:pPr>
            <w:r>
              <w:rPr>
                <w:rFonts w:hint="eastAsia" w:ascii="仿宋" w:hAnsi="仿宋" w:eastAsia="仿宋" w:cs="宋体"/>
                <w:color w:val="000000"/>
                <w:kern w:val="0"/>
                <w:sz w:val="24"/>
                <w:szCs w:val="24"/>
              </w:rPr>
              <w:t>服务水平</w:t>
            </w:r>
          </w:p>
          <w:p w14:paraId="6CEE3B08">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评价</w:t>
            </w:r>
          </w:p>
          <w:p w14:paraId="5141E527">
            <w:pPr>
              <w:widowControl/>
              <w:spacing w:line="240" w:lineRule="auto"/>
              <w:jc w:val="center"/>
              <w:rPr>
                <w:rFonts w:ascii="仿宋" w:hAnsi="仿宋" w:eastAsia="仿宋" w:cs="宋体"/>
                <w:color w:val="000000"/>
                <w:kern w:val="0"/>
                <w:sz w:val="24"/>
                <w:szCs w:val="24"/>
              </w:rPr>
            </w:pPr>
            <w:r>
              <w:rPr>
                <w:rFonts w:hint="eastAsia" w:ascii="仿宋" w:hAnsi="仿宋" w:eastAsia="仿宋" w:cs="宋体"/>
                <w:color w:val="000000"/>
                <w:kern w:val="0"/>
                <w:sz w:val="24"/>
                <w:szCs w:val="24"/>
              </w:rPr>
              <w:t>（使用科室评价）</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A9401C0">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71084349">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达到1</w:t>
            </w:r>
            <w:r>
              <w:rPr>
                <w:rFonts w:ascii="仿宋" w:hAnsi="仿宋" w:eastAsia="仿宋" w:cs="宋体"/>
                <w:color w:val="000000"/>
                <w:kern w:val="0"/>
                <w:sz w:val="24"/>
                <w:szCs w:val="24"/>
              </w:rPr>
              <w:t>00</w:t>
            </w:r>
            <w:r>
              <w:rPr>
                <w:rFonts w:hint="eastAsia" w:ascii="仿宋" w:hAnsi="仿宋" w:eastAsia="仿宋" w:cs="宋体"/>
                <w:color w:val="000000"/>
                <w:kern w:val="0"/>
                <w:sz w:val="24"/>
                <w:szCs w:val="24"/>
              </w:rPr>
              <w:t>%为优秀，≥9</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%为良好，≥8</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%为合格，＜8</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%为不合格</w:t>
            </w:r>
          </w:p>
        </w:tc>
      </w:tr>
      <w:tr w14:paraId="6DC92291">
        <w:tblPrEx>
          <w:tblCellMar>
            <w:top w:w="0" w:type="dxa"/>
            <w:left w:w="108" w:type="dxa"/>
            <w:bottom w:w="0" w:type="dxa"/>
            <w:right w:w="108" w:type="dxa"/>
          </w:tblCellMar>
        </w:tblPrEx>
        <w:trPr>
          <w:trHeight w:val="799" w:hRule="atLeast"/>
        </w:trPr>
        <w:tc>
          <w:tcPr>
            <w:tcW w:w="1429" w:type="dxa"/>
            <w:vMerge w:val="continue"/>
            <w:tcBorders>
              <w:top w:val="nil"/>
              <w:left w:val="single" w:color="auto" w:sz="4" w:space="0"/>
              <w:bottom w:val="single" w:color="auto" w:sz="4" w:space="0"/>
              <w:right w:val="single" w:color="auto" w:sz="4" w:space="0"/>
            </w:tcBorders>
            <w:vAlign w:val="center"/>
          </w:tcPr>
          <w:p w14:paraId="677A70BE">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6C051C5F">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1D9893F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因</w:t>
            </w:r>
            <w:r>
              <w:rPr>
                <w:rFonts w:ascii="仿宋" w:hAnsi="仿宋" w:eastAsia="仿宋" w:cs="宋体"/>
                <w:color w:val="000000"/>
                <w:kern w:val="0"/>
                <w:sz w:val="24"/>
                <w:szCs w:val="24"/>
              </w:rPr>
              <w:t>服务问题导致的不良事件发生，服务期间评价直接给予不合格评价</w:t>
            </w:r>
          </w:p>
        </w:tc>
      </w:tr>
      <w:tr w14:paraId="510F9461">
        <w:tblPrEx>
          <w:tblCellMar>
            <w:top w:w="0" w:type="dxa"/>
            <w:left w:w="108" w:type="dxa"/>
            <w:bottom w:w="0" w:type="dxa"/>
            <w:right w:w="108" w:type="dxa"/>
          </w:tblCellMar>
        </w:tblPrEx>
        <w:trPr>
          <w:trHeight w:val="427" w:hRule="atLeast"/>
        </w:trPr>
        <w:tc>
          <w:tcPr>
            <w:tcW w:w="1429" w:type="dxa"/>
            <w:vMerge w:val="continue"/>
            <w:tcBorders>
              <w:top w:val="nil"/>
              <w:left w:val="single" w:color="auto" w:sz="4" w:space="0"/>
              <w:bottom w:val="single" w:color="auto" w:sz="4" w:space="0"/>
              <w:right w:val="single" w:color="auto" w:sz="4" w:space="0"/>
            </w:tcBorders>
            <w:vAlign w:val="center"/>
          </w:tcPr>
          <w:p w14:paraId="3AF693AB">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771D203C">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30FF01D0">
        <w:tblPrEx>
          <w:tblCellMar>
            <w:top w:w="0" w:type="dxa"/>
            <w:left w:w="108" w:type="dxa"/>
            <w:bottom w:w="0" w:type="dxa"/>
            <w:right w:w="108" w:type="dxa"/>
          </w:tblCellMar>
        </w:tblPrEx>
        <w:trPr>
          <w:trHeight w:val="402" w:hRule="atLeast"/>
        </w:trPr>
        <w:tc>
          <w:tcPr>
            <w:tcW w:w="1429" w:type="dxa"/>
            <w:vMerge w:val="continue"/>
            <w:tcBorders>
              <w:top w:val="nil"/>
              <w:left w:val="single" w:color="auto" w:sz="4" w:space="0"/>
              <w:bottom w:val="single" w:color="auto" w:sz="4" w:space="0"/>
              <w:right w:val="single" w:color="auto" w:sz="4" w:space="0"/>
            </w:tcBorders>
            <w:vAlign w:val="center"/>
          </w:tcPr>
          <w:p w14:paraId="5DC401C8">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7DDA2554">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02F9B52E">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评价日期：  </w:t>
            </w:r>
          </w:p>
        </w:tc>
      </w:tr>
      <w:tr w14:paraId="6881B533">
        <w:tblPrEx>
          <w:tblCellMar>
            <w:top w:w="0" w:type="dxa"/>
            <w:left w:w="108" w:type="dxa"/>
            <w:bottom w:w="0" w:type="dxa"/>
            <w:right w:w="108" w:type="dxa"/>
          </w:tblCellMar>
        </w:tblPrEx>
        <w:trPr>
          <w:trHeight w:val="799" w:hRule="atLeast"/>
        </w:trPr>
        <w:tc>
          <w:tcPr>
            <w:tcW w:w="1429"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887D9A7">
            <w:pPr>
              <w:bidi w:val="0"/>
              <w:jc w:val="center"/>
              <w:rPr>
                <w:rFonts w:hint="eastAsia" w:ascii="仿宋" w:hAnsi="仿宋" w:eastAsia="仿宋" w:cs="仿宋"/>
                <w:sz w:val="24"/>
                <w:szCs w:val="24"/>
              </w:rPr>
            </w:pPr>
            <w:r>
              <w:rPr>
                <w:rFonts w:hint="eastAsia" w:ascii="仿宋" w:hAnsi="仿宋" w:eastAsia="仿宋" w:cs="仿宋"/>
                <w:sz w:val="24"/>
                <w:szCs w:val="24"/>
              </w:rPr>
              <w:t>服务质量</w:t>
            </w:r>
          </w:p>
          <w:p w14:paraId="02AADA28">
            <w:pPr>
              <w:bidi w:val="0"/>
              <w:jc w:val="center"/>
              <w:rPr>
                <w:rFonts w:hint="eastAsia" w:ascii="仿宋" w:hAnsi="仿宋" w:eastAsia="仿宋" w:cs="仿宋"/>
                <w:sz w:val="24"/>
                <w:szCs w:val="24"/>
                <w:lang w:eastAsia="zh-CN"/>
              </w:rPr>
            </w:pPr>
            <w:r>
              <w:rPr>
                <w:rFonts w:hint="eastAsia" w:ascii="仿宋" w:hAnsi="仿宋" w:eastAsia="仿宋" w:cs="仿宋"/>
                <w:sz w:val="24"/>
                <w:szCs w:val="24"/>
              </w:rPr>
              <w:t>评价</w:t>
            </w:r>
          </w:p>
          <w:p w14:paraId="30AC0235">
            <w:pPr>
              <w:bidi w:val="0"/>
              <w:jc w:val="center"/>
              <w:rPr>
                <w:rFonts w:ascii="仿宋" w:hAnsi="仿宋" w:eastAsia="仿宋" w:cs="宋体"/>
                <w:color w:val="000000"/>
                <w:kern w:val="0"/>
                <w:sz w:val="24"/>
                <w:szCs w:val="24"/>
              </w:rPr>
            </w:pPr>
            <w:r>
              <w:rPr>
                <w:rFonts w:hint="eastAsia" w:ascii="仿宋" w:hAnsi="仿宋" w:eastAsia="仿宋" w:cs="仿宋"/>
                <w:sz w:val="24"/>
                <w:szCs w:val="24"/>
              </w:rPr>
              <w:t>（信息中心评价</w:t>
            </w:r>
            <w:r>
              <w:rPr>
                <w:rFonts w:hint="eastAsia" w:ascii="仿宋" w:hAnsi="仿宋" w:eastAsia="仿宋" w:cs="仿宋"/>
                <w:color w:val="000000"/>
                <w:kern w:val="0"/>
                <w:sz w:val="24"/>
                <w:szCs w:val="24"/>
                <w:lang w:eastAsia="zh-CN"/>
              </w:rPr>
              <w:t>）</w:t>
            </w: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17B12F78">
            <w:pPr>
              <w:widowControl/>
              <w:spacing w:line="240" w:lineRule="auto"/>
              <w:jc w:val="left"/>
              <w:rPr>
                <w:rFonts w:ascii="仿宋" w:hAnsi="仿宋" w:eastAsia="仿宋" w:cs="宋体"/>
                <w:color w:val="000000"/>
                <w:kern w:val="0"/>
                <w:sz w:val="24"/>
                <w:szCs w:val="24"/>
              </w:rPr>
            </w:pPr>
            <w:r>
              <w:rPr>
                <w:rFonts w:ascii="仿宋" w:hAnsi="仿宋" w:eastAsia="仿宋" w:cs="宋体"/>
                <w:color w:val="000000"/>
                <w:kern w:val="0"/>
                <w:sz w:val="24"/>
                <w:szCs w:val="24"/>
              </w:rPr>
              <w:t>服务效果抽查合格率</w:t>
            </w:r>
            <w:r>
              <w:rPr>
                <w:rFonts w:hint="eastAsia" w:ascii="仿宋" w:hAnsi="仿宋" w:eastAsia="仿宋" w:cs="宋体"/>
                <w:color w:val="000000"/>
                <w:kern w:val="0"/>
                <w:sz w:val="24"/>
                <w:szCs w:val="24"/>
              </w:rPr>
              <w:t>：□优秀 □良好 □合格 □不合格</w:t>
            </w:r>
          </w:p>
          <w:p w14:paraId="23889DC3">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达到1</w:t>
            </w:r>
            <w:r>
              <w:rPr>
                <w:rFonts w:ascii="仿宋" w:hAnsi="仿宋" w:eastAsia="仿宋" w:cs="宋体"/>
                <w:color w:val="000000"/>
                <w:kern w:val="0"/>
                <w:sz w:val="24"/>
                <w:szCs w:val="24"/>
              </w:rPr>
              <w:t>00</w:t>
            </w:r>
            <w:r>
              <w:rPr>
                <w:rFonts w:hint="eastAsia" w:ascii="仿宋" w:hAnsi="仿宋" w:eastAsia="仿宋" w:cs="宋体"/>
                <w:color w:val="000000"/>
                <w:kern w:val="0"/>
                <w:sz w:val="24"/>
                <w:szCs w:val="24"/>
              </w:rPr>
              <w:t>%为优秀，≥9</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%为良好，≥8</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%为合格，＜8</w:t>
            </w:r>
            <w:r>
              <w:rPr>
                <w:rFonts w:ascii="仿宋" w:hAnsi="仿宋" w:eastAsia="仿宋" w:cs="宋体"/>
                <w:color w:val="000000"/>
                <w:kern w:val="0"/>
                <w:sz w:val="24"/>
                <w:szCs w:val="24"/>
              </w:rPr>
              <w:t>0</w:t>
            </w:r>
            <w:r>
              <w:rPr>
                <w:rFonts w:hint="eastAsia" w:ascii="仿宋" w:hAnsi="仿宋" w:eastAsia="仿宋" w:cs="宋体"/>
                <w:color w:val="000000"/>
                <w:kern w:val="0"/>
                <w:sz w:val="24"/>
                <w:szCs w:val="24"/>
              </w:rPr>
              <w:t>%为不合格</w:t>
            </w:r>
          </w:p>
        </w:tc>
      </w:tr>
      <w:tr w14:paraId="3EEB1414">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72B893D">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5785165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无恶性事件发生情况：□优秀 □良好 □合格 □不合格</w:t>
            </w:r>
          </w:p>
          <w:p w14:paraId="27BC7E4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因</w:t>
            </w:r>
            <w:r>
              <w:rPr>
                <w:rFonts w:ascii="仿宋" w:hAnsi="仿宋" w:eastAsia="仿宋" w:cs="宋体"/>
                <w:color w:val="000000"/>
                <w:kern w:val="0"/>
                <w:sz w:val="24"/>
                <w:szCs w:val="24"/>
              </w:rPr>
              <w:t>服务问题导致的不良事件发生，服务期间评价直接给予不合格评价</w:t>
            </w:r>
          </w:p>
        </w:tc>
      </w:tr>
      <w:tr w14:paraId="74FC0BD1">
        <w:tblPrEx>
          <w:tblCellMar>
            <w:top w:w="0" w:type="dxa"/>
            <w:left w:w="108" w:type="dxa"/>
            <w:bottom w:w="0" w:type="dxa"/>
            <w:right w:w="108" w:type="dxa"/>
          </w:tblCellMar>
        </w:tblPrEx>
        <w:trPr>
          <w:trHeight w:val="799"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2A6B7B8C">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7130E2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lang w:val="en-US" w:eastAsia="zh-CN"/>
              </w:rPr>
              <w:t>1.</w:t>
            </w:r>
            <w:r>
              <w:rPr>
                <w:rFonts w:hint="eastAsia" w:ascii="仿宋" w:hAnsi="仿宋" w:eastAsia="仿宋" w:cs="宋体"/>
                <w:color w:val="000000"/>
                <w:kern w:val="0"/>
                <w:sz w:val="24"/>
                <w:szCs w:val="24"/>
              </w:rPr>
              <w:t>服务响应效率：大于1小时次数</w:t>
            </w:r>
            <w:r>
              <w:rPr>
                <w:rFonts w:hint="eastAsia" w:ascii="仿宋" w:hAnsi="仿宋" w:eastAsia="仿宋" w:cs="宋体"/>
                <w:color w:val="000000"/>
                <w:kern w:val="0"/>
                <w:sz w:val="24"/>
                <w:szCs w:val="24"/>
                <w:u w:val="single"/>
              </w:rPr>
              <w:t xml:space="preserve"> </w:t>
            </w:r>
            <w:r>
              <w:rPr>
                <w:rFonts w:ascii="仿宋" w:hAnsi="仿宋" w:eastAsia="仿宋" w:cs="宋体"/>
                <w:color w:val="000000"/>
                <w:kern w:val="0"/>
                <w:sz w:val="24"/>
                <w:szCs w:val="24"/>
                <w:u w:val="single"/>
              </w:rPr>
              <w:t xml:space="preserve"> </w:t>
            </w:r>
            <w:r>
              <w:rPr>
                <w:rFonts w:hint="eastAsia" w:ascii="仿宋" w:hAnsi="仿宋" w:eastAsia="仿宋" w:cs="宋体"/>
                <w:color w:val="000000"/>
                <w:kern w:val="0"/>
                <w:sz w:val="24"/>
                <w:szCs w:val="24"/>
              </w:rPr>
              <w:t>次</w:t>
            </w:r>
          </w:p>
          <w:p w14:paraId="002A6E50">
            <w:pPr>
              <w:widowControl/>
              <w:spacing w:line="240" w:lineRule="auto"/>
              <w:jc w:val="left"/>
              <w:rPr>
                <w:rFonts w:hint="eastAsia" w:ascii="仿宋" w:hAnsi="仿宋" w:eastAsia="仿宋" w:cs="宋体"/>
                <w:color w:val="000000"/>
                <w:kern w:val="0"/>
                <w:sz w:val="24"/>
                <w:szCs w:val="24"/>
                <w:lang w:eastAsia="zh-CN"/>
              </w:rPr>
            </w:pPr>
            <w:r>
              <w:rPr>
                <w:rFonts w:hint="eastAsia" w:ascii="仿宋" w:hAnsi="仿宋" w:eastAsia="仿宋" w:cs="宋体"/>
                <w:color w:val="000000"/>
                <w:kern w:val="0"/>
                <w:sz w:val="24"/>
                <w:szCs w:val="24"/>
              </w:rPr>
              <w:t>响应问题及处理问题时间大于1小时一次，则扣减</w:t>
            </w:r>
            <w:r>
              <w:rPr>
                <w:rFonts w:hint="eastAsia" w:ascii="仿宋" w:hAnsi="仿宋" w:eastAsia="仿宋" w:cs="宋体"/>
                <w:color w:val="000000"/>
                <w:kern w:val="0"/>
                <w:sz w:val="24"/>
                <w:szCs w:val="24"/>
                <w:lang w:val="en-US" w:eastAsia="zh-CN"/>
              </w:rPr>
              <w:t>1%合同款</w:t>
            </w:r>
            <w:r>
              <w:rPr>
                <w:rFonts w:hint="eastAsia" w:ascii="仿宋" w:hAnsi="仿宋" w:eastAsia="仿宋" w:cs="宋体"/>
                <w:color w:val="000000"/>
                <w:kern w:val="0"/>
                <w:sz w:val="24"/>
                <w:szCs w:val="24"/>
              </w:rPr>
              <w:t>，按次数累计</w:t>
            </w:r>
            <w:r>
              <w:rPr>
                <w:rFonts w:hint="eastAsia" w:ascii="仿宋" w:hAnsi="仿宋" w:eastAsia="仿宋" w:cs="宋体"/>
                <w:color w:val="000000"/>
                <w:kern w:val="0"/>
                <w:sz w:val="24"/>
                <w:szCs w:val="24"/>
                <w:lang w:eastAsia="zh-CN"/>
              </w:rPr>
              <w:t>。</w:t>
            </w:r>
          </w:p>
          <w:p w14:paraId="7ADF5DF4">
            <w:pPr>
              <w:widowControl/>
              <w:spacing w:line="240" w:lineRule="auto"/>
              <w:jc w:val="left"/>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2.因乙方未提前通知导致甲方系统故障：故障次数</w:t>
            </w:r>
            <w:r>
              <w:rPr>
                <w:rFonts w:hint="eastAsia" w:ascii="仿宋" w:hAnsi="仿宋" w:eastAsia="仿宋" w:cs="宋体"/>
                <w:color w:val="000000"/>
                <w:kern w:val="0"/>
                <w:sz w:val="24"/>
                <w:szCs w:val="24"/>
                <w:u w:val="single"/>
              </w:rPr>
              <w:t xml:space="preserve"> </w:t>
            </w:r>
            <w:r>
              <w:rPr>
                <w:rFonts w:ascii="仿宋" w:hAnsi="仿宋" w:eastAsia="仿宋" w:cs="宋体"/>
                <w:color w:val="000000"/>
                <w:kern w:val="0"/>
                <w:sz w:val="24"/>
                <w:szCs w:val="24"/>
                <w:u w:val="single"/>
              </w:rPr>
              <w:t xml:space="preserve"> </w:t>
            </w:r>
            <w:r>
              <w:rPr>
                <w:rFonts w:hint="eastAsia" w:ascii="仿宋" w:hAnsi="仿宋" w:eastAsia="仿宋" w:cs="宋体"/>
                <w:color w:val="000000"/>
                <w:kern w:val="0"/>
                <w:sz w:val="24"/>
                <w:szCs w:val="24"/>
              </w:rPr>
              <w:t>次</w:t>
            </w:r>
          </w:p>
          <w:p w14:paraId="46C8E125">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一次致命故障扣罚子系统合同金额的5%，一次严重故障扣罚子系统合同金额的3%，一次一般故障扣罚子系统合同金额的1%。</w:t>
            </w:r>
          </w:p>
        </w:tc>
      </w:tr>
      <w:tr w14:paraId="3D8BA653">
        <w:tblPrEx>
          <w:tblCellMar>
            <w:top w:w="0" w:type="dxa"/>
            <w:left w:w="108" w:type="dxa"/>
            <w:bottom w:w="0" w:type="dxa"/>
            <w:right w:w="108" w:type="dxa"/>
          </w:tblCellMar>
        </w:tblPrEx>
        <w:trPr>
          <w:trHeight w:val="967"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4B89D7D5">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tcPr>
          <w:p w14:paraId="3CF7FD16">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其他：</w:t>
            </w:r>
          </w:p>
        </w:tc>
      </w:tr>
      <w:tr w14:paraId="67F3C6EC">
        <w:tblPrEx>
          <w:tblCellMar>
            <w:top w:w="0" w:type="dxa"/>
            <w:left w:w="108" w:type="dxa"/>
            <w:bottom w:w="0" w:type="dxa"/>
            <w:right w:w="108" w:type="dxa"/>
          </w:tblCellMar>
        </w:tblPrEx>
        <w:trPr>
          <w:trHeight w:val="1416" w:hRule="atLeast"/>
        </w:trPr>
        <w:tc>
          <w:tcPr>
            <w:tcW w:w="1429"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6283C890">
            <w:pPr>
              <w:widowControl/>
              <w:spacing w:line="240" w:lineRule="auto"/>
              <w:jc w:val="left"/>
              <w:rPr>
                <w:rFonts w:ascii="仿宋" w:hAnsi="仿宋" w:eastAsia="仿宋" w:cs="宋体"/>
                <w:color w:val="000000"/>
                <w:kern w:val="0"/>
                <w:sz w:val="24"/>
                <w:szCs w:val="24"/>
              </w:rPr>
            </w:pPr>
          </w:p>
        </w:tc>
        <w:tc>
          <w:tcPr>
            <w:tcW w:w="6842" w:type="dxa"/>
            <w:gridSpan w:val="2"/>
            <w:tcBorders>
              <w:top w:val="single" w:color="auto" w:sz="4" w:space="0"/>
              <w:left w:val="nil"/>
              <w:bottom w:val="single" w:color="auto" w:sz="4" w:space="0"/>
              <w:right w:val="single" w:color="auto" w:sz="4" w:space="0"/>
            </w:tcBorders>
            <w:shd w:val="clear" w:color="auto" w:fill="auto"/>
            <w:vAlign w:val="center"/>
          </w:tcPr>
          <w:p w14:paraId="012A93FA">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 xml:space="preserve">评价人：        </w:t>
            </w:r>
            <w:r>
              <w:rPr>
                <w:rFonts w:ascii="仿宋" w:hAnsi="仿宋" w:eastAsia="仿宋" w:cs="宋体"/>
                <w:color w:val="000000"/>
                <w:kern w:val="0"/>
                <w:sz w:val="24"/>
                <w:szCs w:val="24"/>
              </w:rPr>
              <w:t xml:space="preserve">      </w:t>
            </w:r>
          </w:p>
          <w:p w14:paraId="3CF0584D">
            <w:pPr>
              <w:widowControl/>
              <w:spacing w:line="240" w:lineRule="auto"/>
              <w:jc w:val="left"/>
              <w:rPr>
                <w:rFonts w:ascii="仿宋" w:hAnsi="仿宋" w:eastAsia="仿宋" w:cs="宋体"/>
                <w:color w:val="000000"/>
                <w:kern w:val="0"/>
                <w:sz w:val="24"/>
                <w:szCs w:val="24"/>
              </w:rPr>
            </w:pPr>
            <w:r>
              <w:rPr>
                <w:rFonts w:hint="eastAsia" w:ascii="仿宋" w:hAnsi="仿宋" w:eastAsia="仿宋" w:cs="宋体"/>
                <w:color w:val="000000"/>
                <w:kern w:val="0"/>
                <w:sz w:val="24"/>
                <w:szCs w:val="24"/>
              </w:rPr>
              <w:t>评价日期：</w:t>
            </w:r>
          </w:p>
        </w:tc>
      </w:tr>
      <w:tr w14:paraId="73A5B596">
        <w:tblPrEx>
          <w:tblCellMar>
            <w:top w:w="0" w:type="dxa"/>
            <w:left w:w="108" w:type="dxa"/>
            <w:bottom w:w="0" w:type="dxa"/>
            <w:right w:w="108" w:type="dxa"/>
          </w:tblCellMar>
        </w:tblPrEx>
        <w:trPr>
          <w:trHeight w:val="706" w:hRule="atLeast"/>
        </w:trPr>
        <w:tc>
          <w:tcPr>
            <w:tcW w:w="4128"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CD86F17">
            <w:pPr>
              <w:spacing w:line="240" w:lineRule="auto"/>
              <w:rPr>
                <w:rFonts w:hint="eastAsia" w:ascii="仿宋" w:hAnsi="仿宋" w:eastAsia="仿宋"/>
                <w:bCs/>
                <w:sz w:val="24"/>
                <w:szCs w:val="24"/>
              </w:rPr>
            </w:pPr>
            <w:r>
              <w:rPr>
                <w:rFonts w:hint="eastAsia" w:ascii="仿宋" w:hAnsi="仿宋" w:eastAsia="仿宋"/>
                <w:bCs/>
                <w:sz w:val="24"/>
                <w:szCs w:val="24"/>
              </w:rPr>
              <w:t>监理单位（盖章）：</w:t>
            </w:r>
          </w:p>
          <w:p w14:paraId="67FFD3F7">
            <w:pPr>
              <w:spacing w:line="240" w:lineRule="auto"/>
              <w:rPr>
                <w:rFonts w:hint="eastAsia" w:ascii="仿宋" w:hAnsi="仿宋" w:eastAsia="仿宋"/>
                <w:bCs/>
                <w:sz w:val="24"/>
                <w:szCs w:val="24"/>
              </w:rPr>
            </w:pPr>
          </w:p>
          <w:p w14:paraId="74F27E8E">
            <w:pPr>
              <w:spacing w:line="240" w:lineRule="auto"/>
              <w:rPr>
                <w:rFonts w:hint="eastAsia" w:ascii="仿宋" w:hAnsi="仿宋" w:eastAsia="仿宋"/>
                <w:bCs/>
                <w:sz w:val="24"/>
                <w:szCs w:val="24"/>
              </w:rPr>
            </w:pPr>
          </w:p>
          <w:p w14:paraId="3796D4A2">
            <w:pPr>
              <w:spacing w:line="240" w:lineRule="auto"/>
              <w:rPr>
                <w:rFonts w:hint="eastAsia" w:ascii="仿宋" w:hAnsi="仿宋" w:eastAsia="仿宋"/>
                <w:sz w:val="24"/>
                <w:szCs w:val="24"/>
              </w:rPr>
            </w:pPr>
            <w:r>
              <w:rPr>
                <w:rFonts w:hint="eastAsia" w:ascii="仿宋" w:hAnsi="仿宋" w:eastAsia="仿宋"/>
                <w:bCs/>
                <w:sz w:val="24"/>
                <w:szCs w:val="24"/>
              </w:rPr>
              <w:t>监理工程师：</w:t>
            </w:r>
            <w:r>
              <w:rPr>
                <w:rFonts w:ascii="仿宋" w:hAnsi="仿宋" w:eastAsia="仿宋"/>
                <w:sz w:val="24"/>
                <w:szCs w:val="24"/>
              </w:rPr>
              <w:t>____________</w:t>
            </w:r>
          </w:p>
          <w:p w14:paraId="33B3ECCC">
            <w:pPr>
              <w:spacing w:line="240" w:lineRule="auto"/>
              <w:rPr>
                <w:rFonts w:hint="eastAsia"/>
                <w:sz w:val="24"/>
                <w:szCs w:val="24"/>
              </w:rPr>
            </w:pPr>
            <w:r>
              <w:rPr>
                <w:rFonts w:hint="eastAsia" w:ascii="仿宋" w:hAnsi="仿宋" w:eastAsia="仿宋"/>
                <w:bCs/>
                <w:sz w:val="24"/>
                <w:szCs w:val="24"/>
              </w:rPr>
              <w:t>日      期：</w:t>
            </w:r>
            <w:r>
              <w:rPr>
                <w:rFonts w:ascii="仿宋" w:hAnsi="仿宋" w:eastAsia="仿宋"/>
                <w:sz w:val="24"/>
                <w:szCs w:val="24"/>
              </w:rPr>
              <w:t>____________</w:t>
            </w:r>
          </w:p>
        </w:tc>
        <w:tc>
          <w:tcPr>
            <w:tcW w:w="4143" w:type="dxa"/>
            <w:tcBorders>
              <w:top w:val="single" w:color="auto" w:sz="4" w:space="0"/>
              <w:left w:val="single" w:color="auto" w:sz="4" w:space="0"/>
              <w:bottom w:val="single" w:color="auto" w:sz="4" w:space="0"/>
              <w:right w:val="single" w:color="auto" w:sz="4" w:space="0"/>
            </w:tcBorders>
            <w:shd w:val="clear" w:color="auto" w:fill="auto"/>
            <w:vAlign w:val="center"/>
          </w:tcPr>
          <w:p w14:paraId="2169C9C0">
            <w:pPr>
              <w:spacing w:line="240" w:lineRule="auto"/>
              <w:rPr>
                <w:rFonts w:hint="eastAsia" w:ascii="仿宋" w:hAnsi="仿宋" w:eastAsia="仿宋"/>
                <w:bCs/>
                <w:sz w:val="24"/>
                <w:szCs w:val="24"/>
              </w:rPr>
            </w:pPr>
            <w:r>
              <w:rPr>
                <w:rFonts w:hint="eastAsia" w:ascii="仿宋" w:hAnsi="仿宋" w:eastAsia="仿宋"/>
                <w:bCs/>
                <w:sz w:val="24"/>
                <w:szCs w:val="24"/>
              </w:rPr>
              <w:t>审计单位（盖章）：</w:t>
            </w:r>
          </w:p>
          <w:p w14:paraId="6D2798A9">
            <w:pPr>
              <w:spacing w:line="240" w:lineRule="auto"/>
              <w:rPr>
                <w:rFonts w:hint="eastAsia" w:ascii="仿宋" w:hAnsi="仿宋" w:eastAsia="仿宋"/>
                <w:bCs/>
                <w:sz w:val="24"/>
                <w:szCs w:val="24"/>
              </w:rPr>
            </w:pPr>
          </w:p>
          <w:p w14:paraId="1305AE21">
            <w:pPr>
              <w:spacing w:line="240" w:lineRule="auto"/>
              <w:rPr>
                <w:rFonts w:hint="eastAsia" w:ascii="仿宋" w:hAnsi="仿宋" w:eastAsia="仿宋"/>
                <w:bCs/>
                <w:sz w:val="24"/>
                <w:szCs w:val="24"/>
              </w:rPr>
            </w:pPr>
          </w:p>
          <w:p w14:paraId="192D011D">
            <w:pPr>
              <w:spacing w:line="240" w:lineRule="auto"/>
              <w:rPr>
                <w:rFonts w:hint="eastAsia" w:ascii="仿宋" w:hAnsi="仿宋" w:eastAsia="仿宋"/>
                <w:sz w:val="24"/>
                <w:szCs w:val="24"/>
              </w:rPr>
            </w:pPr>
            <w:r>
              <w:rPr>
                <w:rFonts w:hint="eastAsia" w:ascii="仿宋" w:hAnsi="仿宋" w:eastAsia="仿宋"/>
                <w:bCs/>
                <w:sz w:val="24"/>
                <w:szCs w:val="24"/>
              </w:rPr>
              <w:t>单位代表：</w:t>
            </w:r>
            <w:r>
              <w:rPr>
                <w:rFonts w:ascii="仿宋" w:hAnsi="仿宋" w:eastAsia="仿宋"/>
                <w:sz w:val="24"/>
                <w:szCs w:val="24"/>
              </w:rPr>
              <w:t>____________</w:t>
            </w:r>
          </w:p>
          <w:p w14:paraId="59F7878D">
            <w:pPr>
              <w:widowControl/>
              <w:spacing w:line="240" w:lineRule="auto"/>
              <w:jc w:val="left"/>
              <w:rPr>
                <w:rFonts w:hint="eastAsia" w:ascii="仿宋" w:hAnsi="仿宋" w:eastAsia="仿宋" w:cs="宋体"/>
                <w:color w:val="000000"/>
                <w:kern w:val="0"/>
                <w:sz w:val="24"/>
                <w:szCs w:val="24"/>
              </w:rPr>
            </w:pPr>
            <w:r>
              <w:rPr>
                <w:rFonts w:hint="eastAsia" w:ascii="仿宋" w:hAnsi="仿宋" w:eastAsia="仿宋"/>
                <w:bCs/>
                <w:sz w:val="24"/>
                <w:szCs w:val="24"/>
              </w:rPr>
              <w:t>日    期：</w:t>
            </w:r>
            <w:r>
              <w:rPr>
                <w:rFonts w:ascii="仿宋" w:hAnsi="仿宋" w:eastAsia="仿宋"/>
                <w:sz w:val="24"/>
                <w:szCs w:val="24"/>
              </w:rPr>
              <w:t>____________</w:t>
            </w:r>
          </w:p>
        </w:tc>
      </w:tr>
    </w:tbl>
    <w:p w14:paraId="4EFE8CF8">
      <w:pPr>
        <w:pStyle w:val="5"/>
        <w:rPr>
          <w:rFonts w:hint="default"/>
          <w:lang w:val="en-US" w:eastAsia="zh-CN"/>
        </w:rPr>
      </w:pPr>
      <w:r>
        <w:rPr>
          <w:rFonts w:hint="eastAsia"/>
          <w:sz w:val="24"/>
          <w:szCs w:val="24"/>
          <w:lang w:val="en-US" w:eastAsia="zh-CN"/>
        </w:rPr>
        <w:t xml:space="preserve"> </w:t>
      </w:r>
      <w:r>
        <w:rPr>
          <w:rFonts w:hint="eastAsia" w:ascii="仿宋" w:hAnsi="仿宋" w:eastAsia="仿宋" w:cs="宋体"/>
          <w:color w:val="000000"/>
          <w:kern w:val="0"/>
          <w:sz w:val="24"/>
          <w:szCs w:val="24"/>
          <w:lang w:val="en-US" w:eastAsia="zh-CN"/>
        </w:rPr>
        <w:t>注：可根据实际情况修改</w:t>
      </w:r>
    </w:p>
    <w:p w14:paraId="068E8181">
      <w:pPr>
        <w:rPr>
          <w:rFonts w:hint="default" w:ascii="仿宋" w:hAnsi="仿宋" w:eastAsia="仿宋" w:cs="仿宋"/>
          <w:kern w:val="2"/>
          <w:sz w:val="24"/>
          <w:szCs w:val="24"/>
          <w:lang w:val="en-US" w:eastAsia="zh-CN" w:bidi="ar-SA"/>
        </w:rPr>
      </w:pPr>
    </w:p>
    <w:p w14:paraId="40EE1C7C"/>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长城仿宋">
    <w:altName w:val="仿宋"/>
    <w:panose1 w:val="00000000000000000000"/>
    <w:charset w:val="86"/>
    <w:family w:val="modern"/>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305C59">
    <w:pPr>
      <w:pStyle w:val="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3" name="文本框 3"/>
              <wp:cNvGraphicFramePr/>
              <a:graphic xmlns:a="http://schemas.openxmlformats.org/drawingml/2006/main">
                <a:graphicData uri="http://schemas.microsoft.com/office/word/2010/wordprocessingShape">
                  <wps:wsp>
                    <wps:cNvSpPr txBox="1"/>
                    <wps:spPr>
                      <a:xfrm>
                        <a:off x="0" y="0"/>
                        <a:ext cx="114935" cy="131445"/>
                      </a:xfrm>
                      <a:prstGeom prst="rect">
                        <a:avLst/>
                      </a:prstGeom>
                      <a:noFill/>
                      <a:ln w="6350">
                        <a:noFill/>
                      </a:ln>
                    </wps:spPr>
                    <wps:txbx>
                      <w:txbxContent>
                        <w:p w14:paraId="0FE55068">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0.35pt;width:9.05pt;mso-position-horizontal:center;mso-position-horizontal-relative:margin;mso-wrap-style:none;z-index:251659264;mso-width-relative:page;mso-height-relative:page;" filled="f" stroked="f" coordsize="21600,21600"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l3GF10gAAAAMBAAAPAAAAAAAAAAEAIAAAACIAAABkcnMvZG93bnJldi54bWxQSwECFAAU&#10;AAAACACHTuJAeY0S8zACAABTBAAADgAAAAAAAAABACAAAAAhAQAAZHJzL2Uyb0RvYy54bWxQSwUG&#10;AAAAAAYABgBZAQAAwwUAAAAA&#10;">
              <v:fill on="f" focussize="0,0"/>
              <v:stroke on="f" weight="0.5pt"/>
              <v:imagedata o:title=""/>
              <o:lock v:ext="edit" aspectratio="f"/>
              <v:textbox inset="0mm,0mm,0mm,0mm" style="mso-fit-shape-to-text:t;">
                <w:txbxContent>
                  <w:p w14:paraId="0FE55068">
                    <w:pPr>
                      <w:pStyle w:val="8"/>
                    </w:pPr>
                    <w:r>
                      <w:rPr>
                        <w:rFonts w:hint="eastAsia"/>
                      </w:rPr>
                      <w:fldChar w:fldCharType="begin"/>
                    </w:r>
                    <w:r>
                      <w:rPr>
                        <w:rFonts w:hint="eastAsia"/>
                      </w:rPr>
                      <w:instrText xml:space="preserve"> PAGE  \* MERGEFORMAT </w:instrText>
                    </w:r>
                    <w:r>
                      <w:rPr>
                        <w:rFonts w:hint="eastAsia"/>
                      </w:rPr>
                      <w:fldChar w:fldCharType="separate"/>
                    </w:r>
                    <w:r>
                      <w:t>56</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F2476A"/>
    <w:multiLevelType w:val="multilevel"/>
    <w:tmpl w:val="8BF2476A"/>
    <w:lvl w:ilvl="0" w:tentative="0">
      <w:start w:val="1"/>
      <w:numFmt w:val="chineseCountingThousand"/>
      <w:lvlText w:val="%1、"/>
      <w:lvlJc w:val="left"/>
      <w:pPr>
        <w:ind w:left="420" w:hanging="420"/>
      </w:pPr>
      <w:rPr>
        <w:rFonts w:hint="eastAsia" w:ascii="仿宋" w:hAnsi="仿宋" w:eastAsia="仿宋" w:cs="仿宋"/>
        <w:color w:val="auto"/>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D0B4AE61"/>
    <w:multiLevelType w:val="singleLevel"/>
    <w:tmpl w:val="D0B4AE61"/>
    <w:lvl w:ilvl="0" w:tentative="0">
      <w:start w:val="1"/>
      <w:numFmt w:val="decimal"/>
      <w:lvlText w:val="(%1)"/>
      <w:lvlJc w:val="left"/>
      <w:pPr>
        <w:ind w:left="425" w:hanging="425"/>
      </w:pPr>
      <w:rPr>
        <w:rFonts w:hint="default" w:ascii="仿宋" w:hAnsi="仿宋" w:eastAsia="仿宋" w:cs="仿宋"/>
        <w:sz w:val="24"/>
        <w:szCs w:val="24"/>
      </w:rPr>
    </w:lvl>
  </w:abstractNum>
  <w:abstractNum w:abstractNumId="2">
    <w:nsid w:val="1F49FC07"/>
    <w:multiLevelType w:val="singleLevel"/>
    <w:tmpl w:val="1F49FC07"/>
    <w:lvl w:ilvl="0" w:tentative="0">
      <w:start w:val="1"/>
      <w:numFmt w:val="decimal"/>
      <w:lvlText w:val="%1."/>
      <w:lvlJc w:val="left"/>
      <w:pPr>
        <w:tabs>
          <w:tab w:val="left" w:pos="312"/>
        </w:tabs>
      </w:pPr>
    </w:lvl>
  </w:abstractNum>
  <w:abstractNum w:abstractNumId="3">
    <w:nsid w:val="5B01ADC1"/>
    <w:multiLevelType w:val="singleLevel"/>
    <w:tmpl w:val="5B01ADC1"/>
    <w:lvl w:ilvl="0" w:tentative="0">
      <w:start w:val="1"/>
      <w:numFmt w:val="decimal"/>
      <w:lvlText w:val="(%1)"/>
      <w:lvlJc w:val="left"/>
      <w:pPr>
        <w:ind w:left="425" w:hanging="425"/>
      </w:pPr>
      <w:rPr>
        <w:rFonts w:hint="default"/>
      </w:rPr>
    </w:lvl>
  </w:abstractNum>
  <w:abstractNum w:abstractNumId="4">
    <w:nsid w:val="66111CA5"/>
    <w:multiLevelType w:val="singleLevel"/>
    <w:tmpl w:val="66111CA5"/>
    <w:lvl w:ilvl="0" w:tentative="0">
      <w:start w:val="1"/>
      <w:numFmt w:val="chineseCounting"/>
      <w:suff w:val="nothing"/>
      <w:lvlText w:val="（%1）"/>
      <w:lvlJc w:val="left"/>
      <w:pPr>
        <w:ind w:left="-641"/>
      </w:pPr>
      <w:rPr>
        <w:rFonts w:hint="eastAsia"/>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FkYWQyNTk4ZTdlOTIyNWM4ZWQ1MTE5NDQ2NTFjZjgifQ=="/>
  </w:docVars>
  <w:rsids>
    <w:rsidRoot w:val="7DF965E5"/>
    <w:rsid w:val="033C544E"/>
    <w:rsid w:val="039F0AAF"/>
    <w:rsid w:val="03C60BD3"/>
    <w:rsid w:val="0529763D"/>
    <w:rsid w:val="06422598"/>
    <w:rsid w:val="06EB6E0C"/>
    <w:rsid w:val="07097292"/>
    <w:rsid w:val="09F9539C"/>
    <w:rsid w:val="0B440899"/>
    <w:rsid w:val="0BC83278"/>
    <w:rsid w:val="0C6311F3"/>
    <w:rsid w:val="0CF51D40"/>
    <w:rsid w:val="0DE173BA"/>
    <w:rsid w:val="0F136F00"/>
    <w:rsid w:val="122356AC"/>
    <w:rsid w:val="16D74CB7"/>
    <w:rsid w:val="17465999"/>
    <w:rsid w:val="175B7696"/>
    <w:rsid w:val="1A6B5E42"/>
    <w:rsid w:val="1A824F3A"/>
    <w:rsid w:val="1A944045"/>
    <w:rsid w:val="1D3F7112"/>
    <w:rsid w:val="229C0B63"/>
    <w:rsid w:val="230961F8"/>
    <w:rsid w:val="23AE0B4E"/>
    <w:rsid w:val="24863878"/>
    <w:rsid w:val="28357A8F"/>
    <w:rsid w:val="28DE1ED5"/>
    <w:rsid w:val="2A691C72"/>
    <w:rsid w:val="2C271DE5"/>
    <w:rsid w:val="2C5F422D"/>
    <w:rsid w:val="2CD05FD9"/>
    <w:rsid w:val="2D6B7AAF"/>
    <w:rsid w:val="2D7B7CF2"/>
    <w:rsid w:val="2D990AC0"/>
    <w:rsid w:val="2DB476A8"/>
    <w:rsid w:val="2DC86CB0"/>
    <w:rsid w:val="2E1739A5"/>
    <w:rsid w:val="2FF554E2"/>
    <w:rsid w:val="348E76C9"/>
    <w:rsid w:val="34A060AF"/>
    <w:rsid w:val="354D409E"/>
    <w:rsid w:val="375872F6"/>
    <w:rsid w:val="3B8804F1"/>
    <w:rsid w:val="3D0C0967"/>
    <w:rsid w:val="3DB37034"/>
    <w:rsid w:val="3F64271E"/>
    <w:rsid w:val="3F7E3672"/>
    <w:rsid w:val="40055B41"/>
    <w:rsid w:val="411D70E3"/>
    <w:rsid w:val="41EE2D31"/>
    <w:rsid w:val="438F50D5"/>
    <w:rsid w:val="43A538C3"/>
    <w:rsid w:val="45E47AE8"/>
    <w:rsid w:val="48627FD5"/>
    <w:rsid w:val="489F2FD7"/>
    <w:rsid w:val="49DB1DED"/>
    <w:rsid w:val="4BBB054F"/>
    <w:rsid w:val="51D04201"/>
    <w:rsid w:val="51DA6E2E"/>
    <w:rsid w:val="5488491F"/>
    <w:rsid w:val="55E53FF3"/>
    <w:rsid w:val="56C43C09"/>
    <w:rsid w:val="580A1AEF"/>
    <w:rsid w:val="58A75590"/>
    <w:rsid w:val="58CF3F50"/>
    <w:rsid w:val="5B8C403F"/>
    <w:rsid w:val="5BAA5AC3"/>
    <w:rsid w:val="5CF81A22"/>
    <w:rsid w:val="60C35D0E"/>
    <w:rsid w:val="610B0DB2"/>
    <w:rsid w:val="65E10FF2"/>
    <w:rsid w:val="66FB3677"/>
    <w:rsid w:val="67F53997"/>
    <w:rsid w:val="68680898"/>
    <w:rsid w:val="68F02638"/>
    <w:rsid w:val="691B497C"/>
    <w:rsid w:val="69D63F27"/>
    <w:rsid w:val="6C1D5E3D"/>
    <w:rsid w:val="6E510020"/>
    <w:rsid w:val="6E625D89"/>
    <w:rsid w:val="6FE50A20"/>
    <w:rsid w:val="704E2A69"/>
    <w:rsid w:val="71A02309"/>
    <w:rsid w:val="7238752D"/>
    <w:rsid w:val="777C610E"/>
    <w:rsid w:val="7CAC0CC7"/>
    <w:rsid w:val="7DF965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3">
    <w:name w:val="heading 3"/>
    <w:basedOn w:val="1"/>
    <w:next w:val="4"/>
    <w:unhideWhenUsed/>
    <w:qFormat/>
    <w:uiPriority w:val="9"/>
    <w:pPr>
      <w:adjustRightInd w:val="0"/>
      <w:spacing w:before="160" w:after="160" w:line="560" w:lineRule="exact"/>
      <w:ind w:firstLine="200" w:firstLineChars="200"/>
      <w:outlineLvl w:val="2"/>
    </w:pPr>
    <w:rPr>
      <w:rFonts w:eastAsia="楷体"/>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customStyle="1" w:styleId="4">
    <w:name w:val="文档正文"/>
    <w:basedOn w:val="1"/>
    <w:autoRedefine/>
    <w:qFormat/>
    <w:uiPriority w:val="0"/>
    <w:pPr>
      <w:ind w:firstLine="567"/>
    </w:pPr>
    <w:rPr>
      <w:rFonts w:ascii="长城仿宋" w:hAnsi="Times New Roman" w:eastAsia="长城仿宋" w:cs="Times New Roman"/>
      <w:sz w:val="28"/>
      <w:szCs w:val="20"/>
    </w:rPr>
  </w:style>
  <w:style w:type="paragraph" w:styleId="5">
    <w:name w:val="annotation text"/>
    <w:basedOn w:val="1"/>
    <w:unhideWhenUsed/>
    <w:qFormat/>
    <w:uiPriority w:val="0"/>
    <w:pPr>
      <w:jc w:val="left"/>
    </w:pPr>
  </w:style>
  <w:style w:type="paragraph" w:styleId="6">
    <w:name w:val="Body Text"/>
    <w:basedOn w:val="1"/>
    <w:next w:val="7"/>
    <w:qFormat/>
    <w:uiPriority w:val="99"/>
    <w:pPr>
      <w:spacing w:after="120"/>
    </w:pPr>
    <w:rPr>
      <w:snapToGrid/>
      <w:kern w:val="2"/>
    </w:rPr>
  </w:style>
  <w:style w:type="paragraph" w:styleId="7">
    <w:name w:val="Body Text First Indent"/>
    <w:basedOn w:val="6"/>
    <w:qFormat/>
    <w:uiPriority w:val="0"/>
    <w:pPr>
      <w:autoSpaceDE w:val="0"/>
      <w:autoSpaceDN w:val="0"/>
      <w:adjustRightInd w:val="0"/>
      <w:ind w:firstLine="420" w:firstLineChars="100"/>
      <w:jc w:val="left"/>
    </w:pPr>
    <w:rPr>
      <w:rFonts w:ascii="仿宋_GB2312"/>
      <w:b/>
      <w:kern w:val="0"/>
      <w:sz w:val="32"/>
      <w:szCs w:val="32"/>
    </w:rPr>
  </w:style>
  <w:style w:type="paragraph" w:styleId="8">
    <w:name w:val="footer"/>
    <w:basedOn w:val="1"/>
    <w:qFormat/>
    <w:uiPriority w:val="99"/>
    <w:pPr>
      <w:tabs>
        <w:tab w:val="center" w:pos="4153"/>
        <w:tab w:val="right" w:pos="8306"/>
      </w:tabs>
      <w:snapToGrid w:val="0"/>
      <w:jc w:val="left"/>
    </w:pPr>
    <w:rPr>
      <w:snapToGrid/>
      <w:kern w:val="2"/>
      <w:sz w:val="18"/>
      <w:szCs w:val="18"/>
    </w:rPr>
  </w:style>
  <w:style w:type="paragraph" w:styleId="9">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3902</Words>
  <Characters>4094</Characters>
  <Lines>0</Lines>
  <Paragraphs>0</Paragraphs>
  <TotalTime>1</TotalTime>
  <ScaleCrop>false</ScaleCrop>
  <LinksUpToDate>false</LinksUpToDate>
  <CharactersWithSpaces>4178</CharactersWithSpaces>
  <Application>WPS Office_12.1.0.17133_F1E327BC-269C-435d-A152-05C5408002CA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2025-06-03T08:05:00Z</dcterms:created>
  <dc:creator>Paul Fu</dc:creator>
  <cp:lastModifiedBy>杨谨菲</cp:lastModifiedBy>
  <dcterms:modified xsi:type="dcterms:W3CDTF">2025-06-13T03:39:14Z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511AFA74296B46F6BA133190901DF8A5_13</vt:lpwstr>
  </property>
  <property fmtid="{D5CDD505-2E9C-101B-9397-08002B2CF9AE}" pid="4" name="KSOTemplateDocerSaveRecord">
    <vt:lpwstr>eyJoZGlkIjoiZTJmNDI4ZGU0OTA3ODdhYjk1ODNmOGI1ZTU1NmY2MjIiLCJ1c2VySWQiOiI3ODg1MDQ5NjIifQ==</vt:lpwstr>
  </property>
</Properties>
</file>