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宋体" w:hAnsi="宋体"/>
          <w:b/>
          <w:sz w:val="52"/>
          <w:szCs w:val="32"/>
        </w:rPr>
      </w:pPr>
    </w:p>
    <w:p>
      <w:pPr>
        <w:spacing w:line="480" w:lineRule="auto"/>
        <w:jc w:val="center"/>
        <w:rPr>
          <w:rFonts w:ascii="宋体" w:hAnsi="宋体"/>
          <w:b/>
          <w:sz w:val="52"/>
          <w:szCs w:val="32"/>
        </w:rPr>
      </w:pPr>
    </w:p>
    <w:p>
      <w:pPr>
        <w:spacing w:line="480" w:lineRule="auto"/>
        <w:jc w:val="center"/>
        <w:rPr>
          <w:rFonts w:ascii="宋体" w:hAnsi="宋体"/>
          <w:b/>
          <w:sz w:val="52"/>
          <w:szCs w:val="32"/>
        </w:rPr>
      </w:pPr>
    </w:p>
    <w:p>
      <w:pPr>
        <w:spacing w:line="480" w:lineRule="auto"/>
        <w:jc w:val="center"/>
        <w:rPr>
          <w:rFonts w:ascii="宋体" w:hAnsi="宋体"/>
          <w:b/>
          <w:sz w:val="52"/>
          <w:szCs w:val="32"/>
        </w:rPr>
      </w:pPr>
    </w:p>
    <w:p>
      <w:pPr>
        <w:spacing w:line="480" w:lineRule="auto"/>
        <w:jc w:val="center"/>
        <w:rPr>
          <w:rFonts w:ascii="黑体" w:hAnsi="黑体" w:eastAsia="黑体" w:cs="黑体"/>
          <w:b/>
          <w:sz w:val="52"/>
          <w:szCs w:val="32"/>
        </w:rPr>
      </w:pPr>
    </w:p>
    <w:p>
      <w:pPr>
        <w:spacing w:line="480" w:lineRule="auto"/>
        <w:jc w:val="center"/>
        <w:rPr>
          <w:rFonts w:ascii="黑体" w:hAnsi="黑体" w:eastAsia="黑体" w:cs="黑体"/>
          <w:b/>
          <w:sz w:val="52"/>
          <w:szCs w:val="32"/>
        </w:rPr>
      </w:pPr>
      <w:r>
        <w:rPr>
          <w:rFonts w:hint="eastAsia" w:ascii="黑体" w:hAnsi="黑体" w:eastAsia="黑体" w:cs="黑体"/>
          <w:b/>
          <w:sz w:val="52"/>
          <w:szCs w:val="32"/>
        </w:rPr>
        <w:t>武汉市中心医院</w:t>
      </w:r>
    </w:p>
    <w:p>
      <w:pPr>
        <w:spacing w:line="480" w:lineRule="auto"/>
        <w:jc w:val="center"/>
        <w:rPr>
          <w:rFonts w:ascii="黑体" w:hAnsi="黑体" w:eastAsia="黑体" w:cs="黑体"/>
          <w:b/>
          <w:sz w:val="52"/>
          <w:szCs w:val="32"/>
        </w:rPr>
      </w:pPr>
      <w:r>
        <w:rPr>
          <w:rFonts w:hint="eastAsia" w:ascii="黑体" w:hAnsi="黑体" w:eastAsia="黑体" w:cs="黑体"/>
          <w:b/>
          <w:sz w:val="52"/>
          <w:szCs w:val="32"/>
        </w:rPr>
        <w:t>杨春湖院区智慧医院系统建设项目（第一期）密码应用测评服务</w:t>
      </w:r>
    </w:p>
    <w:p>
      <w:pPr>
        <w:spacing w:line="480" w:lineRule="auto"/>
        <w:jc w:val="center"/>
        <w:rPr>
          <w:rFonts w:hint="eastAsia" w:ascii="黑体" w:hAnsi="黑体" w:eastAsia="黑体" w:cs="黑体"/>
          <w:b/>
          <w:sz w:val="52"/>
          <w:szCs w:val="32"/>
          <w:lang w:val="en-US" w:eastAsia="zh-CN"/>
        </w:rPr>
      </w:pPr>
      <w:r>
        <w:rPr>
          <w:rFonts w:hint="eastAsia" w:ascii="黑体" w:hAnsi="黑体" w:eastAsia="黑体" w:cs="黑体"/>
          <w:b/>
          <w:sz w:val="52"/>
          <w:szCs w:val="32"/>
          <w:lang w:val="en-US" w:eastAsia="zh-CN"/>
        </w:rPr>
        <w:t>采购需求</w:t>
      </w:r>
    </w:p>
    <w:p>
      <w:pPr>
        <w:rPr>
          <w:rFonts w:ascii="黑体" w:hAnsi="黑体" w:eastAsia="黑体" w:cs="黑体"/>
          <w:b/>
          <w:bCs/>
          <w:color w:val="000000"/>
          <w:sz w:val="28"/>
          <w:szCs w:val="28"/>
        </w:rPr>
      </w:pPr>
    </w:p>
    <w:p>
      <w:pPr>
        <w:rPr>
          <w:rFonts w:ascii="黑体" w:hAnsi="黑体" w:eastAsia="黑体" w:cs="黑体"/>
          <w:b/>
          <w:bCs/>
          <w:color w:val="000000"/>
          <w:sz w:val="28"/>
          <w:szCs w:val="28"/>
        </w:rPr>
      </w:pPr>
    </w:p>
    <w:p>
      <w:pPr>
        <w:rPr>
          <w:rFonts w:ascii="黑体" w:hAnsi="黑体" w:eastAsia="黑体" w:cs="黑体"/>
          <w:b/>
          <w:bCs/>
          <w:color w:val="000000"/>
          <w:sz w:val="28"/>
          <w:szCs w:val="28"/>
        </w:rPr>
      </w:pPr>
    </w:p>
    <w:p>
      <w:pPr>
        <w:rPr>
          <w:rFonts w:ascii="黑体" w:hAnsi="黑体" w:eastAsia="黑体" w:cs="黑体"/>
          <w:b/>
          <w:bCs/>
          <w:color w:val="000000"/>
          <w:sz w:val="28"/>
          <w:szCs w:val="28"/>
        </w:rPr>
      </w:pPr>
    </w:p>
    <w:p>
      <w:pPr>
        <w:rPr>
          <w:rFonts w:ascii="黑体" w:hAnsi="黑体" w:eastAsia="黑体" w:cs="黑体"/>
          <w:b/>
          <w:bCs/>
          <w:color w:val="000000"/>
          <w:sz w:val="28"/>
          <w:szCs w:val="28"/>
        </w:rPr>
      </w:pPr>
    </w:p>
    <w:p>
      <w:pPr>
        <w:rPr>
          <w:rFonts w:ascii="黑体" w:hAnsi="黑体" w:eastAsia="黑体" w:cs="黑体"/>
          <w:b/>
          <w:bCs/>
          <w:color w:val="000000"/>
          <w:sz w:val="28"/>
          <w:szCs w:val="28"/>
        </w:rPr>
      </w:pPr>
    </w:p>
    <w:p>
      <w:pPr>
        <w:jc w:val="center"/>
        <w:rPr>
          <w:rFonts w:ascii="黑体" w:hAnsi="黑体" w:eastAsia="黑体" w:cs="黑体"/>
          <w:b/>
          <w:bCs/>
          <w:color w:val="000000"/>
          <w:sz w:val="36"/>
          <w:szCs w:val="36"/>
        </w:rPr>
      </w:pPr>
      <w:r>
        <w:rPr>
          <w:rFonts w:hint="eastAsia" w:ascii="黑体" w:hAnsi="黑体" w:eastAsia="黑体" w:cs="黑体"/>
          <w:b/>
          <w:bCs/>
          <w:color w:val="000000"/>
          <w:sz w:val="36"/>
          <w:szCs w:val="36"/>
        </w:rPr>
        <w:t>2024年</w:t>
      </w:r>
      <w:r>
        <w:rPr>
          <w:rFonts w:hint="eastAsia" w:ascii="黑体" w:hAnsi="黑体" w:eastAsia="黑体" w:cs="黑体"/>
          <w:b/>
          <w:bCs/>
          <w:color w:val="000000"/>
          <w:sz w:val="36"/>
          <w:szCs w:val="36"/>
          <w:lang w:val="en-US" w:eastAsia="zh-CN"/>
        </w:rPr>
        <w:t>4</w:t>
      </w:r>
      <w:r>
        <w:rPr>
          <w:rFonts w:hint="eastAsia" w:ascii="黑体" w:hAnsi="黑体" w:eastAsia="黑体" w:cs="黑体"/>
          <w:b/>
          <w:bCs/>
          <w:color w:val="000000"/>
          <w:sz w:val="36"/>
          <w:szCs w:val="36"/>
        </w:rPr>
        <w:t>月</w:t>
      </w:r>
    </w:p>
    <w:p>
      <w:pPr>
        <w:rPr>
          <w:rFonts w:ascii="黑体" w:hAnsi="黑体" w:eastAsia="黑体" w:cs="黑体"/>
          <w:b/>
          <w:bCs/>
          <w:color w:val="000000"/>
          <w:sz w:val="28"/>
          <w:szCs w:val="28"/>
        </w:rPr>
      </w:pPr>
      <w:r>
        <w:rPr>
          <w:rFonts w:hint="eastAsia" w:ascii="黑体" w:hAnsi="黑体" w:eastAsia="黑体" w:cs="黑体"/>
          <w:b/>
          <w:bCs/>
          <w:color w:val="000000"/>
          <w:sz w:val="28"/>
          <w:szCs w:val="28"/>
        </w:rPr>
        <w:br w:type="page"/>
      </w:r>
    </w:p>
    <w:p>
      <w:pPr>
        <w:pStyle w:val="2"/>
        <w:numPr>
          <w:ilvl w:val="0"/>
          <w:numId w:val="1"/>
        </w:numPr>
        <w:spacing w:line="360" w:lineRule="auto"/>
        <w:rPr>
          <w:rFonts w:ascii="仿宋" w:hAnsi="仿宋" w:eastAsia="仿宋" w:cs="仿宋"/>
          <w:sz w:val="28"/>
          <w:szCs w:val="28"/>
          <w:lang w:val="zh-CN"/>
        </w:rPr>
      </w:pPr>
      <w:r>
        <w:rPr>
          <w:rFonts w:hint="eastAsia" w:ascii="仿宋" w:hAnsi="仿宋" w:eastAsia="仿宋" w:cs="仿宋"/>
          <w:sz w:val="28"/>
          <w:szCs w:val="28"/>
          <w:lang w:val="zh-CN"/>
        </w:rPr>
        <w:t>国家相关行政主管部门颁布的强制标准、规范</w:t>
      </w:r>
    </w:p>
    <w:p>
      <w:pPr>
        <w:pStyle w:val="16"/>
        <w:snapToGrid w:val="0"/>
        <w:spacing w:before="1" w:line="576" w:lineRule="exact"/>
        <w:ind w:left="420" w:leftChars="200" w:firstLine="0" w:firstLineChars="0"/>
        <w:jc w:val="left"/>
        <w:rPr>
          <w:rFonts w:ascii="仿宋" w:hAnsi="仿宋" w:eastAsia="仿宋" w:cs="宋体"/>
          <w:bCs/>
          <w:color w:val="000000"/>
          <w:sz w:val="28"/>
          <w:szCs w:val="28"/>
        </w:rPr>
      </w:pPr>
      <w:r>
        <w:rPr>
          <w:rFonts w:hint="eastAsia" w:ascii="仿宋" w:hAnsi="仿宋" w:eastAsia="仿宋" w:cs="宋体"/>
          <w:color w:val="000000"/>
          <w:sz w:val="28"/>
          <w:szCs w:val="28"/>
        </w:rPr>
        <w:t>GB/T 39786-2021</w:t>
      </w:r>
      <w:r>
        <w:rPr>
          <w:rFonts w:hint="eastAsia" w:ascii="仿宋" w:hAnsi="仿宋" w:eastAsia="仿宋" w:cs="宋体"/>
          <w:bCs/>
          <w:color w:val="000000"/>
          <w:sz w:val="28"/>
          <w:szCs w:val="28"/>
        </w:rPr>
        <w:t>《信息安全技术</w:t>
      </w:r>
      <w:r>
        <w:rPr>
          <w:rFonts w:ascii="仿宋" w:hAnsi="仿宋" w:eastAsia="仿宋" w:cs="宋体"/>
          <w:bCs/>
          <w:color w:val="000000"/>
          <w:sz w:val="28"/>
          <w:szCs w:val="28"/>
        </w:rPr>
        <w:t xml:space="preserve"> </w:t>
      </w:r>
      <w:r>
        <w:rPr>
          <w:rFonts w:hint="eastAsia" w:ascii="仿宋" w:hAnsi="仿宋" w:eastAsia="仿宋" w:cs="宋体"/>
          <w:bCs/>
          <w:color w:val="000000"/>
          <w:sz w:val="28"/>
          <w:szCs w:val="28"/>
        </w:rPr>
        <w:t>信息系统密码应用基本要求》</w:t>
      </w:r>
    </w:p>
    <w:p>
      <w:pPr>
        <w:pStyle w:val="16"/>
        <w:snapToGrid w:val="0"/>
        <w:spacing w:line="576" w:lineRule="exact"/>
        <w:ind w:left="420" w:leftChars="200" w:firstLine="0" w:firstLineChars="0"/>
        <w:jc w:val="left"/>
        <w:rPr>
          <w:rFonts w:ascii="仿宋" w:hAnsi="仿宋" w:eastAsia="仿宋" w:cs="宋体"/>
          <w:color w:val="000000"/>
          <w:sz w:val="28"/>
          <w:szCs w:val="28"/>
        </w:rPr>
      </w:pPr>
      <w:r>
        <w:rPr>
          <w:rFonts w:ascii="仿宋" w:hAnsi="仿宋" w:eastAsia="仿宋" w:cs="宋体"/>
          <w:color w:val="000000"/>
          <w:sz w:val="28"/>
          <w:szCs w:val="28"/>
        </w:rPr>
        <w:t>GM/T 0115-2021《信息系统密码应用测评要求》</w:t>
      </w:r>
    </w:p>
    <w:p>
      <w:pPr>
        <w:pStyle w:val="16"/>
        <w:snapToGrid w:val="0"/>
        <w:spacing w:line="576" w:lineRule="exact"/>
        <w:ind w:left="420" w:leftChars="200" w:firstLine="0" w:firstLineChars="0"/>
        <w:jc w:val="left"/>
        <w:rPr>
          <w:rFonts w:ascii="仿宋" w:hAnsi="仿宋" w:eastAsia="仿宋" w:cs="宋体"/>
          <w:color w:val="000000"/>
          <w:sz w:val="28"/>
          <w:szCs w:val="28"/>
        </w:rPr>
      </w:pPr>
      <w:r>
        <w:rPr>
          <w:rFonts w:ascii="仿宋" w:hAnsi="仿宋" w:eastAsia="仿宋" w:cs="宋体"/>
          <w:color w:val="000000"/>
          <w:sz w:val="28"/>
          <w:szCs w:val="28"/>
        </w:rPr>
        <w:t>GM/T 0116-2021《信息系统密码应用测评过程指南》</w:t>
      </w:r>
    </w:p>
    <w:p>
      <w:pPr>
        <w:pStyle w:val="16"/>
        <w:snapToGrid w:val="0"/>
        <w:spacing w:before="1" w:line="576" w:lineRule="exact"/>
        <w:ind w:left="420" w:leftChars="200" w:firstLine="0" w:firstLineChars="0"/>
        <w:jc w:val="left"/>
        <w:rPr>
          <w:rFonts w:ascii="仿宋" w:hAnsi="仿宋" w:eastAsia="仿宋" w:cs="宋体"/>
          <w:bCs/>
          <w:color w:val="000000"/>
          <w:sz w:val="28"/>
          <w:szCs w:val="28"/>
        </w:rPr>
      </w:pPr>
      <w:r>
        <w:rPr>
          <w:rFonts w:hint="eastAsia" w:ascii="仿宋" w:hAnsi="仿宋" w:eastAsia="仿宋" w:cs="宋体"/>
          <w:bCs/>
          <w:color w:val="000000"/>
          <w:sz w:val="28"/>
          <w:szCs w:val="28"/>
        </w:rPr>
        <w:t>《信息系统密码应用高风险判定指引》</w:t>
      </w:r>
    </w:p>
    <w:p>
      <w:pPr>
        <w:pStyle w:val="16"/>
        <w:snapToGrid w:val="0"/>
        <w:spacing w:line="576" w:lineRule="exact"/>
        <w:ind w:left="420" w:leftChars="200" w:firstLine="0" w:firstLineChars="0"/>
        <w:jc w:val="left"/>
      </w:pPr>
      <w:r>
        <w:rPr>
          <w:rFonts w:hint="eastAsia" w:ascii="仿宋" w:hAnsi="仿宋" w:eastAsia="仿宋" w:cs="宋体"/>
          <w:color w:val="000000"/>
          <w:sz w:val="28"/>
          <w:szCs w:val="28"/>
        </w:rPr>
        <w:t>《商用密码应用安全性评估量化评估规则》</w:t>
      </w:r>
    </w:p>
    <w:p>
      <w:pPr>
        <w:pStyle w:val="2"/>
        <w:numPr>
          <w:ilvl w:val="0"/>
          <w:numId w:val="1"/>
        </w:numPr>
        <w:spacing w:line="360" w:lineRule="auto"/>
        <w:rPr>
          <w:rFonts w:ascii="仿宋" w:hAnsi="仿宋" w:eastAsia="仿宋" w:cs="仿宋"/>
          <w:sz w:val="28"/>
          <w:szCs w:val="28"/>
          <w:lang w:val="zh-CN"/>
        </w:rPr>
      </w:pPr>
      <w:r>
        <w:rPr>
          <w:rFonts w:hint="eastAsia" w:ascii="仿宋" w:hAnsi="仿宋" w:eastAsia="仿宋" w:cs="仿宋"/>
          <w:sz w:val="28"/>
          <w:szCs w:val="28"/>
          <w:lang w:val="zh-CN"/>
        </w:rPr>
        <w:t>项目概况</w:t>
      </w:r>
    </w:p>
    <w:p>
      <w:pPr>
        <w:adjustRightInd w:val="0"/>
        <w:snapToGrid w:val="0"/>
        <w:spacing w:line="576" w:lineRule="exact"/>
        <w:ind w:firstLine="560" w:firstLineChars="200"/>
        <w:jc w:val="left"/>
        <w:rPr>
          <w:rFonts w:ascii="仿宋" w:hAnsi="仿宋" w:eastAsia="仿宋" w:cs="宋体"/>
          <w:color w:val="000000"/>
          <w:sz w:val="28"/>
          <w:szCs w:val="28"/>
        </w:rPr>
      </w:pPr>
      <w:r>
        <w:rPr>
          <w:rFonts w:hint="eastAsia" w:ascii="仿宋" w:hAnsi="仿宋" w:eastAsia="仿宋" w:cs="宋体"/>
          <w:color w:val="000000"/>
          <w:sz w:val="28"/>
          <w:szCs w:val="28"/>
        </w:rPr>
        <w:t>医院现有南京路院区、后湖院区、杨春湖院区，随着心血管病专科医院和长江新区医院的逐步建成，将形成集团化医院的发展规模。因此，本期项目在充分依托医院现有信息化建设的基础之上，需要顺应集团化医院战略发展需求，建设以人为中心的智慧医院，以医疗、服务与管理“三位一体”智慧医院 755 标准为抓手</w:t>
      </w:r>
      <w:r>
        <w:rPr>
          <w:rFonts w:hint="eastAsia" w:ascii="仿宋" w:hAnsi="仿宋" w:eastAsia="仿宋" w:cs="宋体"/>
          <w:color w:val="000000"/>
          <w:sz w:val="28"/>
          <w:szCs w:val="28"/>
          <w:lang w:eastAsia="zh-CN"/>
        </w:rPr>
        <w:t>（</w:t>
      </w:r>
      <w:r>
        <w:rPr>
          <w:rFonts w:hint="eastAsia" w:ascii="仿宋" w:hAnsi="仿宋" w:eastAsia="仿宋" w:cs="宋体"/>
          <w:color w:val="000000"/>
          <w:sz w:val="28"/>
          <w:szCs w:val="28"/>
        </w:rPr>
        <w:t>即“电子病历系统应用水平分级评价”七级、“智慧服务分级评估标准”五级、“智慧管理分级评估标准”五级</w:t>
      </w:r>
      <w:r>
        <w:rPr>
          <w:rFonts w:hint="eastAsia" w:ascii="仿宋" w:hAnsi="仿宋" w:eastAsia="仿宋" w:cs="宋体"/>
          <w:color w:val="000000"/>
          <w:sz w:val="28"/>
          <w:szCs w:val="28"/>
          <w:lang w:eastAsia="zh-CN"/>
        </w:rPr>
        <w:t>）</w:t>
      </w:r>
      <w:r>
        <w:rPr>
          <w:rFonts w:hint="eastAsia" w:ascii="仿宋" w:hAnsi="仿宋" w:eastAsia="仿宋" w:cs="宋体"/>
          <w:color w:val="000000"/>
          <w:sz w:val="28"/>
          <w:szCs w:val="28"/>
        </w:rPr>
        <w:t>，建设一体化、数字化和智能化院区，全方位提升医护、患者、管理者对于信息系统的使用体验，打造易用性高、扩展性强的业务系统</w:t>
      </w:r>
      <w:r>
        <w:rPr>
          <w:rFonts w:hint="eastAsia" w:ascii="仿宋" w:hAnsi="仿宋" w:eastAsia="仿宋" w:cs="宋体"/>
          <w:color w:val="000000"/>
          <w:sz w:val="28"/>
          <w:szCs w:val="28"/>
          <w:lang w:eastAsia="zh-CN"/>
        </w:rPr>
        <w:t>；</w:t>
      </w:r>
      <w:r>
        <w:rPr>
          <w:rFonts w:hint="eastAsia" w:ascii="仿宋" w:hAnsi="仿宋" w:eastAsia="仿宋" w:cs="宋体"/>
          <w:color w:val="000000"/>
          <w:sz w:val="28"/>
          <w:szCs w:val="28"/>
        </w:rPr>
        <w:t>使得医院管理更智能、质量更可控，力争树立中国智慧医院标杆，形成可复制、可借鉴的智慧医院建设成果。</w:t>
      </w:r>
    </w:p>
    <w:p>
      <w:pPr>
        <w:pStyle w:val="9"/>
        <w:ind w:firstLine="560"/>
        <w:rPr>
          <w:rFonts w:ascii="仿宋" w:hAnsi="仿宋" w:eastAsia="仿宋" w:cs="宋体"/>
          <w:color w:val="000000"/>
          <w:sz w:val="28"/>
          <w:szCs w:val="28"/>
        </w:rPr>
      </w:pPr>
      <w:r>
        <w:rPr>
          <w:rFonts w:hint="eastAsia" w:ascii="仿宋" w:hAnsi="仿宋" w:eastAsia="仿宋" w:cs="宋体"/>
          <w:color w:val="000000"/>
          <w:sz w:val="28"/>
          <w:szCs w:val="28"/>
        </w:rPr>
        <w:t>根据《中华人民共和国密码法》以及密码应用评估等相关法律法规、标准规范要求，按照“同步规划、同步建设、同步运行”的原则，本次项目拟选取符合条件的服务单位，对杨春湖院区智慧医院系统建设项目（第一期）项目提供密码应用安全性评估服务，从而强化信息安全保障和密码应用安全管理，全面提升全民健康信息平台整体安全防范能力，降低系统安全风险。</w:t>
      </w:r>
    </w:p>
    <w:p>
      <w:pPr>
        <w:pStyle w:val="2"/>
        <w:numPr>
          <w:ilvl w:val="0"/>
          <w:numId w:val="1"/>
        </w:numPr>
        <w:spacing w:line="360" w:lineRule="auto"/>
        <w:rPr>
          <w:rFonts w:ascii="仿宋" w:hAnsi="仿宋" w:eastAsia="仿宋" w:cs="仿宋"/>
          <w:sz w:val="28"/>
          <w:szCs w:val="28"/>
          <w:lang w:val="zh-CN"/>
        </w:rPr>
      </w:pPr>
      <w:r>
        <w:rPr>
          <w:rFonts w:hint="eastAsia" w:ascii="仿宋" w:hAnsi="仿宋" w:eastAsia="仿宋" w:cs="仿宋"/>
          <w:sz w:val="28"/>
          <w:szCs w:val="28"/>
          <w:lang w:val="zh-CN"/>
        </w:rPr>
        <w:t>服务要求</w:t>
      </w:r>
      <w:r>
        <w:rPr>
          <w:rFonts w:hint="eastAsia" w:ascii="仿宋" w:hAnsi="仿宋" w:eastAsia="仿宋" w:cs="仿宋"/>
          <w:sz w:val="28"/>
          <w:szCs w:val="28"/>
        </w:rPr>
        <w:t>描述</w:t>
      </w:r>
    </w:p>
    <w:p>
      <w:pPr>
        <w:pStyle w:val="3"/>
        <w:ind w:firstLine="562" w:firstLineChars="200"/>
        <w:rPr>
          <w:rFonts w:ascii="仿宋" w:hAnsi="仿宋" w:eastAsia="仿宋" w:cs="仿宋"/>
          <w:sz w:val="28"/>
          <w:szCs w:val="28"/>
          <w:lang w:val="zh-CN"/>
        </w:rPr>
      </w:pPr>
      <w:r>
        <w:rPr>
          <w:rFonts w:hint="eastAsia" w:ascii="仿宋" w:hAnsi="仿宋" w:eastAsia="仿宋" w:cs="仿宋"/>
          <w:sz w:val="28"/>
          <w:szCs w:val="28"/>
        </w:rPr>
        <w:t>5.</w:t>
      </w:r>
      <w:r>
        <w:rPr>
          <w:rFonts w:ascii="仿宋" w:hAnsi="仿宋" w:eastAsia="仿宋" w:cs="仿宋"/>
          <w:sz w:val="28"/>
          <w:szCs w:val="28"/>
        </w:rPr>
        <w:t>1</w:t>
      </w:r>
      <w:r>
        <w:rPr>
          <w:rFonts w:hint="eastAsia" w:ascii="仿宋" w:hAnsi="仿宋" w:eastAsia="仿宋" w:cs="仿宋"/>
          <w:sz w:val="28"/>
          <w:szCs w:val="28"/>
          <w:lang w:val="zh-CN"/>
        </w:rPr>
        <w:t>测评标准</w:t>
      </w:r>
    </w:p>
    <w:p>
      <w:pPr>
        <w:adjustRightInd w:val="0"/>
        <w:snapToGrid w:val="0"/>
        <w:spacing w:line="576"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测评依据主要以国家标准及项目文档为主，具体标准包括如下内容：</w:t>
      </w:r>
    </w:p>
    <w:p>
      <w:pPr>
        <w:pStyle w:val="16"/>
        <w:adjustRightInd w:val="0"/>
        <w:snapToGrid w:val="0"/>
        <w:spacing w:line="576" w:lineRule="exact"/>
        <w:ind w:left="420" w:leftChars="200" w:firstLine="0" w:firstLineChars="0"/>
        <w:jc w:val="left"/>
        <w:rPr>
          <w:rFonts w:ascii="仿宋" w:hAnsi="仿宋" w:eastAsia="仿宋" w:cs="仿宋"/>
          <w:kern w:val="0"/>
          <w:sz w:val="28"/>
          <w:szCs w:val="28"/>
        </w:rPr>
      </w:pPr>
      <w:r>
        <w:rPr>
          <w:rFonts w:ascii="仿宋" w:hAnsi="仿宋" w:eastAsia="仿宋" w:cs="仿宋"/>
          <w:kern w:val="0"/>
          <w:sz w:val="28"/>
          <w:szCs w:val="28"/>
        </w:rPr>
        <w:t xml:space="preserve">GB/T 39786-2021《信息安全技术 </w:t>
      </w:r>
      <w:r>
        <w:rPr>
          <w:rFonts w:hint="eastAsia" w:ascii="仿宋" w:hAnsi="仿宋" w:eastAsia="仿宋" w:cs="仿宋"/>
          <w:kern w:val="0"/>
          <w:sz w:val="28"/>
          <w:szCs w:val="28"/>
        </w:rPr>
        <w:t>信息系统密码应用基本要求》</w:t>
      </w:r>
    </w:p>
    <w:p>
      <w:pPr>
        <w:pStyle w:val="16"/>
        <w:adjustRightInd w:val="0"/>
        <w:snapToGrid w:val="0"/>
        <w:spacing w:line="576" w:lineRule="exact"/>
        <w:ind w:left="420" w:leftChars="200" w:firstLine="0" w:firstLineChars="0"/>
        <w:jc w:val="left"/>
        <w:rPr>
          <w:rFonts w:ascii="仿宋" w:hAnsi="仿宋" w:eastAsia="仿宋" w:cs="仿宋"/>
          <w:kern w:val="0"/>
          <w:sz w:val="28"/>
          <w:szCs w:val="28"/>
        </w:rPr>
      </w:pPr>
      <w:r>
        <w:rPr>
          <w:rFonts w:ascii="仿宋" w:hAnsi="仿宋" w:eastAsia="仿宋" w:cs="仿宋"/>
          <w:kern w:val="0"/>
          <w:sz w:val="28"/>
          <w:szCs w:val="28"/>
        </w:rPr>
        <w:t>GM/T 0115-2021《信息系统密码应用测评要求》</w:t>
      </w:r>
    </w:p>
    <w:p>
      <w:pPr>
        <w:pStyle w:val="16"/>
        <w:adjustRightInd w:val="0"/>
        <w:snapToGrid w:val="0"/>
        <w:spacing w:line="576" w:lineRule="exact"/>
        <w:ind w:left="420" w:leftChars="200" w:firstLine="0" w:firstLineChars="0"/>
        <w:jc w:val="left"/>
        <w:rPr>
          <w:rFonts w:ascii="仿宋" w:hAnsi="仿宋" w:eastAsia="仿宋" w:cs="仿宋"/>
          <w:kern w:val="0"/>
          <w:sz w:val="28"/>
          <w:szCs w:val="28"/>
        </w:rPr>
      </w:pPr>
      <w:r>
        <w:rPr>
          <w:rFonts w:ascii="仿宋" w:hAnsi="仿宋" w:eastAsia="仿宋" w:cs="仿宋"/>
          <w:kern w:val="0"/>
          <w:sz w:val="28"/>
          <w:szCs w:val="28"/>
        </w:rPr>
        <w:t>GM/T 0116-2021《信息系统密码应用测评过程指南》</w:t>
      </w:r>
    </w:p>
    <w:p>
      <w:pPr>
        <w:pStyle w:val="16"/>
        <w:adjustRightInd w:val="0"/>
        <w:snapToGrid w:val="0"/>
        <w:spacing w:line="576" w:lineRule="exact"/>
        <w:ind w:left="420" w:leftChars="200" w:firstLine="0" w:firstLineChars="0"/>
        <w:jc w:val="left"/>
        <w:rPr>
          <w:rFonts w:ascii="仿宋" w:hAnsi="仿宋" w:eastAsia="仿宋" w:cs="仿宋"/>
          <w:kern w:val="0"/>
          <w:sz w:val="28"/>
          <w:szCs w:val="28"/>
        </w:rPr>
      </w:pPr>
      <w:r>
        <w:rPr>
          <w:rFonts w:hint="eastAsia" w:ascii="仿宋" w:hAnsi="仿宋" w:eastAsia="仿宋" w:cs="仿宋"/>
          <w:kern w:val="0"/>
          <w:sz w:val="28"/>
          <w:szCs w:val="28"/>
        </w:rPr>
        <w:t>《信息系统密码应用高风险判定指引》</w:t>
      </w:r>
    </w:p>
    <w:p>
      <w:pPr>
        <w:pStyle w:val="16"/>
        <w:adjustRightInd w:val="0"/>
        <w:snapToGrid w:val="0"/>
        <w:spacing w:line="576" w:lineRule="exact"/>
        <w:ind w:left="420" w:leftChars="200" w:firstLine="0" w:firstLineChars="0"/>
        <w:jc w:val="left"/>
        <w:rPr>
          <w:rFonts w:ascii="仿宋" w:hAnsi="仿宋" w:eastAsia="仿宋" w:cs="仿宋"/>
          <w:kern w:val="0"/>
          <w:sz w:val="28"/>
          <w:szCs w:val="28"/>
        </w:rPr>
      </w:pPr>
      <w:r>
        <w:rPr>
          <w:rFonts w:hint="eastAsia" w:ascii="仿宋" w:hAnsi="仿宋" w:eastAsia="仿宋" w:cs="仿宋"/>
          <w:kern w:val="0"/>
          <w:sz w:val="28"/>
          <w:szCs w:val="28"/>
        </w:rPr>
        <w:t>《商用密码应用安全性评估量化评估规则》</w:t>
      </w:r>
    </w:p>
    <w:p>
      <w:pPr>
        <w:pStyle w:val="3"/>
        <w:ind w:firstLine="562" w:firstLineChars="200"/>
        <w:rPr>
          <w:rFonts w:ascii="仿宋" w:hAnsi="仿宋" w:eastAsia="仿宋" w:cs="仿宋"/>
          <w:sz w:val="28"/>
          <w:szCs w:val="28"/>
          <w:lang w:val="zh-CN"/>
        </w:rPr>
      </w:pPr>
      <w:r>
        <w:rPr>
          <w:rFonts w:hint="eastAsia" w:ascii="仿宋" w:hAnsi="仿宋" w:eastAsia="仿宋" w:cs="仿宋"/>
          <w:sz w:val="28"/>
          <w:szCs w:val="28"/>
        </w:rPr>
        <w:t>5.</w:t>
      </w:r>
      <w:r>
        <w:rPr>
          <w:rFonts w:ascii="仿宋" w:hAnsi="仿宋" w:eastAsia="仿宋" w:cs="仿宋"/>
          <w:sz w:val="28"/>
          <w:szCs w:val="28"/>
        </w:rPr>
        <w:t>2</w:t>
      </w:r>
      <w:r>
        <w:rPr>
          <w:rFonts w:hint="eastAsia" w:ascii="仿宋" w:hAnsi="仿宋" w:eastAsia="仿宋" w:cs="仿宋"/>
          <w:sz w:val="28"/>
          <w:szCs w:val="28"/>
        </w:rPr>
        <w:t>密码应用服务及安全性评估</w:t>
      </w:r>
      <w:r>
        <w:rPr>
          <w:rFonts w:hint="eastAsia" w:ascii="仿宋" w:hAnsi="仿宋" w:eastAsia="仿宋" w:cs="仿宋"/>
          <w:sz w:val="28"/>
          <w:szCs w:val="28"/>
          <w:lang w:val="zh-CN"/>
        </w:rPr>
        <w:t>内容和要求</w:t>
      </w:r>
    </w:p>
    <w:p>
      <w:pPr>
        <w:adjustRightInd w:val="0"/>
        <w:snapToGrid w:val="0"/>
        <w:spacing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依据</w:t>
      </w:r>
      <w:r>
        <w:rPr>
          <w:rFonts w:ascii="仿宋" w:hAnsi="仿宋" w:eastAsia="仿宋" w:cs="仿宋"/>
          <w:bCs/>
          <w:color w:val="000000" w:themeColor="text1"/>
          <w:kern w:val="0"/>
          <w:sz w:val="28"/>
          <w:szCs w:val="28"/>
          <w14:textFill>
            <w14:solidFill>
              <w14:schemeClr w14:val="tx1"/>
            </w14:solidFill>
          </w14:textFill>
        </w:rPr>
        <w:t xml:space="preserve"> GB/T 39786-2021《信息安全技术 </w:t>
      </w:r>
      <w:r>
        <w:rPr>
          <w:rFonts w:hint="eastAsia" w:ascii="仿宋" w:hAnsi="仿宋" w:eastAsia="仿宋" w:cs="仿宋"/>
          <w:bCs/>
          <w:color w:val="000000" w:themeColor="text1"/>
          <w:kern w:val="0"/>
          <w:sz w:val="28"/>
          <w:szCs w:val="28"/>
          <w14:textFill>
            <w14:solidFill>
              <w14:schemeClr w14:val="tx1"/>
            </w14:solidFill>
          </w14:textFill>
        </w:rPr>
        <w:t>信息系统密码应用基本要求》等标准，按照第三级密码应用要求，对升级改造后的</w:t>
      </w:r>
      <w:r>
        <w:rPr>
          <w:rFonts w:hint="eastAsia" w:ascii="仿宋" w:hAnsi="仿宋" w:eastAsia="仿宋" w:cs="宋体"/>
          <w:color w:val="000000"/>
          <w:sz w:val="28"/>
          <w:szCs w:val="28"/>
        </w:rPr>
        <w:t>杨春湖院区智慧医院系统建设项目（第一期）项目</w:t>
      </w:r>
      <w:r>
        <w:rPr>
          <w:rFonts w:hint="eastAsia" w:ascii="仿宋" w:hAnsi="仿宋" w:eastAsia="仿宋" w:cs="仿宋"/>
          <w:bCs/>
          <w:color w:val="000000" w:themeColor="text1"/>
          <w:kern w:val="0"/>
          <w:sz w:val="28"/>
          <w:szCs w:val="28"/>
          <w14:textFill>
            <w14:solidFill>
              <w14:schemeClr w14:val="tx1"/>
            </w14:solidFill>
          </w14:textFill>
        </w:rPr>
        <w:t>进行密码应用总体要求评估，物理和环境安全、网络和通信安全、设备和计算安全、应用和数据安全等方面的安全技术评估，以及管理制度、人员管理、建设运行和应急处置等方面的安全管理评估，在此基础上开展信息系统整体密码应用防护能力综合分析。为信息系统的密码应用建设提供工作建议，保障信息系统密码合规、正确、有效地应用</w:t>
      </w:r>
      <w:r>
        <w:rPr>
          <w:rFonts w:hint="eastAsia" w:ascii="仿宋" w:hAnsi="仿宋" w:eastAsia="仿宋" w:cs="仿宋"/>
          <w:kern w:val="0"/>
          <w:sz w:val="28"/>
          <w:szCs w:val="28"/>
        </w:rPr>
        <w:t>，</w:t>
      </w:r>
      <w:r>
        <w:rPr>
          <w:rFonts w:hint="eastAsia" w:ascii="仿宋" w:hAnsi="仿宋" w:eastAsia="仿宋" w:cs="仿宋"/>
          <w:bCs/>
          <w:color w:val="000000" w:themeColor="text1"/>
          <w:kern w:val="0"/>
          <w:sz w:val="28"/>
          <w:szCs w:val="28"/>
          <w14:textFill>
            <w14:solidFill>
              <w14:schemeClr w14:val="tx1"/>
            </w14:solidFill>
          </w14:textFill>
        </w:rPr>
        <w:t>提供符合相关要求的商用密码应用安全性评估报告。</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包含但不限于如下任务要求：</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kern w:val="0"/>
          <w:sz w:val="28"/>
          <w:szCs w:val="28"/>
        </w:rPr>
        <w:t>1</w:t>
      </w:r>
      <w:r>
        <w:rPr>
          <w:rFonts w:ascii="仿宋" w:hAnsi="仿宋" w:eastAsia="仿宋" w:cs="仿宋"/>
          <w:kern w:val="0"/>
          <w:sz w:val="28"/>
          <w:szCs w:val="28"/>
        </w:rPr>
        <w:t>.</w:t>
      </w:r>
      <w:r>
        <w:rPr>
          <w:rFonts w:hint="eastAsia" w:ascii="仿宋" w:hAnsi="仿宋" w:eastAsia="仿宋" w:cs="仿宋"/>
          <w:bCs/>
          <w:color w:val="000000" w:themeColor="text1"/>
          <w:kern w:val="0"/>
          <w:sz w:val="28"/>
          <w:szCs w:val="28"/>
          <w14:textFill>
            <w14:solidFill>
              <w14:schemeClr w14:val="tx1"/>
            </w14:solidFill>
          </w14:textFill>
        </w:rPr>
        <w:t>开展安全性评估服务工作，并依据相关文件模板，对被测系统出具符合国家密码管理局和当地密码管理部门要求的安全性评估服务报告；</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kern w:val="0"/>
          <w:sz w:val="28"/>
          <w:szCs w:val="28"/>
        </w:rPr>
        <w:t>2</w:t>
      </w:r>
      <w:r>
        <w:rPr>
          <w:rFonts w:ascii="仿宋" w:hAnsi="仿宋" w:eastAsia="仿宋" w:cs="仿宋"/>
          <w:kern w:val="0"/>
          <w:sz w:val="28"/>
          <w:szCs w:val="28"/>
        </w:rPr>
        <w:t>.</w:t>
      </w:r>
      <w:r>
        <w:rPr>
          <w:rFonts w:hint="eastAsia" w:ascii="仿宋" w:hAnsi="仿宋" w:eastAsia="仿宋" w:cs="仿宋"/>
          <w:bCs/>
          <w:color w:val="000000" w:themeColor="text1"/>
          <w:kern w:val="0"/>
          <w:sz w:val="28"/>
          <w:szCs w:val="28"/>
          <w14:textFill>
            <w14:solidFill>
              <w14:schemeClr w14:val="tx1"/>
            </w14:solidFill>
          </w14:textFill>
        </w:rPr>
        <w:t>根据测评结果，给出整改意见，协助、</w:t>
      </w:r>
      <w:r>
        <w:rPr>
          <w:rFonts w:hint="eastAsia" w:ascii="仿宋" w:hAnsi="仿宋" w:eastAsia="仿宋" w:cs="仿宋"/>
          <w:kern w:val="0"/>
          <w:sz w:val="28"/>
          <w:szCs w:val="28"/>
        </w:rPr>
        <w:t>指导采购单位</w:t>
      </w:r>
      <w:r>
        <w:rPr>
          <w:rFonts w:hint="eastAsia" w:ascii="仿宋" w:hAnsi="仿宋" w:eastAsia="仿宋" w:cs="仿宋"/>
          <w:bCs/>
          <w:color w:val="000000" w:themeColor="text1"/>
          <w:kern w:val="0"/>
          <w:sz w:val="28"/>
          <w:szCs w:val="28"/>
          <w14:textFill>
            <w14:solidFill>
              <w14:schemeClr w14:val="tx1"/>
            </w14:solidFill>
          </w14:textFill>
        </w:rPr>
        <w:t>对被测系统暴露出的密码应用安全问题进行整改；</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kern w:val="0"/>
          <w:sz w:val="28"/>
          <w:szCs w:val="28"/>
        </w:rPr>
        <w:t>3</w:t>
      </w:r>
      <w:r>
        <w:rPr>
          <w:rFonts w:ascii="仿宋" w:hAnsi="仿宋" w:eastAsia="仿宋" w:cs="仿宋"/>
          <w:kern w:val="0"/>
          <w:sz w:val="28"/>
          <w:szCs w:val="28"/>
        </w:rPr>
        <w:t>.</w:t>
      </w:r>
      <w:r>
        <w:rPr>
          <w:rFonts w:hint="eastAsia" w:ascii="仿宋" w:hAnsi="仿宋" w:eastAsia="仿宋" w:cs="仿宋"/>
          <w:bCs/>
          <w:color w:val="000000" w:themeColor="text1"/>
          <w:kern w:val="0"/>
          <w:sz w:val="28"/>
          <w:szCs w:val="28"/>
          <w14:textFill>
            <w14:solidFill>
              <w14:schemeClr w14:val="tx1"/>
            </w14:solidFill>
          </w14:textFill>
        </w:rPr>
        <w:t>根据测评需要由采购人承办专家评审会；</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kern w:val="0"/>
          <w:sz w:val="28"/>
          <w:szCs w:val="28"/>
        </w:rPr>
        <w:t>4</w:t>
      </w:r>
      <w:r>
        <w:rPr>
          <w:rFonts w:ascii="仿宋" w:hAnsi="仿宋" w:eastAsia="仿宋" w:cs="仿宋"/>
          <w:kern w:val="0"/>
          <w:sz w:val="28"/>
          <w:szCs w:val="28"/>
        </w:rPr>
        <w:t>.</w:t>
      </w:r>
      <w:r>
        <w:rPr>
          <w:rFonts w:hint="eastAsia" w:ascii="仿宋" w:hAnsi="仿宋" w:eastAsia="仿宋" w:cs="仿宋"/>
          <w:bCs/>
          <w:color w:val="000000" w:themeColor="text1"/>
          <w:kern w:val="0"/>
          <w:sz w:val="28"/>
          <w:szCs w:val="28"/>
          <w14:textFill>
            <w14:solidFill>
              <w14:schemeClr w14:val="tx1"/>
            </w14:solidFill>
          </w14:textFill>
        </w:rPr>
        <w:t>在</w:t>
      </w:r>
      <w:r>
        <w:rPr>
          <w:rFonts w:hint="eastAsia" w:ascii="仿宋" w:hAnsi="仿宋" w:eastAsia="仿宋" w:cs="宋体"/>
          <w:color w:val="000000"/>
          <w:sz w:val="28"/>
          <w:szCs w:val="28"/>
        </w:rPr>
        <w:t>杨春湖院区智慧医院系统建设项目（第一期）项目</w:t>
      </w:r>
      <w:r>
        <w:rPr>
          <w:rFonts w:hint="eastAsia" w:ascii="仿宋" w:hAnsi="仿宋" w:eastAsia="仿宋" w:cs="仿宋"/>
          <w:bCs/>
          <w:color w:val="000000" w:themeColor="text1"/>
          <w:kern w:val="0"/>
          <w:sz w:val="28"/>
          <w:szCs w:val="28"/>
          <w14:textFill>
            <w14:solidFill>
              <w14:schemeClr w14:val="tx1"/>
            </w14:solidFill>
          </w14:textFill>
        </w:rPr>
        <w:t>建设过程中提供密码应用指导和建议；</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ascii="仿宋" w:hAnsi="仿宋" w:eastAsia="仿宋" w:cs="仿宋"/>
          <w:kern w:val="0"/>
          <w:sz w:val="28"/>
          <w:szCs w:val="28"/>
        </w:rPr>
        <w:t>5.</w:t>
      </w:r>
      <w:r>
        <w:rPr>
          <w:rFonts w:hint="eastAsia" w:ascii="仿宋" w:hAnsi="仿宋" w:eastAsia="仿宋" w:cs="仿宋"/>
          <w:bCs/>
          <w:color w:val="000000" w:themeColor="text1"/>
          <w:kern w:val="0"/>
          <w:sz w:val="28"/>
          <w:szCs w:val="28"/>
          <w14:textFill>
            <w14:solidFill>
              <w14:schemeClr w14:val="tx1"/>
            </w14:solidFill>
          </w14:textFill>
        </w:rPr>
        <w:t>提供现场答疑和整个项目服务周期内电话咨询服务；</w:t>
      </w:r>
    </w:p>
    <w:p>
      <w:pPr>
        <w:adjustRightInd w:val="0"/>
        <w:snapToGrid w:val="0"/>
        <w:spacing w:before="1" w:line="576" w:lineRule="exact"/>
        <w:ind w:firstLine="560" w:firstLineChars="200"/>
        <w:jc w:val="left"/>
        <w:rPr>
          <w:rFonts w:ascii="仿宋" w:hAnsi="仿宋" w:eastAsia="仿宋" w:cs="仿宋"/>
          <w:bCs/>
          <w:color w:val="000000" w:themeColor="text1"/>
          <w:kern w:val="0"/>
          <w:sz w:val="28"/>
          <w:szCs w:val="28"/>
          <w14:textFill>
            <w14:solidFill>
              <w14:schemeClr w14:val="tx1"/>
            </w14:solidFill>
          </w14:textFill>
        </w:rPr>
      </w:pPr>
      <w:r>
        <w:rPr>
          <w:rFonts w:ascii="仿宋" w:hAnsi="仿宋" w:eastAsia="仿宋" w:cs="仿宋"/>
          <w:kern w:val="0"/>
          <w:sz w:val="28"/>
          <w:szCs w:val="28"/>
        </w:rPr>
        <w:t>6.</w:t>
      </w:r>
      <w:r>
        <w:rPr>
          <w:rFonts w:hint="eastAsia" w:ascii="仿宋" w:hAnsi="仿宋" w:eastAsia="仿宋" w:cs="仿宋"/>
          <w:bCs/>
          <w:color w:val="000000" w:themeColor="text1"/>
          <w:kern w:val="0"/>
          <w:sz w:val="28"/>
          <w:szCs w:val="28"/>
          <w14:textFill>
            <w14:solidFill>
              <w14:schemeClr w14:val="tx1"/>
            </w14:solidFill>
          </w14:textFill>
        </w:rPr>
        <w:t>协助</w:t>
      </w:r>
      <w:r>
        <w:rPr>
          <w:rFonts w:hint="eastAsia" w:ascii="仿宋" w:hAnsi="仿宋" w:eastAsia="仿宋" w:cs="仿宋"/>
          <w:kern w:val="0"/>
          <w:sz w:val="28"/>
          <w:szCs w:val="28"/>
        </w:rPr>
        <w:t>采购人</w:t>
      </w:r>
      <w:r>
        <w:rPr>
          <w:rFonts w:hint="eastAsia" w:ascii="仿宋" w:hAnsi="仿宋" w:eastAsia="仿宋" w:cs="仿宋"/>
          <w:bCs/>
          <w:color w:val="000000" w:themeColor="text1"/>
          <w:kern w:val="0"/>
          <w:sz w:val="28"/>
          <w:szCs w:val="28"/>
          <w14:textFill>
            <w14:solidFill>
              <w14:schemeClr w14:val="tx1"/>
            </w14:solidFill>
          </w14:textFill>
        </w:rPr>
        <w:t>完成与安全性评估服务相关的其他工作。</w:t>
      </w:r>
    </w:p>
    <w:p>
      <w:pPr>
        <w:adjustRightInd w:val="0"/>
        <w:snapToGrid w:val="0"/>
        <w:spacing w:line="576"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kern w:val="0"/>
          <w:sz w:val="28"/>
          <w:szCs w:val="28"/>
        </w:rPr>
        <w:t>7.服务成果：</w:t>
      </w:r>
      <w:r>
        <w:rPr>
          <w:rFonts w:hint="eastAsia" w:ascii="仿宋" w:hAnsi="仿宋" w:eastAsia="仿宋" w:cs="宋体"/>
          <w:color w:val="000000"/>
          <w:sz w:val="28"/>
          <w:szCs w:val="28"/>
          <w:lang w:eastAsia="zh-CN"/>
        </w:rPr>
        <w:t>“</w:t>
      </w:r>
      <w:r>
        <w:rPr>
          <w:rFonts w:hint="eastAsia" w:ascii="仿宋" w:hAnsi="仿宋" w:eastAsia="仿宋" w:cs="仿宋"/>
          <w:sz w:val="28"/>
          <w:szCs w:val="28"/>
        </w:rPr>
        <w:t>杨春湖院区智慧医院系统建设项目（第一期）项目</w:t>
      </w:r>
      <w:r>
        <w:rPr>
          <w:rFonts w:hint="eastAsia" w:ascii="仿宋" w:hAnsi="仿宋" w:eastAsia="仿宋" w:cs="宋体"/>
          <w:color w:val="000000"/>
          <w:sz w:val="28"/>
          <w:szCs w:val="28"/>
          <w:lang w:eastAsia="zh-CN"/>
        </w:rPr>
        <w:t>”</w:t>
      </w:r>
      <w:r>
        <w:rPr>
          <w:rFonts w:hint="eastAsia" w:ascii="仿宋" w:hAnsi="仿宋" w:eastAsia="仿宋" w:cs="宋体"/>
          <w:color w:val="000000"/>
          <w:sz w:val="28"/>
          <w:szCs w:val="28"/>
          <w:lang w:val="en-US" w:eastAsia="zh-CN"/>
        </w:rPr>
        <w:t>相关2个系统（名称待定）分别出具</w:t>
      </w:r>
      <w:r>
        <w:rPr>
          <w:rFonts w:hint="eastAsia" w:ascii="仿宋" w:hAnsi="仿宋" w:eastAsia="仿宋" w:cs="宋体"/>
          <w:color w:val="000000"/>
          <w:sz w:val="28"/>
          <w:szCs w:val="28"/>
        </w:rPr>
        <w:t>《</w:t>
      </w:r>
      <w:r>
        <w:rPr>
          <w:rFonts w:hint="eastAsia" w:ascii="仿宋" w:hAnsi="仿宋" w:eastAsia="仿宋" w:cs="仿宋"/>
          <w:sz w:val="28"/>
          <w:szCs w:val="28"/>
        </w:rPr>
        <w:t>商用密码应用安全性评估报告</w:t>
      </w:r>
      <w:r>
        <w:rPr>
          <w:rFonts w:hint="eastAsia" w:ascii="仿宋" w:hAnsi="仿宋" w:eastAsia="仿宋" w:cs="仿宋"/>
          <w:sz w:val="28"/>
          <w:szCs w:val="28"/>
          <w:lang w:eastAsia="zh-CN"/>
        </w:rPr>
        <w:t>》《</w:t>
      </w:r>
      <w:r>
        <w:rPr>
          <w:rFonts w:hint="eastAsia" w:ascii="仿宋" w:hAnsi="仿宋" w:eastAsia="仿宋" w:cs="仿宋"/>
          <w:sz w:val="28"/>
          <w:szCs w:val="28"/>
        </w:rPr>
        <w:t>杨春湖院区智慧医院系统建设项目（第一期）商用密码应用安全性评估差距分析报告》</w:t>
      </w:r>
      <w:r>
        <w:rPr>
          <w:rFonts w:hint="eastAsia" w:ascii="仿宋" w:hAnsi="仿宋" w:eastAsia="仿宋" w:cs="仿宋"/>
          <w:sz w:val="28"/>
          <w:szCs w:val="28"/>
          <w:lang w:eastAsia="zh-CN"/>
        </w:rPr>
        <w:t>。</w:t>
      </w:r>
    </w:p>
    <w:p>
      <w:pPr>
        <w:pStyle w:val="6"/>
        <w:numPr>
          <w:ilvl w:val="0"/>
          <w:numId w:val="2"/>
        </w:numPr>
        <w:adjustRightInd w:val="0"/>
        <w:snapToGrid w:val="0"/>
        <w:spacing w:before="0" w:after="0" w:line="576" w:lineRule="exact"/>
        <w:ind w:left="0" w:firstLine="560" w:firstLineChars="200"/>
        <w:jc w:val="left"/>
        <w:rPr>
          <w:rFonts w:ascii="仿宋" w:hAnsi="仿宋" w:eastAsia="仿宋" w:cs="仿宋"/>
          <w:lang w:val="zh-CN"/>
        </w:rPr>
      </w:pPr>
      <w:r>
        <w:rPr>
          <w:rFonts w:hint="eastAsia" w:ascii="仿宋" w:hAnsi="仿宋" w:eastAsia="仿宋" w:cs="仿宋"/>
          <w:lang w:val="zh-CN"/>
        </w:rPr>
        <w:t>工作要求</w:t>
      </w:r>
    </w:p>
    <w:p>
      <w:pPr>
        <w:pStyle w:val="7"/>
        <w:keepNext w:val="0"/>
        <w:keepLines w:val="0"/>
        <w:numPr>
          <w:ilvl w:val="1"/>
          <w:numId w:val="3"/>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投标人应详细描述本次项目的整体实施方案，包括项目概述、技术方案、项目实施方案、测试过程中需使用测试设备清单、时间安排、阶段性文档提交和验收标准等。</w:t>
      </w:r>
    </w:p>
    <w:p>
      <w:pPr>
        <w:pStyle w:val="7"/>
        <w:keepNext w:val="0"/>
        <w:keepLines w:val="0"/>
        <w:numPr>
          <w:ilvl w:val="1"/>
          <w:numId w:val="3"/>
        </w:numPr>
        <w:adjustRightInd w:val="0"/>
        <w:snapToGrid w:val="0"/>
        <w:spacing w:before="0" w:after="0" w:line="576" w:lineRule="exact"/>
        <w:ind w:firstLine="403"/>
        <w:jc w:val="left"/>
        <w:rPr>
          <w:rFonts w:ascii="仿宋" w:hAnsi="仿宋" w:eastAsia="仿宋" w:cs="仿宋"/>
          <w:b w:val="0"/>
          <w:bCs/>
          <w:szCs w:val="28"/>
        </w:rPr>
      </w:pPr>
      <w:r>
        <w:rPr>
          <w:rFonts w:hint="eastAsia" w:ascii="仿宋" w:hAnsi="仿宋" w:eastAsia="仿宋" w:cs="仿宋"/>
          <w:b w:val="0"/>
          <w:bCs/>
          <w:szCs w:val="28"/>
        </w:rPr>
        <w:t>检测需要的运行环境（如场地、网络环境等）由招标人提供，投标人应详细描述需要的运行环境的具体要求。</w:t>
      </w:r>
    </w:p>
    <w:p>
      <w:pPr>
        <w:pStyle w:val="7"/>
        <w:keepNext w:val="0"/>
        <w:keepLines w:val="0"/>
        <w:numPr>
          <w:ilvl w:val="1"/>
          <w:numId w:val="3"/>
        </w:numPr>
        <w:adjustRightInd w:val="0"/>
        <w:snapToGrid w:val="0"/>
        <w:spacing w:before="0" w:after="0" w:line="576" w:lineRule="exact"/>
        <w:ind w:firstLine="403"/>
        <w:jc w:val="left"/>
        <w:rPr>
          <w:rFonts w:ascii="仿宋" w:hAnsi="仿宋" w:eastAsia="仿宋" w:cs="仿宋"/>
          <w:b w:val="0"/>
          <w:bCs/>
          <w:szCs w:val="28"/>
        </w:rPr>
      </w:pPr>
      <w:r>
        <w:rPr>
          <w:rFonts w:hint="eastAsia" w:ascii="仿宋" w:hAnsi="仿宋" w:eastAsia="仿宋" w:cs="仿宋"/>
          <w:b w:val="0"/>
          <w:bCs/>
          <w:szCs w:val="28"/>
        </w:rPr>
        <w:t>投标人应提供针对本项目的工期要求和人员要求进行详细解读，提供详实、可行进度计划及保障措施。</w:t>
      </w:r>
    </w:p>
    <w:p>
      <w:pPr>
        <w:pStyle w:val="7"/>
        <w:keepNext w:val="0"/>
        <w:keepLines w:val="0"/>
        <w:numPr>
          <w:ilvl w:val="1"/>
          <w:numId w:val="3"/>
        </w:numPr>
        <w:adjustRightInd w:val="0"/>
        <w:snapToGrid w:val="0"/>
        <w:spacing w:before="0" w:after="0" w:line="576" w:lineRule="exact"/>
        <w:ind w:firstLine="403"/>
        <w:jc w:val="left"/>
        <w:rPr>
          <w:rFonts w:ascii="仿宋" w:hAnsi="仿宋" w:eastAsia="仿宋" w:cs="仿宋"/>
          <w:b w:val="0"/>
          <w:bCs/>
          <w:szCs w:val="28"/>
        </w:rPr>
      </w:pPr>
      <w:r>
        <w:rPr>
          <w:rFonts w:hint="eastAsia" w:ascii="仿宋" w:hAnsi="仿宋" w:eastAsia="仿宋" w:cs="仿宋"/>
          <w:b w:val="0"/>
          <w:bCs/>
          <w:szCs w:val="28"/>
        </w:rPr>
        <w:t>投标人应具有良好的资信状况。</w:t>
      </w:r>
    </w:p>
    <w:p>
      <w:pPr>
        <w:pStyle w:val="6"/>
        <w:numPr>
          <w:ilvl w:val="0"/>
          <w:numId w:val="2"/>
        </w:numPr>
        <w:adjustRightInd w:val="0"/>
        <w:snapToGrid w:val="0"/>
        <w:spacing w:before="0" w:after="0" w:line="576" w:lineRule="exact"/>
        <w:ind w:left="0" w:firstLine="560" w:firstLineChars="200"/>
        <w:jc w:val="left"/>
        <w:rPr>
          <w:rFonts w:ascii="仿宋" w:hAnsi="仿宋" w:eastAsia="仿宋" w:cs="仿宋"/>
          <w:lang w:val="zh-CN"/>
        </w:rPr>
      </w:pPr>
      <w:bookmarkStart w:id="0" w:name="_Toc4845"/>
      <w:bookmarkStart w:id="1" w:name="_Toc58490452"/>
      <w:r>
        <w:rPr>
          <w:rFonts w:hint="eastAsia" w:ascii="仿宋" w:hAnsi="仿宋" w:eastAsia="仿宋" w:cs="仿宋"/>
          <w:lang w:val="zh-CN"/>
        </w:rPr>
        <w:t>保密要求</w:t>
      </w:r>
      <w:bookmarkEnd w:id="0"/>
      <w:bookmarkEnd w:id="1"/>
    </w:p>
    <w:p>
      <w:pPr>
        <w:pStyle w:val="7"/>
        <w:keepNext w:val="0"/>
        <w:keepLines w:val="0"/>
        <w:numPr>
          <w:ilvl w:val="1"/>
          <w:numId w:val="4"/>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投标人必须和采购人签订保密协议，投标人</w:t>
      </w:r>
      <w:r>
        <w:rPr>
          <w:rFonts w:hint="eastAsia" w:ascii="仿宋" w:hAnsi="仿宋" w:eastAsia="仿宋" w:cs="仿宋"/>
          <w:b w:val="0"/>
          <w:bCs/>
          <w:szCs w:val="28"/>
          <w:lang w:eastAsia="zh-CN"/>
        </w:rPr>
        <w:t>必须</w:t>
      </w:r>
      <w:bookmarkStart w:id="2" w:name="_GoBack"/>
      <w:bookmarkEnd w:id="2"/>
      <w:r>
        <w:rPr>
          <w:rFonts w:hint="eastAsia" w:ascii="仿宋" w:hAnsi="仿宋" w:eastAsia="仿宋" w:cs="仿宋"/>
          <w:b w:val="0"/>
          <w:bCs/>
          <w:szCs w:val="28"/>
        </w:rPr>
        <w:t>与参加此次项目的所有项目组成员签订保密协议，在合同签订时一并提供给采购人。</w:t>
      </w:r>
    </w:p>
    <w:p>
      <w:pPr>
        <w:pStyle w:val="7"/>
        <w:keepNext w:val="0"/>
        <w:keepLines w:val="0"/>
        <w:numPr>
          <w:ilvl w:val="1"/>
          <w:numId w:val="4"/>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投标人具体实施项目中的重要资料和结果，在项目实施期间和实施结束后，投标人不得带离该地点。</w:t>
      </w:r>
    </w:p>
    <w:p>
      <w:pPr>
        <w:pStyle w:val="7"/>
        <w:keepNext w:val="0"/>
        <w:keepLines w:val="0"/>
        <w:numPr>
          <w:ilvl w:val="1"/>
          <w:numId w:val="4"/>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投标人对本规范书中的内容及在应标过程中接触的设备信息、数据资料等负有保密责任，不得泄露给任何第三方。无论投标人中标与否，其对上述内容的保密责任将长期存在。</w:t>
      </w:r>
    </w:p>
    <w:p>
      <w:pPr>
        <w:pStyle w:val="7"/>
        <w:keepNext w:val="0"/>
        <w:keepLines w:val="0"/>
        <w:numPr>
          <w:ilvl w:val="1"/>
          <w:numId w:val="4"/>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投标人应保守在测评活动中知悉的国家秘密、商业秘密和个人隐私，防范测评风险。</w:t>
      </w:r>
    </w:p>
    <w:p>
      <w:pPr>
        <w:pStyle w:val="7"/>
        <w:keepNext w:val="0"/>
        <w:keepLines w:val="0"/>
        <w:numPr>
          <w:ilvl w:val="1"/>
          <w:numId w:val="4"/>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投标人应对测评人员进行安全保密教育，与其签订安全保密责任书，规定应当履行的安全保密义务和承担的法律责任，并负责检查落实。</w:t>
      </w:r>
    </w:p>
    <w:p>
      <w:pPr>
        <w:pStyle w:val="6"/>
        <w:numPr>
          <w:ilvl w:val="0"/>
          <w:numId w:val="2"/>
        </w:numPr>
        <w:adjustRightInd w:val="0"/>
        <w:snapToGrid w:val="0"/>
        <w:spacing w:before="0" w:after="0" w:line="576" w:lineRule="exact"/>
        <w:ind w:left="0" w:firstLine="560" w:firstLineChars="200"/>
        <w:jc w:val="left"/>
        <w:rPr>
          <w:rFonts w:ascii="仿宋" w:hAnsi="仿宋" w:eastAsia="仿宋" w:cs="仿宋"/>
          <w:lang w:val="zh-CN"/>
        </w:rPr>
      </w:pPr>
      <w:r>
        <w:rPr>
          <w:rFonts w:hint="eastAsia" w:ascii="仿宋" w:hAnsi="仿宋" w:eastAsia="仿宋" w:cs="仿宋"/>
          <w:lang w:val="zh-CN"/>
        </w:rPr>
        <w:t>检测质量要求</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投标人为本项目提供自评测工作结束之日起半年的5×8热线电话支持、电子邮件技术支持服务，必要时可来现场。</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售后服务内容为本项目合同中规定的所有服务范围。</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对出具的测试报告承担责任，有义务为委托方和业主方详细讲解实施过程、实施过程中发现的问题。</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全部实施结束后，投标人将实施过程中的所有管理文档、技术文档以及相关参考文献一并移交给业主。</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投标人承诺项目实施过程中进行2次回归测试，并且在服务期内，可以配合委托方和业主方对项目出现的重大问题进行复测。</w:t>
      </w:r>
    </w:p>
    <w:p>
      <w:pPr>
        <w:pStyle w:val="7"/>
        <w:keepNext w:val="0"/>
        <w:keepLines w:val="0"/>
        <w:numPr>
          <w:ilvl w:val="1"/>
          <w:numId w:val="5"/>
        </w:numPr>
        <w:adjustRightInd w:val="0"/>
        <w:snapToGrid w:val="0"/>
        <w:spacing w:before="0" w:after="0" w:line="576" w:lineRule="exact"/>
        <w:jc w:val="left"/>
        <w:rPr>
          <w:rFonts w:ascii="仿宋" w:hAnsi="仿宋" w:eastAsia="仿宋" w:cs="仿宋"/>
          <w:b w:val="0"/>
          <w:bCs/>
          <w:szCs w:val="28"/>
        </w:rPr>
      </w:pPr>
      <w:r>
        <w:rPr>
          <w:rFonts w:hint="eastAsia" w:ascii="仿宋" w:hAnsi="仿宋" w:eastAsia="仿宋" w:cs="仿宋"/>
          <w:b w:val="0"/>
          <w:bCs/>
          <w:szCs w:val="28"/>
        </w:rPr>
        <w:t>在系统试运行期间，投标人在工作日提供电话远程技术咨询服务，测试委托方可通过咨询电话得到及时的技术支持服务。</w:t>
      </w:r>
    </w:p>
    <w:p>
      <w:pPr>
        <w:pStyle w:val="4"/>
        <w:numPr>
          <w:ilvl w:val="0"/>
          <w:numId w:val="1"/>
        </w:numPr>
        <w:snapToGrid w:val="0"/>
        <w:spacing w:before="0" w:after="0" w:line="576" w:lineRule="exact"/>
        <w:ind w:firstLineChars="0"/>
        <w:jc w:val="left"/>
        <w:rPr>
          <w:rFonts w:ascii="仿宋" w:hAnsi="仿宋" w:eastAsia="仿宋" w:cs="Times New Roman"/>
          <w:b/>
          <w:sz w:val="28"/>
          <w:szCs w:val="28"/>
          <w:lang w:val="zh-CN"/>
        </w:rPr>
      </w:pPr>
      <w:r>
        <w:rPr>
          <w:rFonts w:hint="eastAsia" w:ascii="仿宋" w:hAnsi="仿宋" w:eastAsia="仿宋" w:cs="Times New Roman"/>
          <w:b/>
          <w:sz w:val="28"/>
          <w:szCs w:val="28"/>
          <w:lang w:val="zh-CN"/>
        </w:rPr>
        <w:t>商务要求</w:t>
      </w:r>
    </w:p>
    <w:p>
      <w:pPr>
        <w:pStyle w:val="16"/>
        <w:numPr>
          <w:ilvl w:val="3"/>
          <w:numId w:val="6"/>
        </w:numPr>
        <w:snapToGrid w:val="0"/>
        <w:spacing w:line="576" w:lineRule="exact"/>
        <w:ind w:left="0" w:firstLine="198" w:firstLineChars="0"/>
        <w:jc w:val="left"/>
        <w:rPr>
          <w:rFonts w:ascii="仿宋" w:hAnsi="仿宋" w:eastAsia="仿宋" w:cs="宋体"/>
          <w:color w:val="000000"/>
          <w:sz w:val="28"/>
          <w:szCs w:val="28"/>
        </w:rPr>
      </w:pPr>
      <w:r>
        <w:rPr>
          <w:rFonts w:hint="eastAsia" w:ascii="仿宋" w:hAnsi="仿宋" w:eastAsia="仿宋" w:cs="宋体"/>
          <w:color w:val="000000"/>
          <w:sz w:val="28"/>
          <w:szCs w:val="28"/>
        </w:rPr>
        <w:t>付款方式：</w:t>
      </w:r>
    </w:p>
    <w:p>
      <w:pPr>
        <w:snapToGrid w:val="0"/>
        <w:spacing w:line="576" w:lineRule="exact"/>
        <w:ind w:firstLine="560" w:firstLineChars="200"/>
        <w:jc w:val="left"/>
        <w:rPr>
          <w:rFonts w:ascii="仿宋" w:hAnsi="仿宋" w:eastAsia="仿宋" w:cs="宋体"/>
          <w:color w:val="000000"/>
          <w:sz w:val="28"/>
          <w:szCs w:val="28"/>
        </w:rPr>
      </w:pPr>
      <w:r>
        <w:rPr>
          <w:rFonts w:hint="eastAsia" w:ascii="仿宋" w:hAnsi="仿宋" w:eastAsia="仿宋" w:cs="宋体"/>
          <w:color w:val="000000"/>
          <w:sz w:val="28"/>
          <w:szCs w:val="28"/>
        </w:rPr>
        <w:t>合同费用分2次支付。</w:t>
      </w:r>
    </w:p>
    <w:p>
      <w:pPr>
        <w:snapToGrid w:val="0"/>
        <w:spacing w:line="576" w:lineRule="exact"/>
        <w:ind w:firstLine="560" w:firstLineChars="200"/>
        <w:jc w:val="left"/>
        <w:rPr>
          <w:rFonts w:ascii="仿宋" w:hAnsi="仿宋" w:eastAsia="仿宋" w:cs="宋体"/>
          <w:color w:val="000000"/>
          <w:sz w:val="28"/>
          <w:szCs w:val="28"/>
        </w:rPr>
      </w:pPr>
      <w:r>
        <w:rPr>
          <w:rFonts w:hint="eastAsia" w:ascii="仿宋" w:hAnsi="仿宋" w:eastAsia="仿宋" w:cs="宋体"/>
          <w:color w:val="000000"/>
          <w:sz w:val="28"/>
          <w:szCs w:val="28"/>
        </w:rPr>
        <w:t>首付款：合同签订之后采购人收到中标单位发票的15个工作日内由采购人支付给中标单位项目经费的30%作为首付款；</w:t>
      </w:r>
    </w:p>
    <w:p>
      <w:pPr>
        <w:snapToGrid w:val="0"/>
        <w:spacing w:line="576" w:lineRule="exact"/>
        <w:ind w:firstLine="560" w:firstLineChars="200"/>
        <w:jc w:val="left"/>
        <w:rPr>
          <w:rFonts w:ascii="仿宋" w:hAnsi="仿宋" w:eastAsia="仿宋" w:cs="宋体"/>
          <w:color w:val="000000"/>
          <w:sz w:val="28"/>
          <w:szCs w:val="28"/>
        </w:rPr>
      </w:pPr>
      <w:r>
        <w:rPr>
          <w:rFonts w:hint="eastAsia" w:ascii="仿宋" w:hAnsi="仿宋" w:eastAsia="仿宋" w:cs="宋体"/>
          <w:color w:val="000000"/>
          <w:sz w:val="28"/>
          <w:szCs w:val="28"/>
        </w:rPr>
        <w:t>验收款：</w:t>
      </w:r>
      <w:r>
        <w:rPr>
          <w:rFonts w:hint="eastAsia" w:ascii="仿宋" w:hAnsi="仿宋" w:eastAsia="仿宋" w:cs="宋体"/>
          <w:color w:val="000000"/>
          <w:sz w:val="28"/>
          <w:szCs w:val="28"/>
          <w:lang w:val="en-US" w:eastAsia="zh-CN"/>
        </w:rPr>
        <w:t>达到验收标准</w:t>
      </w:r>
      <w:r>
        <w:rPr>
          <w:rFonts w:hint="eastAsia" w:ascii="仿宋" w:hAnsi="仿宋" w:eastAsia="仿宋" w:cs="宋体"/>
          <w:color w:val="000000"/>
          <w:sz w:val="28"/>
          <w:szCs w:val="28"/>
        </w:rPr>
        <w:t>，且采购人收到中标单位发票的15个工作日内，由采购人支付给中标单位项目经费的70%作为验收款。</w:t>
      </w:r>
    </w:p>
    <w:p>
      <w:pPr>
        <w:pStyle w:val="16"/>
        <w:numPr>
          <w:ilvl w:val="3"/>
          <w:numId w:val="6"/>
        </w:numPr>
        <w:snapToGrid w:val="0"/>
        <w:spacing w:line="576" w:lineRule="exact"/>
        <w:ind w:left="0" w:firstLine="198" w:firstLineChars="0"/>
        <w:jc w:val="left"/>
        <w:rPr>
          <w:rFonts w:ascii="仿宋" w:hAnsi="仿宋" w:eastAsia="仿宋" w:cs="宋体"/>
          <w:color w:val="000000"/>
          <w:sz w:val="28"/>
          <w:szCs w:val="28"/>
        </w:rPr>
      </w:pPr>
      <w:r>
        <w:rPr>
          <w:rFonts w:hint="eastAsia" w:ascii="仿宋" w:hAnsi="仿宋" w:eastAsia="仿宋" w:cs="宋体"/>
          <w:color w:val="000000"/>
          <w:sz w:val="28"/>
          <w:szCs w:val="28"/>
        </w:rPr>
        <w:t>验收标准：</w:t>
      </w:r>
    </w:p>
    <w:p>
      <w:pPr>
        <w:snapToGrid w:val="0"/>
        <w:spacing w:line="576" w:lineRule="exact"/>
        <w:ind w:firstLine="560" w:firstLineChars="200"/>
        <w:jc w:val="left"/>
        <w:rPr>
          <w:rFonts w:ascii="仿宋" w:hAnsi="仿宋" w:eastAsia="仿宋" w:cs="宋体"/>
          <w:color w:val="000000"/>
          <w:sz w:val="28"/>
          <w:szCs w:val="28"/>
        </w:rPr>
      </w:pPr>
      <w:r>
        <w:rPr>
          <w:rFonts w:hint="eastAsia" w:ascii="仿宋" w:hAnsi="仿宋" w:eastAsia="仿宋" w:cs="宋体"/>
          <w:color w:val="000000"/>
          <w:sz w:val="28"/>
          <w:szCs w:val="28"/>
        </w:rPr>
        <w:t>一、投标人提交全部项目成果物；</w:t>
      </w:r>
    </w:p>
    <w:p>
      <w:pPr>
        <w:snapToGrid w:val="0"/>
        <w:spacing w:line="576" w:lineRule="exact"/>
        <w:ind w:firstLine="560" w:firstLineChars="200"/>
        <w:jc w:val="left"/>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二、杨春湖院区智慧医院系统建设项目（第一期）项目整体项目验收通过</w:t>
      </w:r>
      <w:r>
        <w:rPr>
          <w:rFonts w:hint="eastAsia" w:ascii="仿宋" w:hAnsi="仿宋" w:eastAsia="仿宋" w:cs="宋体"/>
          <w:color w:val="000000"/>
          <w:sz w:val="28"/>
          <w:szCs w:val="28"/>
          <w:lang w:eastAsia="zh-CN"/>
        </w:rPr>
        <w:t>；</w:t>
      </w:r>
    </w:p>
    <w:p>
      <w:pPr>
        <w:snapToGrid w:val="0"/>
        <w:spacing w:line="576" w:lineRule="exact"/>
        <w:ind w:firstLine="560" w:firstLineChars="200"/>
        <w:jc w:val="left"/>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三、</w:t>
      </w:r>
      <w:r>
        <w:rPr>
          <w:rFonts w:hint="eastAsia" w:ascii="仿宋" w:hAnsi="仿宋" w:eastAsia="仿宋" w:cs="宋体"/>
          <w:color w:val="000000"/>
          <w:sz w:val="28"/>
          <w:szCs w:val="28"/>
        </w:rPr>
        <w:t>中标单位提供</w:t>
      </w:r>
      <w:r>
        <w:rPr>
          <w:rFonts w:hint="eastAsia" w:ascii="仿宋" w:hAnsi="仿宋" w:eastAsia="仿宋" w:cs="宋体"/>
          <w:color w:val="000000"/>
          <w:sz w:val="28"/>
          <w:szCs w:val="28"/>
          <w:lang w:eastAsia="zh-CN"/>
        </w:rPr>
        <w:t>“</w:t>
      </w:r>
      <w:r>
        <w:rPr>
          <w:rFonts w:hint="eastAsia" w:ascii="仿宋" w:hAnsi="仿宋" w:eastAsia="仿宋" w:cs="仿宋"/>
          <w:sz w:val="28"/>
          <w:szCs w:val="28"/>
        </w:rPr>
        <w:t>杨春湖院区智慧医院系统建设项目（第一期）项目</w:t>
      </w:r>
      <w:r>
        <w:rPr>
          <w:rFonts w:hint="eastAsia" w:ascii="仿宋" w:hAnsi="仿宋" w:eastAsia="仿宋" w:cs="宋体"/>
          <w:color w:val="000000"/>
          <w:sz w:val="28"/>
          <w:szCs w:val="28"/>
          <w:lang w:eastAsia="zh-CN"/>
        </w:rPr>
        <w:t>”</w:t>
      </w:r>
      <w:r>
        <w:rPr>
          <w:rFonts w:hint="eastAsia" w:ascii="仿宋" w:hAnsi="仿宋" w:eastAsia="仿宋" w:cs="宋体"/>
          <w:color w:val="000000"/>
          <w:sz w:val="28"/>
          <w:szCs w:val="28"/>
          <w:lang w:val="en-US" w:eastAsia="zh-CN"/>
        </w:rPr>
        <w:t>相关2个系统（名称待定）</w:t>
      </w:r>
      <w:r>
        <w:rPr>
          <w:rFonts w:hint="eastAsia" w:ascii="仿宋" w:hAnsi="仿宋" w:eastAsia="仿宋" w:cs="宋体"/>
          <w:color w:val="000000"/>
          <w:sz w:val="28"/>
          <w:szCs w:val="28"/>
        </w:rPr>
        <w:t>《</w:t>
      </w:r>
      <w:r>
        <w:rPr>
          <w:rFonts w:hint="eastAsia" w:ascii="仿宋" w:hAnsi="仿宋" w:eastAsia="仿宋" w:cs="仿宋"/>
          <w:sz w:val="28"/>
          <w:szCs w:val="28"/>
        </w:rPr>
        <w:t>商用密码应用安全性评估报告</w:t>
      </w:r>
      <w:r>
        <w:rPr>
          <w:rFonts w:hint="eastAsia" w:ascii="仿宋" w:hAnsi="仿宋" w:eastAsia="仿宋" w:cs="仿宋"/>
          <w:sz w:val="28"/>
          <w:szCs w:val="28"/>
          <w:lang w:eastAsia="zh-CN"/>
        </w:rPr>
        <w:t>》《</w:t>
      </w:r>
      <w:r>
        <w:rPr>
          <w:rFonts w:hint="eastAsia" w:ascii="仿宋" w:hAnsi="仿宋" w:eastAsia="仿宋" w:cs="仿宋"/>
          <w:sz w:val="28"/>
          <w:szCs w:val="28"/>
        </w:rPr>
        <w:t>杨春湖院区智慧医院系统建设项目（第一期）商用密码应用安全性评估差距分析报告》</w:t>
      </w:r>
      <w:r>
        <w:rPr>
          <w:rFonts w:hint="eastAsia" w:ascii="仿宋" w:hAnsi="仿宋" w:eastAsia="仿宋" w:cs="仿宋"/>
          <w:sz w:val="28"/>
          <w:szCs w:val="28"/>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长城仿宋">
    <w:altName w:val="宋体"/>
    <w:panose1 w:val="020B0604020202020204"/>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9174D"/>
    <w:multiLevelType w:val="multilevel"/>
    <w:tmpl w:val="0799174D"/>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sz w:val="30"/>
        <w:szCs w:val="30"/>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26C3349A"/>
    <w:multiLevelType w:val="multilevel"/>
    <w:tmpl w:val="26C3349A"/>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sz w:val="30"/>
        <w:szCs w:val="30"/>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2">
    <w:nsid w:val="661D44AF"/>
    <w:multiLevelType w:val="multilevel"/>
    <w:tmpl w:val="661D44AF"/>
    <w:lvl w:ilvl="0" w:tentative="0">
      <w:start w:val="1"/>
      <w:numFmt w:val="chineseCountingThousand"/>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74BF1C96"/>
    <w:multiLevelType w:val="multilevel"/>
    <w:tmpl w:val="74BF1C9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574650"/>
    <w:multiLevelType w:val="multilevel"/>
    <w:tmpl w:val="76574650"/>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B8205C2"/>
    <w:multiLevelType w:val="multilevel"/>
    <w:tmpl w:val="7B8205C2"/>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sz w:val="30"/>
        <w:szCs w:val="30"/>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kYWQyNTk4ZTdlOTIyNWM4ZWQ1MTE5NDQ2NTFjZjgifQ=="/>
  </w:docVars>
  <w:rsids>
    <w:rsidRoot w:val="1E8375AA"/>
    <w:rsid w:val="000429F6"/>
    <w:rsid w:val="00A7317E"/>
    <w:rsid w:val="00AD4307"/>
    <w:rsid w:val="04DC4690"/>
    <w:rsid w:val="0843388F"/>
    <w:rsid w:val="09E43C48"/>
    <w:rsid w:val="0A4F2875"/>
    <w:rsid w:val="0AC83EEC"/>
    <w:rsid w:val="0D4241C4"/>
    <w:rsid w:val="111C04C3"/>
    <w:rsid w:val="16403EF0"/>
    <w:rsid w:val="1DA4489F"/>
    <w:rsid w:val="1E8375AA"/>
    <w:rsid w:val="20FB5201"/>
    <w:rsid w:val="26B7240F"/>
    <w:rsid w:val="26E7605B"/>
    <w:rsid w:val="279544FE"/>
    <w:rsid w:val="29D654DD"/>
    <w:rsid w:val="29FD45DD"/>
    <w:rsid w:val="2C6E3570"/>
    <w:rsid w:val="2F995632"/>
    <w:rsid w:val="39EE7986"/>
    <w:rsid w:val="3CD94A35"/>
    <w:rsid w:val="43C8590D"/>
    <w:rsid w:val="46DC68D2"/>
    <w:rsid w:val="48E64762"/>
    <w:rsid w:val="49697141"/>
    <w:rsid w:val="51A76A58"/>
    <w:rsid w:val="51E71B9C"/>
    <w:rsid w:val="55777DFF"/>
    <w:rsid w:val="56F00EA2"/>
    <w:rsid w:val="5A1530F9"/>
    <w:rsid w:val="5A320B68"/>
    <w:rsid w:val="5B022F52"/>
    <w:rsid w:val="5E115063"/>
    <w:rsid w:val="61A403C0"/>
    <w:rsid w:val="699456BD"/>
    <w:rsid w:val="6E6A3C0F"/>
    <w:rsid w:val="6EEE4B8C"/>
    <w:rsid w:val="70BA5DD5"/>
    <w:rsid w:val="79EB75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5"/>
    <w:unhideWhenUsed/>
    <w:qFormat/>
    <w:uiPriority w:val="9"/>
    <w:pPr>
      <w:adjustRightInd w:val="0"/>
      <w:spacing w:before="160" w:after="160" w:line="560" w:lineRule="exact"/>
      <w:ind w:firstLine="200" w:firstLineChars="200"/>
      <w:outlineLvl w:val="2"/>
    </w:pPr>
    <w:rPr>
      <w:rFonts w:eastAsia="楷体"/>
      <w:bCs/>
      <w:szCs w:val="32"/>
    </w:rPr>
  </w:style>
  <w:style w:type="paragraph" w:styleId="6">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Cs/>
      <w:sz w:val="28"/>
      <w:szCs w:val="28"/>
    </w:rPr>
  </w:style>
  <w:style w:type="paragraph" w:styleId="7">
    <w:name w:val="heading 5"/>
    <w:basedOn w:val="1"/>
    <w:next w:val="1"/>
    <w:unhideWhenUsed/>
    <w:qFormat/>
    <w:uiPriority w:val="0"/>
    <w:pPr>
      <w:keepNext/>
      <w:keepLines/>
      <w:spacing w:before="280" w:after="290" w:line="372" w:lineRule="auto"/>
      <w:outlineLvl w:val="4"/>
    </w:pPr>
    <w:rPr>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5">
    <w:name w:val="文档正文"/>
    <w:basedOn w:val="1"/>
    <w:qFormat/>
    <w:uiPriority w:val="0"/>
    <w:pPr>
      <w:ind w:firstLine="567"/>
    </w:pPr>
    <w:rPr>
      <w:rFonts w:ascii="长城仿宋" w:hAnsi="Times New Roman" w:eastAsia="长城仿宋" w:cs="Times New Roman"/>
      <w:sz w:val="28"/>
      <w:szCs w:val="20"/>
    </w:rPr>
  </w:style>
  <w:style w:type="paragraph" w:styleId="8">
    <w:name w:val="annotation text"/>
    <w:basedOn w:val="1"/>
    <w:unhideWhenUsed/>
    <w:qFormat/>
    <w:uiPriority w:val="0"/>
    <w:pPr>
      <w:jc w:val="left"/>
    </w:pPr>
  </w:style>
  <w:style w:type="paragraph" w:styleId="9">
    <w:name w:val="Body Text"/>
    <w:basedOn w:val="1"/>
    <w:next w:val="10"/>
    <w:qFormat/>
    <w:uiPriority w:val="0"/>
    <w:pPr>
      <w:spacing w:after="120" w:line="360" w:lineRule="auto"/>
      <w:ind w:firstLine="200" w:firstLineChars="200"/>
    </w:pPr>
    <w:rPr>
      <w:rFonts w:ascii="Times New Roman" w:hAnsi="Times New Roman"/>
      <w:szCs w:val="24"/>
    </w:rPr>
  </w:style>
  <w:style w:type="paragraph" w:styleId="10">
    <w:name w:val="Body Text 2"/>
    <w:basedOn w:val="1"/>
    <w:unhideWhenUsed/>
    <w:qFormat/>
    <w:uiPriority w:val="0"/>
    <w:pPr>
      <w:spacing w:after="120" w:line="480" w:lineRule="auto"/>
    </w:p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14">
    <w:name w:val="annotation reference"/>
    <w:basedOn w:val="13"/>
    <w:qFormat/>
    <w:uiPriority w:val="0"/>
    <w:rPr>
      <w:sz w:val="21"/>
      <w:szCs w:val="21"/>
    </w:rPr>
  </w:style>
  <w:style w:type="paragraph" w:customStyle="1" w:styleId="15">
    <w:name w:val="表格文字"/>
    <w:basedOn w:val="1"/>
    <w:qFormat/>
    <w:uiPriority w:val="0"/>
    <w:pPr>
      <w:adjustRightInd w:val="0"/>
      <w:spacing w:line="360" w:lineRule="auto"/>
      <w:textAlignment w:val="baseline"/>
    </w:pPr>
    <w:rPr>
      <w:rFonts w:ascii="Arial" w:hAnsi="Arial" w:eastAsia="仿宋_GB2312"/>
      <w:kern w:val="0"/>
      <w:sz w:val="24"/>
      <w:szCs w:val="24"/>
    </w:rPr>
  </w:style>
  <w:style w:type="paragraph" w:styleId="16">
    <w:name w:val="List Paragraph"/>
    <w:basedOn w:val="1"/>
    <w:qFormat/>
    <w:uiPriority w:val="34"/>
    <w:pPr>
      <w:ind w:firstLine="420" w:firstLineChars="200"/>
    </w:pPr>
  </w:style>
  <w:style w:type="paragraph" w:customStyle="1" w:styleId="17">
    <w:name w:val="*正文"/>
    <w:basedOn w:val="1"/>
    <w:qFormat/>
    <w:uiPriority w:val="0"/>
    <w:pPr>
      <w:adjustRightInd w:val="0"/>
      <w:snapToGrid w:val="0"/>
      <w:spacing w:after="120" w:line="360" w:lineRule="auto"/>
      <w:ind w:firstLine="480" w:firstLineChars="200"/>
    </w:pPr>
    <w:rPr>
      <w:rFonts w:ascii="宋体" w:hAnsi="宋体" w:eastAsia="仿宋" w:cs="Times New Roman"/>
      <w:kern w:val="0"/>
      <w:sz w:val="28"/>
      <w:szCs w:val="24"/>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920</Words>
  <Characters>5250</Characters>
  <Lines>43</Lines>
  <Paragraphs>12</Paragraphs>
  <TotalTime>0</TotalTime>
  <ScaleCrop>false</ScaleCrop>
  <LinksUpToDate>false</LinksUpToDate>
  <CharactersWithSpaces>6158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2023-12-27T10:35:00Z</dcterms:created>
  <dc:creator>杨谨菲</dc:creator>
  <cp:lastModifiedBy>杨谨菲</cp:lastModifiedBy>
  <dcterms:modified xsi:type="dcterms:W3CDTF">2024-04-26T09:19:16Z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B69C17D623644A798AF4FBD1D5094945_13</vt:lpwstr>
  </property>
</Properties>
</file>