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037B0C">
      <w:pPr>
        <w:tabs>
          <w:tab w:val="left" w:pos="3120"/>
          <w:tab w:val="center" w:pos="4308"/>
        </w:tabs>
        <w:ind w:firstLine="0"/>
        <w:rPr>
          <w:rFonts w:asciiTheme="minorEastAsia" w:hAnsiTheme="minorEastAsia" w:eastAsiaTheme="minorEastAsia"/>
          <w:b/>
        </w:rPr>
      </w:pPr>
      <w:r>
        <w:rPr>
          <w:rFonts w:asciiTheme="minorEastAsia" w:hAnsiTheme="minorEastAsia" w:eastAsiaTheme="minorEastAsia"/>
          <w:b/>
        </w:rPr>
        <w:tab/>
      </w:r>
    </w:p>
    <w:p w14:paraId="40848F42">
      <w:pPr>
        <w:tabs>
          <w:tab w:val="left" w:pos="3120"/>
          <w:tab w:val="center" w:pos="4308"/>
        </w:tabs>
        <w:ind w:firstLine="0"/>
        <w:rPr>
          <w:rFonts w:asciiTheme="minorEastAsia" w:hAnsiTheme="minorEastAsia" w:eastAsiaTheme="minorEastAsia"/>
          <w:b/>
        </w:rPr>
      </w:pPr>
    </w:p>
    <w:p w14:paraId="02C8801E">
      <w:pPr>
        <w:tabs>
          <w:tab w:val="left" w:pos="3120"/>
          <w:tab w:val="center" w:pos="4308"/>
        </w:tabs>
        <w:ind w:firstLine="0"/>
        <w:rPr>
          <w:rFonts w:asciiTheme="minorEastAsia" w:hAnsiTheme="minorEastAsia" w:eastAsiaTheme="minorEastAsia"/>
          <w:b/>
        </w:rPr>
      </w:pPr>
    </w:p>
    <w:p w14:paraId="235D3035">
      <w:pPr>
        <w:tabs>
          <w:tab w:val="left" w:pos="3120"/>
          <w:tab w:val="center" w:pos="4308"/>
        </w:tabs>
        <w:ind w:firstLine="0"/>
        <w:rPr>
          <w:rFonts w:asciiTheme="minorEastAsia" w:hAnsiTheme="minorEastAsia" w:eastAsiaTheme="minorEastAsia"/>
          <w:b/>
        </w:rPr>
      </w:pPr>
    </w:p>
    <w:p w14:paraId="7F9DC0C5">
      <w:pPr>
        <w:tabs>
          <w:tab w:val="left" w:pos="3120"/>
          <w:tab w:val="center" w:pos="4308"/>
        </w:tabs>
        <w:ind w:firstLine="0"/>
        <w:rPr>
          <w:rFonts w:asciiTheme="minorEastAsia" w:hAnsiTheme="minorEastAsia" w:eastAsiaTheme="minorEastAsia"/>
          <w:b/>
        </w:rPr>
      </w:pPr>
    </w:p>
    <w:p w14:paraId="63E91859">
      <w:pPr>
        <w:tabs>
          <w:tab w:val="left" w:pos="3120"/>
          <w:tab w:val="center" w:pos="4308"/>
        </w:tabs>
        <w:ind w:firstLine="0"/>
        <w:rPr>
          <w:rFonts w:asciiTheme="minorEastAsia" w:hAnsiTheme="minorEastAsia" w:eastAsiaTheme="minorEastAsia"/>
          <w:b/>
        </w:rPr>
      </w:pPr>
    </w:p>
    <w:p w14:paraId="2BFEE469">
      <w:pPr>
        <w:ind w:left="420" w:firstLine="0"/>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武汉市中级人民法院202</w:t>
      </w:r>
      <w:r>
        <w:rPr>
          <w:rFonts w:hint="eastAsia" w:asciiTheme="minorEastAsia" w:hAnsiTheme="minorEastAsia" w:eastAsiaTheme="minorEastAsia"/>
          <w:b/>
          <w:sz w:val="44"/>
          <w:szCs w:val="44"/>
          <w:lang w:val="en-US" w:eastAsia="zh-CN"/>
        </w:rPr>
        <w:t>6</w:t>
      </w:r>
      <w:r>
        <w:rPr>
          <w:rFonts w:hint="eastAsia" w:asciiTheme="minorEastAsia" w:hAnsiTheme="minorEastAsia" w:eastAsiaTheme="minorEastAsia"/>
          <w:b/>
          <w:sz w:val="44"/>
          <w:szCs w:val="44"/>
        </w:rPr>
        <w:t>年度</w:t>
      </w:r>
    </w:p>
    <w:p w14:paraId="3B58337A">
      <w:pPr>
        <w:ind w:left="420" w:firstLine="0"/>
        <w:jc w:val="center"/>
        <w:rPr>
          <w:rFonts w:asciiTheme="minorEastAsia" w:hAnsiTheme="minorEastAsia" w:eastAsiaTheme="minorEastAsia"/>
        </w:rPr>
      </w:pPr>
      <w:r>
        <w:rPr>
          <w:rFonts w:hint="eastAsia" w:asciiTheme="minorEastAsia" w:hAnsiTheme="minorEastAsia" w:eastAsiaTheme="minorEastAsia"/>
          <w:b/>
          <w:sz w:val="44"/>
          <w:szCs w:val="44"/>
          <w:lang w:eastAsia="zh-CN"/>
        </w:rPr>
        <w:t>应用系统</w:t>
      </w:r>
      <w:r>
        <w:rPr>
          <w:rFonts w:hint="eastAsia" w:asciiTheme="minorEastAsia" w:hAnsiTheme="minorEastAsia" w:eastAsiaTheme="minorEastAsia"/>
          <w:b/>
          <w:sz w:val="44"/>
          <w:szCs w:val="44"/>
        </w:rPr>
        <w:t>运维服务采购需求</w:t>
      </w:r>
    </w:p>
    <w:p w14:paraId="7364E505">
      <w:pPr>
        <w:ind w:left="420" w:firstLine="0"/>
        <w:rPr>
          <w:rFonts w:asciiTheme="minorEastAsia" w:hAnsiTheme="minorEastAsia" w:eastAsiaTheme="minorEastAsia"/>
        </w:rPr>
      </w:pPr>
    </w:p>
    <w:p w14:paraId="1C9999F2">
      <w:pPr>
        <w:ind w:left="0" w:leftChars="0" w:firstLine="0" w:firstLineChars="0"/>
        <w:rPr>
          <w:rFonts w:asciiTheme="minorEastAsia" w:hAnsiTheme="minorEastAsia" w:eastAsiaTheme="minorEastAsia"/>
        </w:rPr>
      </w:pPr>
    </w:p>
    <w:p w14:paraId="69AFDC36">
      <w:pPr>
        <w:ind w:left="420" w:firstLine="0"/>
        <w:rPr>
          <w:rFonts w:asciiTheme="minorEastAsia" w:hAnsiTheme="minorEastAsia" w:eastAsiaTheme="minorEastAsia"/>
        </w:rPr>
      </w:pPr>
    </w:p>
    <w:p w14:paraId="1511BBD6">
      <w:pPr>
        <w:ind w:left="420" w:firstLine="0"/>
        <w:rPr>
          <w:rFonts w:asciiTheme="minorEastAsia" w:hAnsiTheme="minorEastAsia" w:eastAsiaTheme="minorEastAsia"/>
        </w:rPr>
      </w:pPr>
    </w:p>
    <w:p w14:paraId="1B7FD4CB">
      <w:pPr>
        <w:pStyle w:val="2"/>
        <w:rPr>
          <w:rFonts w:asciiTheme="minorEastAsia" w:hAnsiTheme="minorEastAsia" w:eastAsiaTheme="minorEastAsia"/>
        </w:rPr>
      </w:pPr>
    </w:p>
    <w:p w14:paraId="40BC10F9">
      <w:pPr>
        <w:pStyle w:val="2"/>
        <w:rPr>
          <w:rFonts w:asciiTheme="minorEastAsia" w:hAnsiTheme="minorEastAsia" w:eastAsiaTheme="minorEastAsia"/>
        </w:rPr>
      </w:pPr>
    </w:p>
    <w:p w14:paraId="3ACB40D2">
      <w:pPr>
        <w:pStyle w:val="2"/>
        <w:rPr>
          <w:rFonts w:asciiTheme="minorEastAsia" w:hAnsiTheme="minorEastAsia" w:eastAsiaTheme="minorEastAsia"/>
        </w:rPr>
      </w:pPr>
    </w:p>
    <w:p w14:paraId="780A43AA">
      <w:pPr>
        <w:pStyle w:val="2"/>
        <w:rPr>
          <w:rFonts w:asciiTheme="minorEastAsia" w:hAnsiTheme="minorEastAsia" w:eastAsiaTheme="minorEastAsia"/>
        </w:rPr>
      </w:pPr>
    </w:p>
    <w:p w14:paraId="6531C12E">
      <w:pPr>
        <w:pStyle w:val="2"/>
        <w:rPr>
          <w:rFonts w:asciiTheme="minorEastAsia" w:hAnsiTheme="minorEastAsia" w:eastAsiaTheme="minorEastAsia"/>
        </w:rPr>
      </w:pPr>
    </w:p>
    <w:p w14:paraId="6A5495A1">
      <w:pPr>
        <w:pStyle w:val="2"/>
        <w:rPr>
          <w:rFonts w:asciiTheme="minorEastAsia" w:hAnsiTheme="minorEastAsia" w:eastAsiaTheme="minorEastAsia"/>
        </w:rPr>
      </w:pPr>
    </w:p>
    <w:p w14:paraId="27932A02">
      <w:pPr>
        <w:pStyle w:val="2"/>
        <w:rPr>
          <w:rFonts w:asciiTheme="minorEastAsia" w:hAnsiTheme="minorEastAsia" w:eastAsiaTheme="minorEastAsia"/>
        </w:rPr>
      </w:pPr>
      <w:bookmarkStart w:id="13" w:name="_GoBack"/>
      <w:bookmarkEnd w:id="13"/>
    </w:p>
    <w:p w14:paraId="290EC17D">
      <w:pPr>
        <w:rPr>
          <w:rFonts w:asciiTheme="minorEastAsia" w:hAnsiTheme="minorEastAsia" w:eastAsiaTheme="minorEastAsia"/>
        </w:rPr>
      </w:pPr>
    </w:p>
    <w:p w14:paraId="3C8AD2EA">
      <w:pPr>
        <w:ind w:left="420" w:firstLine="0"/>
        <w:rPr>
          <w:rFonts w:asciiTheme="minorEastAsia" w:hAnsiTheme="minorEastAsia" w:eastAsiaTheme="minorEastAsia"/>
        </w:rPr>
      </w:pPr>
    </w:p>
    <w:p w14:paraId="4F7A6F1D">
      <w:pPr>
        <w:ind w:left="420" w:firstLine="0"/>
        <w:rPr>
          <w:rFonts w:asciiTheme="minorEastAsia" w:hAnsiTheme="minorEastAsia" w:eastAsiaTheme="minorEastAsia"/>
        </w:rPr>
      </w:pPr>
    </w:p>
    <w:p w14:paraId="10D32838">
      <w:pPr>
        <w:ind w:left="420" w:firstLine="0"/>
        <w:jc w:val="center"/>
        <w:rPr>
          <w:rFonts w:asciiTheme="minorEastAsia" w:hAnsiTheme="minorEastAsia" w:eastAsiaTheme="minorEastAsia"/>
          <w:sz w:val="32"/>
          <w:szCs w:val="32"/>
        </w:rPr>
      </w:pPr>
      <w:r>
        <w:rPr>
          <w:rFonts w:hint="eastAsia" w:asciiTheme="minorEastAsia" w:hAnsiTheme="minorEastAsia" w:eastAsiaTheme="minorEastAsia"/>
          <w:sz w:val="32"/>
          <w:szCs w:val="32"/>
        </w:rPr>
        <w:t>武汉市中级人民法院</w:t>
      </w:r>
    </w:p>
    <w:p w14:paraId="18439EA0">
      <w:pPr>
        <w:ind w:left="420" w:firstLine="0"/>
        <w:jc w:val="center"/>
        <w:rPr>
          <w:rFonts w:asciiTheme="minorEastAsia" w:hAnsiTheme="minorEastAsia" w:eastAsiaTheme="minorEastAsia"/>
          <w:sz w:val="32"/>
          <w:szCs w:val="32"/>
        </w:rPr>
      </w:pPr>
      <w:r>
        <w:rPr>
          <w:rFonts w:hint="eastAsia" w:asciiTheme="minorEastAsia" w:hAnsiTheme="minorEastAsia" w:eastAsiaTheme="minorEastAsia"/>
          <w:sz w:val="32"/>
          <w:szCs w:val="32"/>
        </w:rPr>
        <w:t>202</w:t>
      </w:r>
      <w:r>
        <w:rPr>
          <w:rFonts w:hint="eastAsia" w:asciiTheme="minorEastAsia" w:hAnsiTheme="minorEastAsia" w:eastAsiaTheme="minorEastAsia"/>
          <w:sz w:val="32"/>
          <w:szCs w:val="32"/>
          <w:lang w:val="en-US" w:eastAsia="zh-CN"/>
        </w:rPr>
        <w:t>5</w:t>
      </w:r>
      <w:r>
        <w:rPr>
          <w:rFonts w:hint="eastAsia" w:asciiTheme="minorEastAsia" w:hAnsiTheme="minorEastAsia" w:eastAsiaTheme="minorEastAsia"/>
          <w:sz w:val="32"/>
          <w:szCs w:val="32"/>
        </w:rPr>
        <w:t>年</w:t>
      </w:r>
      <w:r>
        <w:rPr>
          <w:rFonts w:hint="eastAsia" w:asciiTheme="minorEastAsia" w:hAnsiTheme="minorEastAsia" w:eastAsiaTheme="minorEastAsia"/>
          <w:sz w:val="32"/>
          <w:szCs w:val="32"/>
          <w:lang w:val="en-US" w:eastAsia="zh-CN"/>
        </w:rPr>
        <w:t>12</w:t>
      </w:r>
      <w:r>
        <w:rPr>
          <w:rFonts w:hint="eastAsia" w:asciiTheme="minorEastAsia" w:hAnsiTheme="minorEastAsia" w:eastAsiaTheme="minorEastAsia"/>
          <w:sz w:val="32"/>
          <w:szCs w:val="32"/>
        </w:rPr>
        <w:t>月</w:t>
      </w:r>
    </w:p>
    <w:p w14:paraId="35EFE739">
      <w:pPr>
        <w:ind w:left="420" w:firstLine="0"/>
        <w:rPr>
          <w:rFonts w:asciiTheme="minorEastAsia" w:hAnsiTheme="minorEastAsia" w:eastAsiaTheme="minorEastAsia"/>
        </w:rPr>
      </w:pPr>
    </w:p>
    <w:p w14:paraId="73C60E7A">
      <w:pPr>
        <w:ind w:left="420" w:firstLine="0"/>
        <w:rPr>
          <w:rFonts w:asciiTheme="minorEastAsia" w:hAnsiTheme="minorEastAsia" w:eastAsiaTheme="minorEastAsia"/>
        </w:rPr>
      </w:pPr>
    </w:p>
    <w:p w14:paraId="09D73E92">
      <w:pPr>
        <w:tabs>
          <w:tab w:val="left" w:pos="3120"/>
          <w:tab w:val="center" w:pos="4308"/>
        </w:tabs>
        <w:ind w:firstLine="0"/>
        <w:rPr>
          <w:rFonts w:asciiTheme="minorEastAsia" w:hAnsiTheme="minorEastAsia" w:eastAsiaTheme="minorEastAsia"/>
          <w:b/>
        </w:rPr>
      </w:pPr>
    </w:p>
    <w:p w14:paraId="3987955D">
      <w:pPr>
        <w:tabs>
          <w:tab w:val="left" w:pos="3120"/>
          <w:tab w:val="center" w:pos="4308"/>
        </w:tabs>
        <w:ind w:firstLine="0"/>
        <w:rPr>
          <w:rFonts w:asciiTheme="minorEastAsia" w:hAnsiTheme="minorEastAsia" w:eastAsiaTheme="minorEastAsia"/>
          <w:b/>
        </w:rPr>
      </w:pPr>
    </w:p>
    <w:p w14:paraId="181106CC">
      <w:pPr>
        <w:tabs>
          <w:tab w:val="left" w:pos="3120"/>
          <w:tab w:val="center" w:pos="4308"/>
        </w:tabs>
        <w:ind w:firstLine="0"/>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目  录</w:t>
      </w:r>
    </w:p>
    <w:p w14:paraId="72FBAB62">
      <w:pPr>
        <w:pStyle w:val="17"/>
        <w:tabs>
          <w:tab w:val="right" w:leader="dot" w:pos="8617"/>
        </w:tabs>
      </w:pPr>
      <w:r>
        <w:rPr>
          <w:rFonts w:asciiTheme="minorEastAsia" w:hAnsiTheme="minorEastAsia" w:eastAsiaTheme="minorEastAsia"/>
          <w:b w:val="0"/>
        </w:rPr>
        <w:fldChar w:fldCharType="begin"/>
      </w:r>
      <w:r>
        <w:rPr>
          <w:rFonts w:asciiTheme="minorEastAsia" w:hAnsiTheme="minorEastAsia" w:eastAsiaTheme="minorEastAsia"/>
          <w:b w:val="0"/>
        </w:rPr>
        <w:instrText xml:space="preserve"> TOC \o "1-3" \h \z \u </w:instrText>
      </w:r>
      <w:r>
        <w:rPr>
          <w:rFonts w:asciiTheme="minorEastAsia" w:hAnsiTheme="minorEastAsia" w:eastAsiaTheme="minorEastAsia"/>
          <w:b w:val="0"/>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HYPERLINK \l _Toc30837 </w:instrText>
      </w:r>
      <w:r>
        <w:rPr>
          <w:rFonts w:asciiTheme="minorEastAsia" w:hAnsiTheme="minorEastAsia" w:eastAsiaTheme="minorEastAsia"/>
        </w:rPr>
        <w:fldChar w:fldCharType="separate"/>
      </w:r>
      <w:r>
        <w:rPr>
          <w:rFonts w:hint="default" w:ascii="Times New Roman" w:hAnsi="Times New Roman" w:eastAsia="宋体"/>
          <w:i w:val="0"/>
        </w:rPr>
        <w:t xml:space="preserve">1 </w:t>
      </w:r>
      <w:r>
        <w:rPr>
          <w:rFonts w:hint="eastAsia" w:asciiTheme="minorEastAsia" w:hAnsiTheme="minorEastAsia" w:eastAsiaTheme="minorEastAsia"/>
        </w:rPr>
        <w:t>采购名称</w:t>
      </w:r>
      <w:r>
        <w:tab/>
      </w:r>
      <w:r>
        <w:fldChar w:fldCharType="begin"/>
      </w:r>
      <w:r>
        <w:instrText xml:space="preserve"> PAGEREF _Toc30837 \h </w:instrText>
      </w:r>
      <w:r>
        <w:fldChar w:fldCharType="separate"/>
      </w:r>
      <w:r>
        <w:t>1</w:t>
      </w:r>
      <w:r>
        <w:fldChar w:fldCharType="end"/>
      </w:r>
      <w:r>
        <w:rPr>
          <w:rFonts w:asciiTheme="minorEastAsia" w:hAnsiTheme="minorEastAsia" w:eastAsiaTheme="minorEastAsia"/>
        </w:rPr>
        <w:fldChar w:fldCharType="end"/>
      </w:r>
    </w:p>
    <w:p w14:paraId="0517F5EE">
      <w:pPr>
        <w:pStyle w:val="17"/>
        <w:tabs>
          <w:tab w:val="right" w:leader="dot" w:pos="8617"/>
        </w:tabs>
        <w:rPr>
          <w:rFonts w:asciiTheme="minorEastAsia" w:hAnsiTheme="minorEastAsia" w:eastAsiaTheme="minorEastAsia"/>
        </w:rPr>
      </w:pPr>
      <w:r>
        <w:fldChar w:fldCharType="begin"/>
      </w:r>
      <w:r>
        <w:instrText xml:space="preserve"> HYPERLINK \l "_Toc31260" </w:instrText>
      </w:r>
      <w:r>
        <w:fldChar w:fldCharType="separate"/>
      </w:r>
      <w:r>
        <w:rPr>
          <w:rFonts w:hint="eastAsia"/>
          <w:lang w:val="en-US" w:eastAsia="zh-CN"/>
        </w:rPr>
        <w:t>2</w:t>
      </w:r>
      <w:r>
        <w:t xml:space="preserve"> </w:t>
      </w:r>
      <w:r>
        <w:rPr>
          <w:rFonts w:hint="eastAsia" w:asciiTheme="minorEastAsia" w:hAnsiTheme="minorEastAsia" w:eastAsiaTheme="minorEastAsia"/>
        </w:rPr>
        <w:t>采购预算</w:t>
      </w:r>
      <w:r>
        <w:tab/>
      </w:r>
      <w:r>
        <w:fldChar w:fldCharType="begin"/>
      </w:r>
      <w:r>
        <w:instrText xml:space="preserve"> PAGEREF _Toc31260 \h </w:instrText>
      </w:r>
      <w:r>
        <w:fldChar w:fldCharType="separate"/>
      </w:r>
      <w:r>
        <w:t>1</w:t>
      </w:r>
      <w:r>
        <w:fldChar w:fldCharType="end"/>
      </w:r>
      <w:r>
        <w:fldChar w:fldCharType="end"/>
      </w:r>
    </w:p>
    <w:p w14:paraId="06934350">
      <w:pPr>
        <w:pStyle w:val="17"/>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_Toc26395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 </w:t>
      </w:r>
      <w:r>
        <w:rPr>
          <w:rFonts w:hint="eastAsia" w:asciiTheme="minorEastAsia" w:hAnsiTheme="minorEastAsia" w:eastAsiaTheme="minorEastAsia"/>
        </w:rPr>
        <w:t>采购需求</w:t>
      </w:r>
      <w:r>
        <w:tab/>
      </w:r>
      <w:r>
        <w:fldChar w:fldCharType="begin"/>
      </w:r>
      <w:r>
        <w:instrText xml:space="preserve"> PAGEREF _Toc26395 \h </w:instrText>
      </w:r>
      <w:r>
        <w:fldChar w:fldCharType="separate"/>
      </w:r>
      <w:r>
        <w:t>1</w:t>
      </w:r>
      <w:r>
        <w:fldChar w:fldCharType="end"/>
      </w:r>
      <w:r>
        <w:rPr>
          <w:rFonts w:asciiTheme="minorEastAsia" w:hAnsiTheme="minorEastAsia" w:eastAsiaTheme="minorEastAsia"/>
        </w:rPr>
        <w:fldChar w:fldCharType="end"/>
      </w:r>
    </w:p>
    <w:p w14:paraId="1850D02B">
      <w:pPr>
        <w:pStyle w:val="18"/>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_Toc29226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.1 </w:t>
      </w:r>
      <w:r>
        <w:rPr>
          <w:rFonts w:hint="eastAsia" w:asciiTheme="minorEastAsia" w:hAnsiTheme="minorEastAsia" w:eastAsiaTheme="minorEastAsia"/>
        </w:rPr>
        <w:t>服务目标</w:t>
      </w:r>
      <w:r>
        <w:tab/>
      </w:r>
      <w:r>
        <w:fldChar w:fldCharType="begin"/>
      </w:r>
      <w:r>
        <w:instrText xml:space="preserve"> PAGEREF _Toc29226 \h </w:instrText>
      </w:r>
      <w:r>
        <w:fldChar w:fldCharType="separate"/>
      </w:r>
      <w:r>
        <w:t>1</w:t>
      </w:r>
      <w:r>
        <w:fldChar w:fldCharType="end"/>
      </w:r>
      <w:r>
        <w:rPr>
          <w:rFonts w:asciiTheme="minorEastAsia" w:hAnsiTheme="minorEastAsia" w:eastAsiaTheme="minorEastAsia"/>
        </w:rPr>
        <w:fldChar w:fldCharType="end"/>
      </w:r>
    </w:p>
    <w:p w14:paraId="2DD52AAE">
      <w:pPr>
        <w:pStyle w:val="18"/>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_Toc20139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.2 </w:t>
      </w:r>
      <w:r>
        <w:rPr>
          <w:rFonts w:hint="eastAsia"/>
        </w:rPr>
        <w:t>运维服务清单</w:t>
      </w:r>
      <w:r>
        <w:tab/>
      </w:r>
      <w:r>
        <w:fldChar w:fldCharType="begin"/>
      </w:r>
      <w:r>
        <w:instrText xml:space="preserve"> PAGEREF _Toc20139 \h </w:instrText>
      </w:r>
      <w:r>
        <w:fldChar w:fldCharType="separate"/>
      </w:r>
      <w:r>
        <w:t>1</w:t>
      </w:r>
      <w:r>
        <w:fldChar w:fldCharType="end"/>
      </w:r>
      <w:r>
        <w:rPr>
          <w:rFonts w:asciiTheme="minorEastAsia" w:hAnsiTheme="minorEastAsia" w:eastAsiaTheme="minorEastAsia"/>
        </w:rPr>
        <w:fldChar w:fldCharType="end"/>
      </w:r>
    </w:p>
    <w:p w14:paraId="5F4282CB">
      <w:pPr>
        <w:pStyle w:val="18"/>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_Toc30736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.3 </w:t>
      </w:r>
      <w:r>
        <w:rPr>
          <w:rFonts w:hint="eastAsia" w:asciiTheme="minorEastAsia" w:hAnsiTheme="minorEastAsia" w:eastAsiaTheme="minorEastAsia"/>
        </w:rPr>
        <w:t>运维服务内容</w:t>
      </w:r>
      <w:r>
        <w:tab/>
      </w:r>
      <w:r>
        <w:fldChar w:fldCharType="begin"/>
      </w:r>
      <w:r>
        <w:instrText xml:space="preserve"> PAGEREF _Toc30736 \h </w:instrText>
      </w:r>
      <w:r>
        <w:fldChar w:fldCharType="separate"/>
      </w:r>
      <w:r>
        <w:t>2</w:t>
      </w:r>
      <w:r>
        <w:fldChar w:fldCharType="end"/>
      </w:r>
      <w:r>
        <w:rPr>
          <w:rFonts w:asciiTheme="minorEastAsia" w:hAnsiTheme="minorEastAsia" w:eastAsiaTheme="minorEastAsia"/>
        </w:rPr>
        <w:fldChar w:fldCharType="end"/>
      </w:r>
    </w:p>
    <w:p w14:paraId="2845AD31">
      <w:pPr>
        <w:pStyle w:val="14"/>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_Toc22360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kern w:val="0"/>
          <w:szCs w:val="24"/>
        </w:rPr>
        <w:t xml:space="preserve">.3.1 </w:t>
      </w:r>
      <w:r>
        <w:rPr>
          <w:rFonts w:hint="eastAsia" w:asciiTheme="minorEastAsia" w:hAnsiTheme="minorEastAsia" w:eastAsiaTheme="minorEastAsia"/>
          <w:kern w:val="0"/>
          <w:szCs w:val="24"/>
        </w:rPr>
        <w:t>总体运维服务内容</w:t>
      </w:r>
      <w:r>
        <w:tab/>
      </w:r>
      <w:r>
        <w:fldChar w:fldCharType="begin"/>
      </w:r>
      <w:r>
        <w:instrText xml:space="preserve"> PAGEREF _Toc22360 \h </w:instrText>
      </w:r>
      <w:r>
        <w:fldChar w:fldCharType="separate"/>
      </w:r>
      <w:r>
        <w:t>2</w:t>
      </w:r>
      <w:r>
        <w:fldChar w:fldCharType="end"/>
      </w:r>
      <w:r>
        <w:rPr>
          <w:rFonts w:asciiTheme="minorEastAsia" w:hAnsiTheme="minorEastAsia" w:eastAsiaTheme="minorEastAsia"/>
        </w:rPr>
        <w:fldChar w:fldCharType="end"/>
      </w:r>
    </w:p>
    <w:p w14:paraId="032ADC95">
      <w:pPr>
        <w:pStyle w:val="14"/>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_Toc7817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kern w:val="0"/>
          <w:szCs w:val="24"/>
        </w:rPr>
        <w:t xml:space="preserve">.3.2 </w:t>
      </w:r>
      <w:r>
        <w:rPr>
          <w:rFonts w:hint="eastAsia" w:asciiTheme="minorEastAsia" w:hAnsiTheme="minorEastAsia" w:eastAsiaTheme="minorEastAsia"/>
          <w:kern w:val="0"/>
          <w:szCs w:val="24"/>
        </w:rPr>
        <w:t>应用软件运维服务</w:t>
      </w:r>
      <w:r>
        <w:tab/>
      </w:r>
      <w:r>
        <w:fldChar w:fldCharType="begin"/>
      </w:r>
      <w:r>
        <w:instrText xml:space="preserve"> PAGEREF _Toc7817 \h </w:instrText>
      </w:r>
      <w:r>
        <w:fldChar w:fldCharType="separate"/>
      </w:r>
      <w:r>
        <w:t>2</w:t>
      </w:r>
      <w:r>
        <w:fldChar w:fldCharType="end"/>
      </w:r>
      <w:r>
        <w:rPr>
          <w:rFonts w:asciiTheme="minorEastAsia" w:hAnsiTheme="minorEastAsia" w:eastAsiaTheme="minorEastAsia"/>
        </w:rPr>
        <w:fldChar w:fldCharType="end"/>
      </w:r>
    </w:p>
    <w:p w14:paraId="4C49D997">
      <w:pPr>
        <w:pStyle w:val="14"/>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_Toc29574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kern w:val="0"/>
          <w:szCs w:val="24"/>
        </w:rPr>
        <w:t xml:space="preserve">.3.3 </w:t>
      </w:r>
      <w:r>
        <w:rPr>
          <w:rFonts w:hint="eastAsia"/>
          <w:i w:val="0"/>
          <w:kern w:val="0"/>
          <w:szCs w:val="24"/>
          <w:lang w:eastAsia="zh-CN"/>
        </w:rPr>
        <w:t>自建系统</w:t>
      </w:r>
      <w:r>
        <w:rPr>
          <w:rFonts w:hint="eastAsia" w:asciiTheme="minorEastAsia" w:hAnsiTheme="minorEastAsia" w:eastAsiaTheme="minorEastAsia"/>
          <w:kern w:val="0"/>
          <w:szCs w:val="24"/>
        </w:rPr>
        <w:t>数据运维服务</w:t>
      </w:r>
      <w:r>
        <w:tab/>
      </w:r>
      <w:r>
        <w:fldChar w:fldCharType="begin"/>
      </w:r>
      <w:r>
        <w:instrText xml:space="preserve"> PAGEREF _Toc29574 \h </w:instrText>
      </w:r>
      <w:r>
        <w:fldChar w:fldCharType="separate"/>
      </w:r>
      <w:r>
        <w:t>4</w:t>
      </w:r>
      <w:r>
        <w:fldChar w:fldCharType="end"/>
      </w:r>
      <w:r>
        <w:rPr>
          <w:rFonts w:asciiTheme="minorEastAsia" w:hAnsiTheme="minorEastAsia" w:eastAsiaTheme="minorEastAsia"/>
        </w:rPr>
        <w:fldChar w:fldCharType="end"/>
      </w:r>
    </w:p>
    <w:p w14:paraId="2E3EDED5">
      <w:pPr>
        <w:pStyle w:val="14"/>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_Toc10192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.3.4 </w:t>
      </w:r>
      <w:r>
        <w:rPr>
          <w:rFonts w:hint="eastAsia"/>
        </w:rPr>
        <w:t>驻地运维团队</w:t>
      </w:r>
      <w:r>
        <w:tab/>
      </w:r>
      <w:r>
        <w:fldChar w:fldCharType="begin"/>
      </w:r>
      <w:r>
        <w:instrText xml:space="preserve"> PAGEREF _Toc10192 \h </w:instrText>
      </w:r>
      <w:r>
        <w:fldChar w:fldCharType="separate"/>
      </w:r>
      <w:r>
        <w:t>5</w:t>
      </w:r>
      <w:r>
        <w:fldChar w:fldCharType="end"/>
      </w:r>
      <w:r>
        <w:rPr>
          <w:rFonts w:asciiTheme="minorEastAsia" w:hAnsiTheme="minorEastAsia" w:eastAsiaTheme="minorEastAsia"/>
        </w:rPr>
        <w:fldChar w:fldCharType="end"/>
      </w:r>
    </w:p>
    <w:p w14:paraId="74517353">
      <w:pPr>
        <w:pStyle w:val="18"/>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_Toc6243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.4 </w:t>
      </w:r>
      <w:r>
        <w:rPr>
          <w:rFonts w:hint="eastAsia"/>
        </w:rPr>
        <w:t>运维服务期限</w:t>
      </w:r>
      <w:r>
        <w:tab/>
      </w:r>
      <w:r>
        <w:fldChar w:fldCharType="begin"/>
      </w:r>
      <w:r>
        <w:instrText xml:space="preserve"> PAGEREF _Toc6243 \h </w:instrText>
      </w:r>
      <w:r>
        <w:fldChar w:fldCharType="separate"/>
      </w:r>
      <w:r>
        <w:t>5</w:t>
      </w:r>
      <w:r>
        <w:fldChar w:fldCharType="end"/>
      </w:r>
      <w:r>
        <w:rPr>
          <w:rFonts w:asciiTheme="minorEastAsia" w:hAnsiTheme="minorEastAsia" w:eastAsiaTheme="minorEastAsia"/>
        </w:rPr>
        <w:fldChar w:fldCharType="end"/>
      </w:r>
    </w:p>
    <w:p w14:paraId="51745E91">
      <w:pPr>
        <w:pStyle w:val="18"/>
        <w:tabs>
          <w:tab w:val="right" w:leader="dot" w:pos="8617"/>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_Toc26825 </w:instrText>
      </w:r>
      <w:r>
        <w:rPr>
          <w:rFonts w:asciiTheme="minorEastAsia" w:hAnsiTheme="minorEastAsia" w:eastAsiaTheme="minorEastAsia"/>
        </w:rPr>
        <w:fldChar w:fldCharType="separate"/>
      </w:r>
      <w:r>
        <w:rPr>
          <w:rFonts w:hint="eastAsia" w:asciiTheme="minorEastAsia" w:hAnsiTheme="minorEastAsia" w:eastAsiaTheme="minorEastAsia"/>
          <w:lang w:val="en-US" w:eastAsia="zh-CN"/>
        </w:rPr>
        <w:t>3</w:t>
      </w:r>
      <w:r>
        <w:rPr>
          <w:rFonts w:hint="default" w:ascii="Times New Roman" w:hAnsi="Times New Roman" w:eastAsia="宋体"/>
          <w:i w:val="0"/>
        </w:rPr>
        <w:t xml:space="preserve">.5 </w:t>
      </w:r>
      <w:r>
        <w:rPr>
          <w:rFonts w:hint="eastAsia"/>
        </w:rPr>
        <w:t>运维服务要求</w:t>
      </w:r>
      <w:r>
        <w:tab/>
      </w:r>
      <w:r>
        <w:fldChar w:fldCharType="begin"/>
      </w:r>
      <w:r>
        <w:instrText xml:space="preserve"> PAGEREF _Toc26825 \h </w:instrText>
      </w:r>
      <w:r>
        <w:fldChar w:fldCharType="separate"/>
      </w:r>
      <w:r>
        <w:t>5</w:t>
      </w:r>
      <w:r>
        <w:fldChar w:fldCharType="end"/>
      </w:r>
      <w:r>
        <w:rPr>
          <w:rFonts w:asciiTheme="minorEastAsia" w:hAnsiTheme="minorEastAsia" w:eastAsiaTheme="minorEastAsia"/>
        </w:rPr>
        <w:fldChar w:fldCharType="end"/>
      </w:r>
    </w:p>
    <w:p w14:paraId="6C9F9219">
      <w:pPr>
        <w:jc w:val="center"/>
        <w:rPr>
          <w:rFonts w:asciiTheme="minorEastAsia" w:hAnsiTheme="minorEastAsia" w:eastAsiaTheme="minorEastAsia"/>
          <w:b/>
        </w:rPr>
      </w:pPr>
      <w:r>
        <w:rPr>
          <w:rFonts w:asciiTheme="minorEastAsia" w:hAnsiTheme="minorEastAsia" w:eastAsiaTheme="minorEastAsia"/>
        </w:rPr>
        <w:fldChar w:fldCharType="end"/>
      </w:r>
    </w:p>
    <w:p w14:paraId="5A2DBA67">
      <w:pPr>
        <w:rPr>
          <w:rFonts w:asciiTheme="minorEastAsia" w:hAnsiTheme="minorEastAsia" w:eastAsiaTheme="minorEastAsia"/>
        </w:rPr>
      </w:pPr>
    </w:p>
    <w:p w14:paraId="2B11D2F2">
      <w:pPr>
        <w:rPr>
          <w:rFonts w:asciiTheme="minorEastAsia" w:hAnsiTheme="minorEastAsia" w:eastAsiaTheme="minorEastAsia"/>
        </w:rPr>
        <w:sectPr>
          <w:headerReference r:id="rId5" w:type="default"/>
          <w:pgSz w:w="11906" w:h="16838"/>
          <w:pgMar w:top="1247" w:right="1588" w:bottom="1701" w:left="1701" w:header="851" w:footer="992" w:gutter="0"/>
          <w:pgNumType w:fmt="upperRoman" w:start="1"/>
          <w:cols w:space="425" w:num="1"/>
          <w:docGrid w:type="linesAndChars" w:linePitch="312" w:charSpace="0"/>
        </w:sectPr>
      </w:pPr>
    </w:p>
    <w:p w14:paraId="19EB94F8">
      <w:pPr>
        <w:pStyle w:val="4"/>
        <w:rPr>
          <w:rFonts w:asciiTheme="minorEastAsia" w:hAnsiTheme="minorEastAsia" w:eastAsiaTheme="minorEastAsia"/>
        </w:rPr>
      </w:pPr>
      <w:bookmarkStart w:id="0" w:name="_Toc30837"/>
      <w:r>
        <w:rPr>
          <w:rFonts w:hint="eastAsia" w:asciiTheme="minorEastAsia" w:hAnsiTheme="minorEastAsia" w:eastAsiaTheme="minorEastAsia"/>
        </w:rPr>
        <w:t>采购名称</w:t>
      </w:r>
      <w:bookmarkEnd w:id="0"/>
    </w:p>
    <w:p w14:paraId="736CD935">
      <w:pPr>
        <w:pStyle w:val="3"/>
        <w:tabs>
          <w:tab w:val="left" w:pos="0"/>
          <w:tab w:val="left" w:pos="284"/>
          <w:tab w:val="left" w:pos="851"/>
        </w:tabs>
        <w:ind w:left="480" w:firstLine="340" w:firstLineChars="142"/>
        <w:rPr>
          <w:rFonts w:hint="eastAsia" w:asciiTheme="minorEastAsia" w:hAnsiTheme="minorEastAsia" w:eastAsiaTheme="minorEastAsia"/>
          <w:color w:val="000000"/>
        </w:rPr>
      </w:pPr>
      <w:r>
        <w:rPr>
          <w:rFonts w:hint="eastAsia" w:asciiTheme="minorEastAsia" w:hAnsiTheme="minorEastAsia" w:eastAsiaTheme="minorEastAsia"/>
          <w:color w:val="000000"/>
        </w:rPr>
        <w:t>项目名称：武汉市中级人民法院2026年度</w:t>
      </w:r>
      <w:r>
        <w:rPr>
          <w:rFonts w:hint="eastAsia" w:asciiTheme="minorEastAsia" w:hAnsiTheme="minorEastAsia" w:eastAsiaTheme="minorEastAsia"/>
          <w:color w:val="000000"/>
          <w:lang w:eastAsia="zh-CN"/>
        </w:rPr>
        <w:t>应用系统</w:t>
      </w:r>
      <w:r>
        <w:rPr>
          <w:rFonts w:hint="eastAsia" w:asciiTheme="minorEastAsia" w:hAnsiTheme="minorEastAsia" w:eastAsiaTheme="minorEastAsia"/>
          <w:color w:val="000000"/>
        </w:rPr>
        <w:t>运维服务。</w:t>
      </w:r>
    </w:p>
    <w:p w14:paraId="7D8C9775">
      <w:pPr>
        <w:pStyle w:val="4"/>
        <w:rPr>
          <w:rFonts w:asciiTheme="minorEastAsia" w:hAnsiTheme="minorEastAsia" w:eastAsiaTheme="minorEastAsia"/>
        </w:rPr>
      </w:pPr>
      <w:bookmarkStart w:id="1" w:name="_Toc31260"/>
      <w:r>
        <w:rPr>
          <w:rFonts w:hint="eastAsia" w:asciiTheme="minorEastAsia" w:hAnsiTheme="minorEastAsia" w:eastAsiaTheme="minorEastAsia"/>
        </w:rPr>
        <w:t>采购预算</w:t>
      </w:r>
      <w:bookmarkEnd w:id="1"/>
    </w:p>
    <w:p w14:paraId="18EECA91">
      <w:pPr>
        <w:pStyle w:val="3"/>
        <w:tabs>
          <w:tab w:val="left" w:pos="0"/>
          <w:tab w:val="left" w:pos="284"/>
          <w:tab w:val="left" w:pos="851"/>
        </w:tabs>
        <w:ind w:left="480" w:firstLine="340" w:firstLineChars="142"/>
        <w:rPr>
          <w:rFonts w:hint="eastAsia" w:asciiTheme="minorEastAsia" w:hAnsiTheme="minorEastAsia" w:eastAsiaTheme="minorEastAsia"/>
          <w:color w:val="000000"/>
        </w:rPr>
      </w:pPr>
      <w:r>
        <w:rPr>
          <w:rFonts w:hint="eastAsia" w:asciiTheme="minorEastAsia" w:hAnsiTheme="minorEastAsia" w:eastAsiaTheme="minorEastAsia"/>
          <w:color w:val="000000"/>
        </w:rPr>
        <w:t>采购预算为人民</w:t>
      </w:r>
      <w:r>
        <w:rPr>
          <w:rFonts w:hint="eastAsia" w:asciiTheme="minorEastAsia" w:hAnsiTheme="minorEastAsia" w:eastAsiaTheme="minorEastAsia"/>
          <w:color w:val="000000"/>
          <w:highlight w:val="none"/>
        </w:rPr>
        <w:t>币</w:t>
      </w:r>
      <w:r>
        <w:rPr>
          <w:rFonts w:hint="eastAsia" w:asciiTheme="minorEastAsia" w:hAnsiTheme="minorEastAsia" w:eastAsiaTheme="minorEastAsia"/>
          <w:color w:val="000000"/>
          <w:highlight w:val="none"/>
          <w:lang w:val="en-US" w:eastAsia="zh-CN"/>
        </w:rPr>
        <w:t>98</w:t>
      </w:r>
      <w:r>
        <w:rPr>
          <w:rFonts w:hint="eastAsia" w:asciiTheme="minorEastAsia" w:hAnsiTheme="minorEastAsia" w:eastAsiaTheme="minorEastAsia"/>
          <w:color w:val="000000"/>
        </w:rPr>
        <w:t>万元；供应商报价超采购预算均为无效报价。</w:t>
      </w:r>
    </w:p>
    <w:p w14:paraId="7CE93D38">
      <w:pPr>
        <w:pStyle w:val="4"/>
        <w:rPr>
          <w:rFonts w:asciiTheme="minorEastAsia" w:hAnsiTheme="minorEastAsia" w:eastAsiaTheme="minorEastAsia"/>
        </w:rPr>
      </w:pPr>
      <w:bookmarkStart w:id="2" w:name="_Toc26395"/>
      <w:r>
        <w:rPr>
          <w:rFonts w:hint="eastAsia" w:asciiTheme="minorEastAsia" w:hAnsiTheme="minorEastAsia" w:eastAsiaTheme="minorEastAsia"/>
        </w:rPr>
        <w:t>采购需求</w:t>
      </w:r>
      <w:bookmarkEnd w:id="2"/>
    </w:p>
    <w:p w14:paraId="6994E8C1">
      <w:pPr>
        <w:pStyle w:val="6"/>
        <w:rPr>
          <w:rFonts w:asciiTheme="minorEastAsia" w:hAnsiTheme="minorEastAsia" w:eastAsiaTheme="minorEastAsia"/>
        </w:rPr>
      </w:pPr>
      <w:bookmarkStart w:id="3" w:name="_Toc29226"/>
      <w:r>
        <w:rPr>
          <w:rFonts w:hint="eastAsia" w:asciiTheme="minorEastAsia" w:hAnsiTheme="minorEastAsia" w:eastAsiaTheme="minorEastAsia"/>
        </w:rPr>
        <w:t>服务目标</w:t>
      </w:r>
      <w:bookmarkEnd w:id="3"/>
    </w:p>
    <w:p w14:paraId="46218912">
      <w:pPr>
        <w:ind w:firstLine="480" w:firstLineChars="200"/>
        <w:rPr>
          <w:rFonts w:ascii="仿宋" w:hAnsi="仿宋" w:eastAsia="仿宋"/>
          <w:color w:val="000000" w:themeColor="text1"/>
          <w14:textFill>
            <w14:solidFill>
              <w14:schemeClr w14:val="tx1"/>
            </w14:solidFill>
          </w14:textFill>
        </w:rPr>
      </w:pPr>
      <w:r>
        <w:rPr>
          <w:rFonts w:hint="eastAsia" w:asciiTheme="minorEastAsia" w:hAnsiTheme="minorEastAsia" w:eastAsiaTheme="minorEastAsia"/>
          <w:bCs/>
        </w:rPr>
        <w:t>当前，随着“一张网”建设全面启动，法院信息系统架构日趋复杂，运维保障任务日益繁重，现有运维力量在技术能力、响应效率和服务覆盖面等方面面临挑战</w:t>
      </w:r>
      <w:r>
        <w:rPr>
          <w:rFonts w:hint="eastAsia" w:asciiTheme="minorEastAsia" w:hAnsiTheme="minorEastAsia" w:eastAsiaTheme="minorEastAsia"/>
          <w:bCs/>
          <w:highlight w:val="none"/>
        </w:rPr>
        <w:t>。为深入贯彻落实最高人民法院《人民法院信息化建设五年发展规划》和《全国法院“一张网”运维保障工作方案》(以下简称《方案》)要求，全面推进智慧法院建设，保障审判执行、司法公开、办公管理等信息系统安全稳定运行，提升司法服务效能，持续提升司法服务质效与信息化保障能力</w:t>
      </w:r>
      <w:r>
        <w:rPr>
          <w:rFonts w:hint="eastAsia" w:asciiTheme="minorEastAsia" w:hAnsiTheme="minorEastAsia" w:eastAsiaTheme="minorEastAsia"/>
          <w:bCs/>
          <w:highlight w:val="none"/>
          <w:lang w:eastAsia="zh-CN"/>
        </w:rPr>
        <w:t>，</w:t>
      </w:r>
      <w:r>
        <w:rPr>
          <w:rFonts w:hint="eastAsia"/>
          <w:highlight w:val="none"/>
          <w:lang w:val="en-US" w:eastAsia="zh-CN"/>
        </w:rPr>
        <w:t>武</w:t>
      </w:r>
      <w:r>
        <w:rPr>
          <w:rFonts w:hint="eastAsia"/>
          <w:lang w:val="en-US" w:eastAsia="zh-CN"/>
        </w:rPr>
        <w:t>汉中院</w:t>
      </w:r>
      <w:r>
        <w:rPr>
          <w:rFonts w:hint="eastAsia" w:asciiTheme="minorEastAsia" w:hAnsiTheme="minorEastAsia" w:eastAsiaTheme="minorEastAsia"/>
          <w:bCs/>
        </w:rPr>
        <w:t>通过</w:t>
      </w:r>
      <w:r>
        <w:rPr>
          <w:rFonts w:hint="eastAsia" w:asciiTheme="minorEastAsia" w:hAnsiTheme="minorEastAsia" w:eastAsiaTheme="minorEastAsia"/>
          <w:bCs/>
          <w:lang w:val="en-US" w:eastAsia="zh-CN"/>
        </w:rPr>
        <w:t>加强</w:t>
      </w:r>
      <w:r>
        <w:rPr>
          <w:rFonts w:hint="eastAsia" w:asciiTheme="minorEastAsia" w:hAnsiTheme="minorEastAsia" w:eastAsiaTheme="minorEastAsia"/>
          <w:bCs/>
        </w:rPr>
        <w:t>驻场运维服务，保障一张网上线后武汉市两级法院“一张网”业务系统和本地应用系统的安全、稳定、高效运行，为全市法院提供科学、规范、高质量的信息化运维管理服务</w:t>
      </w:r>
      <w:r>
        <w:rPr>
          <w:rFonts w:hint="eastAsia" w:asciiTheme="minorEastAsia" w:hAnsiTheme="minorEastAsia" w:eastAsiaTheme="minorEastAsia"/>
          <w:bCs/>
          <w:lang w:eastAsia="zh-CN"/>
        </w:rPr>
        <w:t>，</w:t>
      </w:r>
      <w:r>
        <w:rPr>
          <w:rFonts w:hint="eastAsia" w:asciiTheme="minorEastAsia" w:hAnsiTheme="minorEastAsia" w:eastAsiaTheme="minorEastAsia"/>
          <w:bCs/>
        </w:rPr>
        <w:t>确保全市法院干警在系统应用操作方面得到持续培训和指导</w:t>
      </w:r>
      <w:r>
        <w:rPr>
          <w:rFonts w:hint="eastAsia" w:asciiTheme="minorEastAsia" w:hAnsiTheme="minorEastAsia" w:eastAsiaTheme="minorEastAsia"/>
          <w:bCs/>
          <w:lang w:eastAsia="zh-CN"/>
        </w:rPr>
        <w:t>，</w:t>
      </w:r>
      <w:r>
        <w:rPr>
          <w:rFonts w:hint="eastAsia" w:asciiTheme="minorEastAsia" w:hAnsiTheme="minorEastAsia" w:eastAsiaTheme="minorEastAsia"/>
          <w:bCs/>
        </w:rPr>
        <w:t>遇到问题能够及时得到反馈。通过驻场服务保障和应用深度推进的方式，持续完善武汉中院信息化质效性运维体系，为审判、执行等工作提供可靠的技术保障和服务。</w:t>
      </w:r>
    </w:p>
    <w:p w14:paraId="3BCC47E1">
      <w:pPr>
        <w:pStyle w:val="6"/>
      </w:pPr>
      <w:bookmarkStart w:id="4" w:name="_Toc20139"/>
      <w:r>
        <w:rPr>
          <w:rFonts w:hint="eastAsia"/>
        </w:rPr>
        <w:t>运维服务清单</w:t>
      </w:r>
      <w:bookmarkEnd w:id="4"/>
    </w:p>
    <w:tbl>
      <w:tblPr>
        <w:tblStyle w:val="19"/>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1"/>
        <w:gridCol w:w="5958"/>
      </w:tblGrid>
      <w:tr w14:paraId="45CC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641" w:type="dxa"/>
            <w:vAlign w:val="center"/>
          </w:tcPr>
          <w:p w14:paraId="15BB2807">
            <w:pPr>
              <w:widowControl w:val="0"/>
              <w:adjustRightInd w:val="0"/>
              <w:snapToGrid w:val="0"/>
              <w:spacing w:line="320" w:lineRule="exact"/>
              <w:ind w:firstLine="0"/>
              <w:jc w:val="center"/>
              <w:rPr>
                <w:rFonts w:hint="eastAsia" w:ascii="仿宋" w:hAnsi="仿宋" w:eastAsia="仿宋" w:cs="Times New Roman"/>
                <w:b/>
                <w:bCs/>
                <w:color w:val="000000" w:themeColor="text1"/>
                <w:sz w:val="24"/>
                <w:szCs w:val="24"/>
                <w14:textFill>
                  <w14:solidFill>
                    <w14:schemeClr w14:val="tx1"/>
                  </w14:solidFill>
                </w14:textFill>
              </w:rPr>
            </w:pPr>
            <w:r>
              <w:rPr>
                <w:rFonts w:hint="eastAsia" w:ascii="仿宋" w:hAnsi="仿宋" w:eastAsia="仿宋" w:cs="Times New Roman"/>
                <w:b/>
                <w:bCs/>
                <w:color w:val="000000" w:themeColor="text1"/>
                <w:sz w:val="24"/>
                <w:szCs w:val="24"/>
                <w14:textFill>
                  <w14:solidFill>
                    <w14:schemeClr w14:val="tx1"/>
                  </w14:solidFill>
                </w14:textFill>
              </w:rPr>
              <w:t>业务名称</w:t>
            </w:r>
          </w:p>
        </w:tc>
        <w:tc>
          <w:tcPr>
            <w:tcW w:w="5958" w:type="dxa"/>
            <w:vAlign w:val="center"/>
          </w:tcPr>
          <w:p w14:paraId="04435A27">
            <w:pPr>
              <w:widowControl w:val="0"/>
              <w:adjustRightInd w:val="0"/>
              <w:snapToGrid w:val="0"/>
              <w:spacing w:line="320" w:lineRule="exact"/>
              <w:ind w:firstLine="0"/>
              <w:jc w:val="center"/>
              <w:rPr>
                <w:rFonts w:hint="eastAsia" w:ascii="仿宋" w:hAnsi="仿宋" w:eastAsia="仿宋" w:cs="Times New Roman"/>
                <w:b/>
                <w:bCs/>
                <w:color w:val="000000" w:themeColor="text1"/>
                <w:sz w:val="24"/>
                <w:szCs w:val="24"/>
                <w14:textFill>
                  <w14:solidFill>
                    <w14:schemeClr w14:val="tx1"/>
                  </w14:solidFill>
                </w14:textFill>
              </w:rPr>
            </w:pPr>
            <w:r>
              <w:rPr>
                <w:rFonts w:hint="eastAsia" w:ascii="仿宋" w:hAnsi="仿宋" w:eastAsia="仿宋" w:cs="Times New Roman"/>
                <w:b/>
                <w:bCs/>
                <w:color w:val="000000" w:themeColor="text1"/>
                <w:sz w:val="24"/>
                <w:szCs w:val="24"/>
                <w14:textFill>
                  <w14:solidFill>
                    <w14:schemeClr w14:val="tx1"/>
                  </w14:solidFill>
                </w14:textFill>
              </w:rPr>
              <w:t>说明</w:t>
            </w:r>
          </w:p>
        </w:tc>
      </w:tr>
      <w:tr w14:paraId="1294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2641" w:type="dxa"/>
            <w:vMerge w:val="restart"/>
            <w:vAlign w:val="center"/>
          </w:tcPr>
          <w:p w14:paraId="52AEC8BD">
            <w:pPr>
              <w:widowControl w:val="0"/>
              <w:adjustRightInd w:val="0"/>
              <w:snapToGrid w:val="0"/>
              <w:spacing w:line="320" w:lineRule="exact"/>
              <w:ind w:firstLine="0"/>
              <w:jc w:val="center"/>
              <w:rPr>
                <w:rFonts w:hint="eastAsia"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一张网相关系统</w:t>
            </w:r>
          </w:p>
        </w:tc>
        <w:tc>
          <w:tcPr>
            <w:tcW w:w="5958" w:type="dxa"/>
            <w:vAlign w:val="center"/>
          </w:tcPr>
          <w:p w14:paraId="6D859C5D">
            <w:pPr>
              <w:widowControl w:val="0"/>
              <w:adjustRightInd w:val="0"/>
              <w:snapToGrid w:val="0"/>
              <w:spacing w:line="320" w:lineRule="exact"/>
              <w:ind w:firstLine="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包含不限于办案办公工作桌面、诉讼服务、审判通用流程、执行通用流程、信访、材料管理、卷宗管理、委托鉴定评估、四级法院办案业务协同、移动办公办案</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档案管理、行政办公等系统。</w:t>
            </w:r>
          </w:p>
        </w:tc>
      </w:tr>
      <w:tr w14:paraId="1A58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641" w:type="dxa"/>
            <w:vMerge w:val="continue"/>
            <w:vAlign w:val="center"/>
          </w:tcPr>
          <w:p w14:paraId="09C6EC40">
            <w:pPr>
              <w:widowControl w:val="0"/>
              <w:adjustRightInd w:val="0"/>
              <w:snapToGrid w:val="0"/>
              <w:spacing w:line="320" w:lineRule="exact"/>
              <w:ind w:firstLine="0"/>
              <w:jc w:val="center"/>
              <w:rPr>
                <w:rFonts w:hint="eastAsia" w:ascii="仿宋" w:hAnsi="仿宋" w:eastAsia="仿宋" w:cs="仿宋_GB2312"/>
                <w:color w:val="000000" w:themeColor="text1"/>
                <w:sz w:val="24"/>
                <w:szCs w:val="24"/>
                <w14:textFill>
                  <w14:solidFill>
                    <w14:schemeClr w14:val="tx1"/>
                  </w14:solidFill>
                </w14:textFill>
              </w:rPr>
            </w:pPr>
          </w:p>
        </w:tc>
        <w:tc>
          <w:tcPr>
            <w:tcW w:w="5958" w:type="dxa"/>
            <w:vAlign w:val="center"/>
          </w:tcPr>
          <w:p w14:paraId="6CB1FD6B">
            <w:pPr>
              <w:widowControl w:val="0"/>
              <w:adjustRightInd w:val="0"/>
              <w:snapToGrid w:val="0"/>
              <w:spacing w:line="320" w:lineRule="exact"/>
              <w:ind w:firstLine="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后续“一张网”新增、扩展的系统功能模块。</w:t>
            </w:r>
          </w:p>
        </w:tc>
      </w:tr>
      <w:tr w14:paraId="7928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2641" w:type="dxa"/>
            <w:vMerge w:val="restart"/>
            <w:vAlign w:val="center"/>
          </w:tcPr>
          <w:p w14:paraId="50487092">
            <w:pPr>
              <w:widowControl w:val="0"/>
              <w:adjustRightInd w:val="0"/>
              <w:snapToGrid w:val="0"/>
              <w:spacing w:line="320" w:lineRule="exact"/>
              <w:ind w:firstLine="0"/>
              <w:jc w:val="center"/>
              <w:rPr>
                <w:rFonts w:hint="eastAsia"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14:textFill>
                  <w14:solidFill>
                    <w14:schemeClr w14:val="tx1"/>
                  </w14:solidFill>
                </w14:textFill>
              </w:rPr>
              <w:t>本地应用系统</w:t>
            </w:r>
          </w:p>
        </w:tc>
        <w:tc>
          <w:tcPr>
            <w:tcW w:w="5958" w:type="dxa"/>
            <w:vAlign w:val="center"/>
          </w:tcPr>
          <w:p w14:paraId="56A515B2">
            <w:pPr>
              <w:widowControl w:val="0"/>
              <w:adjustRightInd w:val="0"/>
              <w:snapToGrid w:val="0"/>
              <w:spacing w:line="320" w:lineRule="exact"/>
              <w:ind w:firstLine="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司法政务（公务用车、考勤休假）、执行（点对点）司法查控系统、诉讼费管理系统（含电子票据）、电子签章管理平台、数字审委会系统等</w:t>
            </w:r>
            <w:r>
              <w:rPr>
                <w:rFonts w:hint="eastAsia" w:ascii="仿宋" w:hAnsi="仿宋" w:eastAsia="仿宋" w:cs="仿宋"/>
                <w:color w:val="000000" w:themeColor="text1"/>
                <w:sz w:val="24"/>
                <w:szCs w:val="24"/>
                <w:lang w:val="en-US" w:eastAsia="zh-CN"/>
                <w14:textFill>
                  <w14:solidFill>
                    <w14:schemeClr w14:val="tx1"/>
                  </w14:solidFill>
                </w14:textFill>
              </w:rPr>
              <w:t>武汉法院自建</w:t>
            </w:r>
            <w:r>
              <w:rPr>
                <w:rFonts w:hint="eastAsia" w:ascii="仿宋" w:hAnsi="仿宋" w:eastAsia="仿宋" w:cs="仿宋"/>
                <w:color w:val="000000" w:themeColor="text1"/>
                <w:sz w:val="24"/>
                <w:szCs w:val="24"/>
                <w14:textFill>
                  <w14:solidFill>
                    <w14:schemeClr w14:val="tx1"/>
                  </w14:solidFill>
                </w14:textFill>
              </w:rPr>
              <w:t>系统。</w:t>
            </w:r>
          </w:p>
        </w:tc>
      </w:tr>
      <w:tr w14:paraId="59C27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641" w:type="dxa"/>
            <w:vMerge w:val="continue"/>
            <w:vAlign w:val="center"/>
          </w:tcPr>
          <w:p w14:paraId="4C3FB9A3">
            <w:pPr>
              <w:widowControl w:val="0"/>
              <w:adjustRightInd w:val="0"/>
              <w:snapToGrid w:val="0"/>
              <w:spacing w:line="320" w:lineRule="exact"/>
              <w:ind w:firstLine="0"/>
              <w:jc w:val="center"/>
              <w:rPr>
                <w:rFonts w:hint="eastAsia" w:ascii="仿宋" w:hAnsi="仿宋" w:eastAsia="仿宋" w:cs="仿宋_GB2312"/>
                <w:color w:val="000000" w:themeColor="text1"/>
                <w:sz w:val="24"/>
                <w:szCs w:val="24"/>
                <w14:textFill>
                  <w14:solidFill>
                    <w14:schemeClr w14:val="tx1"/>
                  </w14:solidFill>
                </w14:textFill>
              </w:rPr>
            </w:pPr>
          </w:p>
        </w:tc>
        <w:tc>
          <w:tcPr>
            <w:tcW w:w="5958" w:type="dxa"/>
            <w:vAlign w:val="center"/>
          </w:tcPr>
          <w:p w14:paraId="6F7DE8AB">
            <w:pPr>
              <w:widowControl w:val="0"/>
              <w:adjustRightInd w:val="0"/>
              <w:snapToGrid w:val="0"/>
              <w:spacing w:line="320" w:lineRule="exact"/>
              <w:ind w:firstLine="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运维期间新建应用系统项目、其他正常使用的应用系统</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以及其他需配合的工作。</w:t>
            </w:r>
          </w:p>
        </w:tc>
      </w:tr>
    </w:tbl>
    <w:p w14:paraId="6AF7093D"/>
    <w:p w14:paraId="1E4C497A">
      <w:pPr>
        <w:pStyle w:val="6"/>
        <w:rPr>
          <w:rFonts w:asciiTheme="minorEastAsia" w:hAnsiTheme="minorEastAsia" w:eastAsiaTheme="minorEastAsia"/>
        </w:rPr>
      </w:pPr>
      <w:bookmarkStart w:id="5" w:name="_Toc30736"/>
      <w:r>
        <w:rPr>
          <w:rFonts w:hint="eastAsia" w:asciiTheme="minorEastAsia" w:hAnsiTheme="minorEastAsia" w:eastAsiaTheme="minorEastAsia"/>
        </w:rPr>
        <w:t>运维服务内容</w:t>
      </w:r>
      <w:bookmarkEnd w:id="5"/>
    </w:p>
    <w:p w14:paraId="6D5CA66E">
      <w:pPr>
        <w:pStyle w:val="7"/>
        <w:rPr>
          <w:rFonts w:asciiTheme="minorEastAsia" w:hAnsiTheme="minorEastAsia" w:eastAsiaTheme="minorEastAsia"/>
          <w:kern w:val="0"/>
          <w:szCs w:val="24"/>
        </w:rPr>
      </w:pPr>
      <w:bookmarkStart w:id="6" w:name="_Toc22360"/>
      <w:r>
        <w:rPr>
          <w:rFonts w:hint="eastAsia" w:asciiTheme="minorEastAsia" w:hAnsiTheme="minorEastAsia" w:eastAsiaTheme="minorEastAsia"/>
          <w:kern w:val="0"/>
          <w:szCs w:val="24"/>
        </w:rPr>
        <w:t>总体运维服务内容</w:t>
      </w:r>
      <w:bookmarkEnd w:id="6"/>
    </w:p>
    <w:p w14:paraId="5AA88E91">
      <w:pPr>
        <w:widowControl w:val="0"/>
        <w:spacing w:line="460" w:lineRule="exact"/>
        <w:jc w:val="left"/>
        <w:rPr>
          <w:rFonts w:hint="eastAsia" w:ascii="宋体" w:hAnsi="宋体" w:eastAsia="宋体" w:cs="Times New Roman"/>
          <w:sz w:val="24"/>
          <w:szCs w:val="24"/>
        </w:rPr>
      </w:pPr>
      <w:r>
        <w:rPr>
          <w:rFonts w:hint="eastAsia" w:ascii="宋体" w:hAnsi="宋体" w:eastAsia="宋体" w:cs="Times New Roman"/>
          <w:sz w:val="24"/>
          <w:szCs w:val="24"/>
        </w:rPr>
        <w:t>（1）建立和维护软件系统台账。以应用系统为管理对象，以满足运维管理为目标，进行标准化、规范化管理。</w:t>
      </w:r>
    </w:p>
    <w:p w14:paraId="6F4D8CE9">
      <w:pPr>
        <w:widowControl w:val="0"/>
        <w:spacing w:line="460" w:lineRule="exact"/>
        <w:jc w:val="left"/>
        <w:rPr>
          <w:rFonts w:hint="eastAsia" w:ascii="宋体" w:hAnsi="宋体" w:eastAsia="宋体" w:cs="Times New Roman"/>
          <w:sz w:val="24"/>
          <w:szCs w:val="24"/>
        </w:rPr>
      </w:pPr>
      <w:r>
        <w:rPr>
          <w:rFonts w:hint="eastAsia" w:ascii="宋体" w:hAnsi="宋体" w:eastAsia="宋体" w:cs="Times New Roman"/>
          <w:sz w:val="24"/>
          <w:szCs w:val="24"/>
        </w:rPr>
        <w:t>（2）巡检和记录。建立例行巡检制度，对各系统运行状态进行人工例行巡检，巡检须有记录，巡检记录须归档。</w:t>
      </w:r>
    </w:p>
    <w:p w14:paraId="39A03847">
      <w:pPr>
        <w:widowControl w:val="0"/>
        <w:spacing w:line="460" w:lineRule="exact"/>
        <w:jc w:val="left"/>
        <w:rPr>
          <w:rFonts w:hint="eastAsia" w:ascii="宋体" w:hAnsi="宋体" w:eastAsia="宋体" w:cs="Times New Roman"/>
          <w:sz w:val="24"/>
          <w:szCs w:val="24"/>
        </w:rPr>
      </w:pPr>
      <w:r>
        <w:rPr>
          <w:rFonts w:hint="eastAsia" w:ascii="宋体" w:hAnsi="宋体" w:eastAsia="宋体" w:cs="Times New Roman"/>
          <w:sz w:val="24"/>
          <w:szCs w:val="24"/>
        </w:rPr>
        <w:t>（3）维护作业。①按需调整配置参数，不断优化系统运行效率；②及时更新用户信息、用户分组信息、权限等数据。</w:t>
      </w:r>
    </w:p>
    <w:p w14:paraId="6F4B3088">
      <w:pPr>
        <w:widowControl w:val="0"/>
        <w:spacing w:line="460" w:lineRule="exact"/>
        <w:jc w:val="left"/>
        <w:rPr>
          <w:rFonts w:hint="eastAsia" w:ascii="宋体" w:hAnsi="宋体" w:eastAsia="宋体" w:cs="Times New Roman"/>
          <w:sz w:val="24"/>
          <w:szCs w:val="24"/>
        </w:rPr>
      </w:pPr>
      <w:r>
        <w:rPr>
          <w:rFonts w:hint="eastAsia" w:ascii="宋体" w:hAnsi="宋体" w:eastAsia="宋体" w:cs="Times New Roman"/>
          <w:sz w:val="24"/>
          <w:szCs w:val="24"/>
        </w:rPr>
        <w:t>（4）事件响应。对软件故障引起的业务中断或运行无法满足业务正常运行要求进行响应服务，快速恢复用户业务。</w:t>
      </w:r>
    </w:p>
    <w:p w14:paraId="3A286DD4">
      <w:pPr>
        <w:widowControl w:val="0"/>
        <w:spacing w:line="460" w:lineRule="exact"/>
        <w:jc w:val="left"/>
        <w:rPr>
          <w:rFonts w:hint="eastAsia" w:ascii="宋体" w:hAnsi="宋体" w:eastAsia="宋体" w:cs="Times New Roman"/>
          <w:sz w:val="24"/>
          <w:szCs w:val="24"/>
        </w:rPr>
      </w:pPr>
      <w:r>
        <w:rPr>
          <w:rFonts w:hint="eastAsia" w:ascii="宋体" w:hAnsi="宋体" w:eastAsia="宋体" w:cs="Times New Roman"/>
          <w:sz w:val="24"/>
          <w:szCs w:val="24"/>
        </w:rPr>
        <w:t>（5）信息安全。在日常运维工作落实信息安全等级保护三级的要求；认真规划并落实数据备份方案；制订完善制度、采用可靠技术禁止非授权数据访问。</w:t>
      </w:r>
    </w:p>
    <w:p w14:paraId="537225A6">
      <w:pPr>
        <w:widowControl w:val="0"/>
        <w:spacing w:line="460" w:lineRule="exact"/>
        <w:jc w:val="left"/>
        <w:rPr>
          <w:rFonts w:asciiTheme="minorEastAsia" w:hAnsiTheme="minorEastAsia"/>
          <w:szCs w:val="24"/>
        </w:rPr>
      </w:pPr>
      <w:r>
        <w:rPr>
          <w:rFonts w:hint="eastAsia" w:ascii="宋体" w:hAnsi="宋体" w:eastAsia="宋体" w:cs="Times New Roman"/>
          <w:sz w:val="24"/>
          <w:szCs w:val="24"/>
        </w:rPr>
        <w:t>（6）其他服务内容。①特殊时期值守。针对特殊时期的信息系统运维需求提供保障服务，确保信息系统的安全稳定。包括国家法定节假日，国家、湖北及武汉的重要会议、重大活动以及突发安全事件期间等特殊时期的运维服务。按照相关要求，完成特殊时期的驻地值守、系统监控等运维服务任务。②其他项目配合。配合其他信息化项目的开展及现场联调等工作。</w:t>
      </w:r>
    </w:p>
    <w:p w14:paraId="7BB7996A">
      <w:pPr>
        <w:pStyle w:val="7"/>
        <w:rPr>
          <w:rFonts w:asciiTheme="minorEastAsia" w:hAnsiTheme="minorEastAsia" w:eastAsiaTheme="minorEastAsia"/>
          <w:kern w:val="0"/>
          <w:szCs w:val="24"/>
        </w:rPr>
      </w:pPr>
      <w:bookmarkStart w:id="7" w:name="_Toc7817"/>
      <w:r>
        <w:rPr>
          <w:rFonts w:hint="eastAsia" w:asciiTheme="minorEastAsia" w:hAnsiTheme="minorEastAsia" w:eastAsiaTheme="minorEastAsia"/>
          <w:kern w:val="0"/>
          <w:szCs w:val="24"/>
        </w:rPr>
        <w:t>应用软件运维服务</w:t>
      </w:r>
      <w:bookmarkEnd w:id="7"/>
    </w:p>
    <w:p w14:paraId="42369528">
      <w:pPr>
        <w:widowControl w:val="0"/>
        <w:adjustRightInd w:val="0"/>
        <w:snapToGrid w:val="0"/>
        <w:spacing w:line="460" w:lineRule="exact"/>
        <w:ind w:firstLine="360" w:firstLineChars="150"/>
        <w:jc w:val="left"/>
        <w:rPr>
          <w:rFonts w:hint="eastAsia" w:ascii="宋体" w:hAnsi="宋体" w:eastAsia="宋体" w:cs="仿宋_GB2312"/>
          <w:sz w:val="24"/>
          <w:szCs w:val="24"/>
        </w:rPr>
      </w:pPr>
      <w:r>
        <w:rPr>
          <w:rFonts w:hint="eastAsia" w:ascii="宋体" w:hAnsi="宋体" w:eastAsia="宋体" w:cs="Times New Roman"/>
          <w:sz w:val="24"/>
          <w:szCs w:val="24"/>
        </w:rPr>
        <w:t>运维范围包括一张网相关系统：包含不限于办案办公工作桌面、诉讼服务、审判通用流程、执行通用流程、信访、材料管理、卷宗管理、委托鉴定评估、四级法院办案业务协同、移动办公办案、档案管理、行政办公等系统；司法政务（公务用车、考勤休假）、执行（点对点）司法查控系统、诉讼费管理系统（含电子票据）、电子签章管理平台、数字审委会系统等武汉法院自建系统，以及其它在运维服务期内采购人新建的需要运</w:t>
      </w:r>
      <w:r>
        <w:rPr>
          <w:rFonts w:hint="eastAsia" w:ascii="宋体" w:hAnsi="宋体" w:eastAsia="宋体" w:cs="仿宋_GB2312"/>
          <w:sz w:val="24"/>
          <w:szCs w:val="24"/>
        </w:rPr>
        <w:t>维服务的信息化项目。</w:t>
      </w:r>
    </w:p>
    <w:p w14:paraId="2C395839">
      <w:pPr>
        <w:widowControl w:val="0"/>
        <w:numPr>
          <w:ilvl w:val="0"/>
          <w:numId w:val="2"/>
        </w:numPr>
        <w:adjustRightInd w:val="0"/>
        <w:snapToGrid w:val="0"/>
        <w:spacing w:line="460" w:lineRule="exact"/>
        <w:ind w:firstLine="360" w:firstLineChars="150"/>
        <w:jc w:val="left"/>
        <w:rPr>
          <w:rFonts w:hint="eastAsia" w:ascii="宋体" w:hAnsi="宋体" w:eastAsia="宋体" w:cs="仿宋_GB2312"/>
          <w:sz w:val="24"/>
          <w:szCs w:val="24"/>
        </w:rPr>
      </w:pPr>
      <w:r>
        <w:rPr>
          <w:rFonts w:hint="eastAsia" w:ascii="宋体" w:hAnsi="宋体" w:eastAsia="宋体" w:cs="仿宋_GB2312"/>
          <w:sz w:val="24"/>
          <w:szCs w:val="24"/>
        </w:rPr>
        <w:t>日常运维。①系统日常维护：a、每日监控系统运行情况，若发现异常情况及时处理。b、每日随时收集记录采购人在使用系统过程中发现的BUG，并根据问题的严重程度及采购人要求的紧急程度，给予及时的解决。如果常驻人员解决不了，由成交单位后台解决。c、每周查看整理系统运行日志，发现并解决问题。d、每月定期、协助监控对系统产生的业务数据进行一次全量导出，以便用户做备份。e、每月组织对系统运行情况的检查与审核，通过现场核查、调取相关的运维工作记录、审查运维报告等方式，对各系统的日常工作情况进行全面的检查与审核，以发现、分析系统整体的运行问题。对于发现的问题，经双方协商调用必要的服务支持资源及时予以解决，并将问题及解决办法形成文档。②系统调优升级：定期测试系统的性能指标，并采取措施对系统的性能进行优化。驻场人员若要对系统对应的产品进行升级，需经过采购人同意的情况下，方可进行升级服务。系统升级必须遵循以下原则：升级后不能影响法院审判业务正常进行；升级前必须经过中院技术管理部门同意；升级工作在工作日晚上或休息天进行。③系统完善修改：对于采购人在系统运营过程中提出的修改需求，如不涉及核心架构修改、全新功能模块增加以及大工作量的研发投入，都在本维护项目内予以解决。所有系统修改均提供需求变更说明书、系统修改确认单交由中院技术管理部门做备份。④维护服务台帐：所有维护、修改记录登记，建立维护服务台帐，定期向中院技术管理部门汇报。⑤系统对接处理：负责协助中院技术管理部门所有与法院案件管理系统相关的系统对接工作及系统对接异常。⑥其他工作：中院技术管理部门要求的其他工作。</w:t>
      </w:r>
    </w:p>
    <w:p w14:paraId="126D060D">
      <w:pPr>
        <w:widowControl w:val="0"/>
        <w:numPr>
          <w:ilvl w:val="0"/>
          <w:numId w:val="2"/>
        </w:numPr>
        <w:adjustRightInd w:val="0"/>
        <w:snapToGrid w:val="0"/>
        <w:spacing w:line="460" w:lineRule="exact"/>
        <w:ind w:firstLine="360" w:firstLineChars="150"/>
        <w:jc w:val="left"/>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工单系统运维服务</w:t>
      </w:r>
    </w:p>
    <w:p w14:paraId="4744D2BD">
      <w:pPr>
        <w:widowControl w:val="0"/>
        <w:numPr>
          <w:ilvl w:val="0"/>
          <w:numId w:val="0"/>
        </w:numPr>
        <w:adjustRightInd w:val="0"/>
        <w:snapToGrid w:val="0"/>
        <w:spacing w:line="460" w:lineRule="exact"/>
        <w:ind w:firstLine="420" w:firstLineChars="0"/>
        <w:jc w:val="left"/>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14:textFill>
            <w14:solidFill>
              <w14:schemeClr w14:val="tx1"/>
            </w14:solidFill>
          </w14:textFill>
        </w:rPr>
        <w:t>①每日处理两级法院通过工单系统提交上来的问题。</w:t>
      </w:r>
    </w:p>
    <w:p w14:paraId="30F628F0">
      <w:pPr>
        <w:widowControl w:val="0"/>
        <w:numPr>
          <w:ilvl w:val="0"/>
          <w:numId w:val="0"/>
        </w:numPr>
        <w:adjustRightInd w:val="0"/>
        <w:snapToGrid w:val="0"/>
        <w:spacing w:line="460" w:lineRule="exact"/>
        <w:ind w:firstLine="420" w:firstLineChars="0"/>
        <w:jc w:val="left"/>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②</w:t>
      </w:r>
      <w:r>
        <w:rPr>
          <w:rFonts w:hint="eastAsia" w:ascii="宋体" w:hAnsi="宋体" w:eastAsia="宋体" w:cs="仿宋_GB2312"/>
          <w:color w:val="000000" w:themeColor="text1"/>
          <w:sz w:val="24"/>
          <w:szCs w:val="24"/>
          <w14:textFill>
            <w14:solidFill>
              <w14:schemeClr w14:val="tx1"/>
            </w14:solidFill>
          </w14:textFill>
        </w:rPr>
        <w:t>建立日工作处理数量台账，每日整理遇到的问题。</w:t>
      </w:r>
    </w:p>
    <w:p w14:paraId="6D798CE6">
      <w:pPr>
        <w:widowControl w:val="0"/>
        <w:numPr>
          <w:ilvl w:val="0"/>
          <w:numId w:val="0"/>
        </w:numPr>
        <w:adjustRightInd w:val="0"/>
        <w:snapToGrid w:val="0"/>
        <w:spacing w:line="460" w:lineRule="exact"/>
        <w:ind w:firstLine="420" w:firstLineChars="0"/>
        <w:jc w:val="left"/>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③</w:t>
      </w:r>
      <w:r>
        <w:rPr>
          <w:rFonts w:hint="eastAsia" w:ascii="宋体" w:hAnsi="宋体" w:eastAsia="宋体" w:cs="仿宋_GB2312"/>
          <w:color w:val="000000" w:themeColor="text1"/>
          <w:sz w:val="24"/>
          <w:szCs w:val="24"/>
          <w14:textFill>
            <w14:solidFill>
              <w14:schemeClr w14:val="tx1"/>
            </w14:solidFill>
          </w14:textFill>
        </w:rPr>
        <w:t>每日完成对系统基本功能的巡检，保证两级法院的审判执行工作可以顺利进行。</w:t>
      </w:r>
    </w:p>
    <w:p w14:paraId="38B87D16">
      <w:pPr>
        <w:widowControl w:val="0"/>
        <w:numPr>
          <w:ilvl w:val="0"/>
          <w:numId w:val="0"/>
        </w:numPr>
        <w:adjustRightInd w:val="0"/>
        <w:snapToGrid w:val="0"/>
        <w:spacing w:line="460" w:lineRule="exact"/>
        <w:ind w:firstLine="420" w:firstLineChars="0"/>
        <w:jc w:val="left"/>
        <w:rPr>
          <w:rFonts w:hint="eastAsia" w:ascii="宋体" w:hAnsi="宋体" w:eastAsia="宋体" w:cs="仿宋_GB2312"/>
          <w:color w:val="000000" w:themeColor="text1"/>
          <w:sz w:val="24"/>
          <w:szCs w:val="24"/>
          <w14:textFill>
            <w14:solidFill>
              <w14:schemeClr w14:val="tx1"/>
            </w14:solidFill>
          </w14:textFill>
        </w:rPr>
      </w:pPr>
      <w:r>
        <w:rPr>
          <w:rFonts w:hint="eastAsia" w:ascii="宋体" w:hAnsi="宋体" w:eastAsia="宋体" w:cs="仿宋_GB2312"/>
          <w:color w:val="000000" w:themeColor="text1"/>
          <w:sz w:val="24"/>
          <w:szCs w:val="24"/>
          <w:lang w:val="en-US" w:eastAsia="zh-CN"/>
          <w14:textFill>
            <w14:solidFill>
              <w14:schemeClr w14:val="tx1"/>
            </w14:solidFill>
          </w14:textFill>
        </w:rPr>
        <w:t>④</w:t>
      </w:r>
      <w:r>
        <w:rPr>
          <w:rFonts w:hint="eastAsia" w:ascii="宋体" w:hAnsi="宋体" w:eastAsia="宋体" w:cs="仿宋_GB2312"/>
          <w:color w:val="000000" w:themeColor="text1"/>
          <w:sz w:val="24"/>
          <w:szCs w:val="24"/>
          <w14:textFill>
            <w14:solidFill>
              <w14:schemeClr w14:val="tx1"/>
            </w14:solidFill>
          </w14:textFill>
        </w:rPr>
        <w:t>每周编写运维工单工作周汇报，并向</w:t>
      </w:r>
      <w:r>
        <w:rPr>
          <w:rFonts w:hint="eastAsia" w:ascii="宋体" w:hAnsi="宋体" w:eastAsia="宋体" w:cs="仿宋_GB2312"/>
          <w:color w:val="000000" w:themeColor="text1"/>
          <w:sz w:val="24"/>
          <w:szCs w:val="24"/>
          <w:lang w:val="en-US" w:eastAsia="zh-CN"/>
          <w14:textFill>
            <w14:solidFill>
              <w14:schemeClr w14:val="tx1"/>
            </w14:solidFill>
          </w14:textFill>
        </w:rPr>
        <w:t>主管部门</w:t>
      </w:r>
      <w:r>
        <w:rPr>
          <w:rFonts w:hint="eastAsia" w:ascii="宋体" w:hAnsi="宋体" w:eastAsia="宋体" w:cs="仿宋_GB2312"/>
          <w:color w:val="000000" w:themeColor="text1"/>
          <w:sz w:val="24"/>
          <w:szCs w:val="24"/>
          <w14:textFill>
            <w14:solidFill>
              <w14:schemeClr w14:val="tx1"/>
            </w14:solidFill>
          </w14:textFill>
        </w:rPr>
        <w:t>领导进行汇报。</w:t>
      </w:r>
    </w:p>
    <w:p w14:paraId="539F9DE1">
      <w:pPr>
        <w:widowControl w:val="0"/>
        <w:adjustRightInd w:val="0"/>
        <w:snapToGrid w:val="0"/>
        <w:spacing w:line="460" w:lineRule="exact"/>
        <w:ind w:firstLine="360" w:firstLineChars="150"/>
        <w:jc w:val="left"/>
        <w:rPr>
          <w:rFonts w:hint="eastAsia" w:ascii="宋体" w:hAnsi="宋体" w:eastAsia="宋体" w:cs="仿宋_GB2312"/>
          <w:sz w:val="24"/>
          <w:szCs w:val="24"/>
        </w:rPr>
      </w:pPr>
      <w:r>
        <w:rPr>
          <w:rFonts w:hint="eastAsia" w:ascii="宋体" w:hAnsi="宋体" w:eastAsia="宋体" w:cs="仿宋_GB2312"/>
          <w:sz w:val="24"/>
          <w:szCs w:val="24"/>
        </w:rPr>
        <w:t>（</w:t>
      </w:r>
      <w:r>
        <w:rPr>
          <w:rFonts w:hint="eastAsia" w:ascii="宋体" w:hAnsi="宋体" w:eastAsia="宋体" w:cs="仿宋_GB2312"/>
          <w:sz w:val="24"/>
          <w:szCs w:val="24"/>
          <w:lang w:val="en-US" w:eastAsia="zh-CN"/>
        </w:rPr>
        <w:t>3</w:t>
      </w:r>
      <w:r>
        <w:rPr>
          <w:rFonts w:hint="eastAsia" w:ascii="宋体" w:hAnsi="宋体" w:eastAsia="宋体" w:cs="仿宋_GB2312"/>
          <w:sz w:val="24"/>
          <w:szCs w:val="24"/>
        </w:rPr>
        <w:t>）操作培训。①对应用软件操作人员集中进行免费培训，并提供所需要的培训资料；②系统升级后应对技术人员进行技术培训，帮助相关技术人员熟悉软件的各项功能及具体实现；③每年组织3次集中操作培训，每次不少于2小时；④定期组织用户和软件开发人员进行技术交流。</w:t>
      </w:r>
    </w:p>
    <w:p w14:paraId="1A3627EB">
      <w:pPr>
        <w:rPr>
          <w:rFonts w:asciiTheme="minorEastAsia" w:hAnsiTheme="minorEastAsia" w:eastAsiaTheme="minorEastAsia"/>
          <w:color w:val="000000"/>
        </w:rPr>
      </w:pPr>
      <w:r>
        <w:rPr>
          <w:rFonts w:hint="eastAsia" w:ascii="宋体" w:hAnsi="宋体" w:eastAsia="宋体" w:cs="仿宋_GB2312"/>
          <w:sz w:val="24"/>
          <w:szCs w:val="24"/>
        </w:rPr>
        <w:t>（</w:t>
      </w:r>
      <w:r>
        <w:rPr>
          <w:rFonts w:hint="eastAsia" w:ascii="宋体" w:hAnsi="宋体" w:eastAsia="宋体" w:cs="仿宋_GB2312"/>
          <w:sz w:val="24"/>
          <w:szCs w:val="24"/>
          <w:lang w:val="en-US" w:eastAsia="zh-CN"/>
        </w:rPr>
        <w:t>4</w:t>
      </w:r>
      <w:r>
        <w:rPr>
          <w:rFonts w:hint="eastAsia" w:ascii="宋体" w:hAnsi="宋体" w:eastAsia="宋体" w:cs="仿宋_GB2312"/>
          <w:sz w:val="24"/>
          <w:szCs w:val="24"/>
        </w:rPr>
        <w:t>）咨询服务。①因业务要求有新的系统建设要求，应根据需求给出建设方案、预算规划和指导性意见，并协助进行前期方案论证、建设阶段的集成、数据迁移、数据库升级、应用迁移等工作，协调相关厂商完成全部建设工作。②每年对系统进行一次全面的评估，以使主管部门有充足的时间进行项目规划、申请、落实资金、采购等工作，满足不断发展的信息系统建设要求</w:t>
      </w:r>
      <w:r>
        <w:rPr>
          <w:rFonts w:hint="eastAsia" w:asciiTheme="minorEastAsia" w:hAnsiTheme="minorEastAsia" w:eastAsiaTheme="minorEastAsia"/>
          <w:color w:val="000000"/>
        </w:rPr>
        <w:t>。</w:t>
      </w:r>
    </w:p>
    <w:p w14:paraId="2DE0836D">
      <w:pPr>
        <w:pStyle w:val="7"/>
        <w:rPr>
          <w:rFonts w:asciiTheme="minorEastAsia" w:hAnsiTheme="minorEastAsia" w:eastAsiaTheme="minorEastAsia"/>
          <w:kern w:val="0"/>
          <w:szCs w:val="24"/>
        </w:rPr>
      </w:pPr>
      <w:bookmarkStart w:id="8" w:name="_Toc29574"/>
      <w:r>
        <w:rPr>
          <w:rFonts w:hint="eastAsia" w:asciiTheme="minorEastAsia" w:hAnsiTheme="minorEastAsia" w:eastAsiaTheme="minorEastAsia"/>
          <w:kern w:val="0"/>
          <w:szCs w:val="24"/>
          <w:lang w:eastAsia="zh-CN"/>
        </w:rPr>
        <w:t>自建系统</w:t>
      </w:r>
      <w:r>
        <w:rPr>
          <w:rFonts w:hint="eastAsia" w:asciiTheme="minorEastAsia" w:hAnsiTheme="minorEastAsia" w:eastAsiaTheme="minorEastAsia"/>
          <w:kern w:val="0"/>
          <w:szCs w:val="24"/>
        </w:rPr>
        <w:t>数据运维服务</w:t>
      </w:r>
      <w:bookmarkEnd w:id="8"/>
    </w:p>
    <w:p w14:paraId="1E9CE21E">
      <w:pPr>
        <w:numPr>
          <w:ilvl w:val="0"/>
          <w:numId w:val="3"/>
        </w:numPr>
        <w:rPr>
          <w:rFonts w:ascii="宋体" w:hAnsi="宋体"/>
          <w:kern w:val="0"/>
        </w:rPr>
      </w:pPr>
      <w:r>
        <w:rPr>
          <w:rFonts w:hint="eastAsia" w:ascii="宋体" w:hAnsi="宋体"/>
          <w:kern w:val="0"/>
        </w:rPr>
        <w:t>配合完成备份系统数据，包括备份数据库、备份事务日志；</w:t>
      </w:r>
    </w:p>
    <w:p w14:paraId="491D25AE">
      <w:pPr>
        <w:numPr>
          <w:ilvl w:val="0"/>
          <w:numId w:val="3"/>
        </w:numPr>
        <w:rPr>
          <w:rFonts w:ascii="宋体" w:hAnsi="宋体"/>
          <w:kern w:val="0"/>
        </w:rPr>
      </w:pPr>
      <w:r>
        <w:rPr>
          <w:rFonts w:hint="eastAsia" w:ascii="宋体" w:hAnsi="宋体"/>
          <w:kern w:val="0"/>
        </w:rPr>
        <w:t>因数据库存储设备失效造成数据库被破坏或不可存取，配合完成数据库备份恢复；</w:t>
      </w:r>
    </w:p>
    <w:p w14:paraId="3A92C9A0">
      <w:pPr>
        <w:numPr>
          <w:ilvl w:val="0"/>
          <w:numId w:val="3"/>
        </w:numPr>
        <w:rPr>
          <w:rFonts w:ascii="宋体" w:hAnsi="宋体"/>
          <w:kern w:val="0"/>
        </w:rPr>
      </w:pPr>
      <w:r>
        <w:rPr>
          <w:rFonts w:hint="eastAsia" w:ascii="宋体" w:hAnsi="宋体"/>
          <w:kern w:val="0"/>
        </w:rPr>
        <w:t>创建和维护用户信息表，为信息表授权；</w:t>
      </w:r>
    </w:p>
    <w:p w14:paraId="228F8C7C">
      <w:pPr>
        <w:numPr>
          <w:ilvl w:val="0"/>
          <w:numId w:val="3"/>
        </w:numPr>
        <w:rPr>
          <w:rFonts w:ascii="宋体" w:hAnsi="宋体"/>
          <w:kern w:val="0"/>
        </w:rPr>
      </w:pPr>
      <w:r>
        <w:rPr>
          <w:rFonts w:hint="eastAsia" w:ascii="宋体" w:hAnsi="宋体"/>
          <w:kern w:val="0"/>
        </w:rPr>
        <w:t>监视系统运行状况，及时处理系统错误；</w:t>
      </w:r>
    </w:p>
    <w:p w14:paraId="7FBB1611">
      <w:pPr>
        <w:numPr>
          <w:ilvl w:val="0"/>
          <w:numId w:val="3"/>
        </w:numPr>
        <w:rPr>
          <w:rFonts w:ascii="宋体" w:hAnsi="宋体"/>
          <w:kern w:val="0"/>
        </w:rPr>
      </w:pPr>
      <w:r>
        <w:rPr>
          <w:rFonts w:hint="eastAsia" w:ascii="宋体" w:hAnsi="宋体"/>
          <w:kern w:val="0"/>
        </w:rPr>
        <w:t>监视当前用户以及进程信息；</w:t>
      </w:r>
    </w:p>
    <w:p w14:paraId="24B1DFF2">
      <w:pPr>
        <w:numPr>
          <w:ilvl w:val="0"/>
          <w:numId w:val="3"/>
        </w:numPr>
        <w:rPr>
          <w:rFonts w:ascii="宋体" w:hAnsi="宋体"/>
          <w:kern w:val="0"/>
        </w:rPr>
      </w:pPr>
      <w:r>
        <w:rPr>
          <w:rFonts w:hint="eastAsia" w:ascii="宋体" w:hAnsi="宋体"/>
          <w:kern w:val="0"/>
        </w:rPr>
        <w:t>监视目标占用空间情况；</w:t>
      </w:r>
    </w:p>
    <w:p w14:paraId="59651D9D">
      <w:pPr>
        <w:numPr>
          <w:ilvl w:val="0"/>
          <w:numId w:val="3"/>
        </w:numPr>
        <w:rPr>
          <w:rFonts w:ascii="宋体" w:hAnsi="宋体"/>
          <w:kern w:val="0"/>
        </w:rPr>
      </w:pPr>
      <w:r>
        <w:rPr>
          <w:rFonts w:hint="eastAsia" w:ascii="宋体" w:hAnsi="宋体"/>
          <w:kern w:val="0"/>
        </w:rPr>
        <w:t>监视数据库运行统计数据；</w:t>
      </w:r>
    </w:p>
    <w:p w14:paraId="27829B6D">
      <w:pPr>
        <w:numPr>
          <w:ilvl w:val="0"/>
          <w:numId w:val="3"/>
        </w:numPr>
        <w:rPr>
          <w:rFonts w:ascii="宋体" w:hAnsi="宋体"/>
          <w:kern w:val="0"/>
        </w:rPr>
      </w:pPr>
      <w:r>
        <w:rPr>
          <w:rFonts w:hint="eastAsia" w:ascii="宋体" w:hAnsi="宋体"/>
          <w:kern w:val="0"/>
        </w:rPr>
        <w:t>严格权限管理，周期更改用户口令；</w:t>
      </w:r>
    </w:p>
    <w:p w14:paraId="33C17491">
      <w:pPr>
        <w:numPr>
          <w:ilvl w:val="0"/>
          <w:numId w:val="3"/>
        </w:numPr>
        <w:rPr>
          <w:rFonts w:ascii="宋体" w:hAnsi="宋体"/>
          <w:kern w:val="0"/>
        </w:rPr>
      </w:pPr>
      <w:r>
        <w:rPr>
          <w:rFonts w:hint="eastAsia" w:ascii="宋体" w:hAnsi="宋体"/>
          <w:kern w:val="0"/>
        </w:rPr>
        <w:t>检查数据库运行情况，配合处理数据库故障；</w:t>
      </w:r>
    </w:p>
    <w:p w14:paraId="0E031621">
      <w:pPr>
        <w:numPr>
          <w:ilvl w:val="0"/>
          <w:numId w:val="3"/>
        </w:numPr>
        <w:rPr>
          <w:rFonts w:ascii="宋体" w:hAnsi="宋体"/>
          <w:kern w:val="0"/>
        </w:rPr>
      </w:pPr>
      <w:r>
        <w:rPr>
          <w:rFonts w:hint="eastAsia" w:ascii="宋体" w:hAnsi="宋体"/>
          <w:kern w:val="0"/>
        </w:rPr>
        <w:t>定期配合对数据库进行优化，提高数据库运行效率；</w:t>
      </w:r>
    </w:p>
    <w:p w14:paraId="725E22A7">
      <w:pPr>
        <w:numPr>
          <w:ilvl w:val="0"/>
          <w:numId w:val="3"/>
        </w:numPr>
        <w:rPr>
          <w:rFonts w:ascii="宋体" w:hAnsi="宋体"/>
          <w:kern w:val="0"/>
        </w:rPr>
      </w:pPr>
      <w:r>
        <w:rPr>
          <w:rFonts w:hint="eastAsia" w:ascii="宋体" w:hAnsi="宋体"/>
          <w:kern w:val="0"/>
        </w:rPr>
        <w:t>定期检查应用软件中间件运行情况，及时优化并处理中间件故障；</w:t>
      </w:r>
    </w:p>
    <w:p w14:paraId="28DD868C">
      <w:pPr>
        <w:numPr>
          <w:ilvl w:val="0"/>
          <w:numId w:val="3"/>
        </w:numPr>
        <w:rPr>
          <w:rFonts w:ascii="宋体" w:hAnsi="宋体"/>
          <w:kern w:val="0"/>
        </w:rPr>
      </w:pPr>
      <w:r>
        <w:rPr>
          <w:rFonts w:hint="eastAsia" w:ascii="宋体" w:hAnsi="宋体"/>
          <w:kern w:val="0"/>
        </w:rPr>
        <w:t>接受全市法院数据维护申请，经主管部门授权后及时进行数据维护处理；</w:t>
      </w:r>
    </w:p>
    <w:p w14:paraId="44390515">
      <w:pPr>
        <w:pStyle w:val="7"/>
      </w:pPr>
      <w:bookmarkStart w:id="9" w:name="_Toc10192"/>
      <w:bookmarkStart w:id="10" w:name="_Toc99456641"/>
      <w:r>
        <w:rPr>
          <w:rFonts w:hint="eastAsia"/>
        </w:rPr>
        <w:t>驻地运维团队</w:t>
      </w:r>
      <w:bookmarkEnd w:id="9"/>
      <w:bookmarkEnd w:id="10"/>
    </w:p>
    <w:p w14:paraId="22B1F605">
      <w:pPr>
        <w:ind w:left="420" w:firstLine="480" w:firstLineChars="200"/>
      </w:pPr>
      <w:r>
        <w:rPr>
          <w:rFonts w:hint="eastAsia" w:asciiTheme="minorEastAsia" w:hAnsiTheme="minorEastAsia"/>
          <w:kern w:val="0"/>
          <w:szCs w:val="24"/>
        </w:rPr>
        <w:t>1、现场常驻运维人员不得低于1</w:t>
      </w:r>
      <w:r>
        <w:rPr>
          <w:rFonts w:hint="eastAsia" w:asciiTheme="minorEastAsia" w:hAnsiTheme="minorEastAsia"/>
          <w:kern w:val="0"/>
          <w:szCs w:val="24"/>
          <w:lang w:val="en-US" w:eastAsia="zh-CN"/>
        </w:rPr>
        <w:t>5</w:t>
      </w:r>
      <w:r>
        <w:rPr>
          <w:rFonts w:hint="eastAsia" w:asciiTheme="minorEastAsia" w:hAnsiTheme="minorEastAsia"/>
          <w:kern w:val="0"/>
          <w:szCs w:val="24"/>
        </w:rPr>
        <w:t>人，实行5*8小时驻场维护，须符合国家劳动法有关规定。供应商派驻的项目经理</w:t>
      </w:r>
      <w:r>
        <w:rPr>
          <w:rFonts w:hint="eastAsia"/>
          <w:kern w:val="0"/>
        </w:rPr>
        <w:t>，需负责院内运维工作对接和运维团队的整体管理、协调、资源调配等工作，项目经理专人专职，不得兼任其他项目或兼职其他岗位），项目经理经验丰富，且工作稳定，不得随意变更项目经理。</w:t>
      </w:r>
    </w:p>
    <w:p w14:paraId="7A925335">
      <w:pPr>
        <w:pStyle w:val="34"/>
        <w:ind w:left="420" w:firstLine="480"/>
        <w:rPr>
          <w:rFonts w:ascii="宋体" w:hAnsi="宋体"/>
          <w:kern w:val="0"/>
        </w:rPr>
      </w:pPr>
      <w:r>
        <w:rPr>
          <w:rFonts w:hint="eastAsia" w:asciiTheme="minorEastAsia" w:hAnsiTheme="minorEastAsia"/>
          <w:szCs w:val="24"/>
        </w:rPr>
        <w:t>2、在重要节假日、重大活动期间，或遇到紧急事件时，需根据要求，提供现场支援服务。</w:t>
      </w:r>
    </w:p>
    <w:p w14:paraId="06908B9B">
      <w:pPr>
        <w:pStyle w:val="6"/>
      </w:pPr>
      <w:bookmarkStart w:id="11" w:name="_Toc6243"/>
      <w:r>
        <w:rPr>
          <w:rFonts w:hint="eastAsia"/>
        </w:rPr>
        <w:t>运维服务期限</w:t>
      </w:r>
      <w:bookmarkEnd w:id="11"/>
    </w:p>
    <w:p w14:paraId="603EB974">
      <w:pPr>
        <w:rPr>
          <w:rFonts w:asciiTheme="minorEastAsia" w:hAnsiTheme="minorEastAsia"/>
          <w:szCs w:val="24"/>
        </w:rPr>
      </w:pPr>
      <w:r>
        <w:rPr>
          <w:rFonts w:hint="eastAsia" w:asciiTheme="minorEastAsia" w:hAnsiTheme="minorEastAsia"/>
          <w:szCs w:val="24"/>
        </w:rPr>
        <w:t>运维服务期为</w:t>
      </w:r>
      <w:r>
        <w:rPr>
          <w:rFonts w:hint="eastAsia" w:asciiTheme="minorEastAsia" w:hAnsiTheme="minorEastAsia"/>
          <w:szCs w:val="24"/>
          <w:lang w:val="en-US" w:eastAsia="zh-CN"/>
        </w:rPr>
        <w:t>2026年1月1日至2026年12月31日</w:t>
      </w:r>
      <w:r>
        <w:rPr>
          <w:rFonts w:hint="eastAsia" w:asciiTheme="minorEastAsia" w:hAnsiTheme="minorEastAsia"/>
          <w:szCs w:val="24"/>
        </w:rPr>
        <w:t>。</w:t>
      </w:r>
    </w:p>
    <w:p w14:paraId="3B4D0A1F">
      <w:pPr>
        <w:pStyle w:val="6"/>
      </w:pPr>
      <w:bookmarkStart w:id="12" w:name="_Toc26825"/>
      <w:r>
        <w:rPr>
          <w:rFonts w:hint="eastAsia"/>
        </w:rPr>
        <w:t>运维服务要求</w:t>
      </w:r>
      <w:bookmarkEnd w:id="12"/>
    </w:p>
    <w:p w14:paraId="1B91562B">
      <w:pPr>
        <w:rPr>
          <w:color w:val="000000"/>
        </w:rPr>
      </w:pPr>
      <w:r>
        <w:rPr>
          <w:rFonts w:hint="eastAsia"/>
          <w:color w:val="000000"/>
        </w:rPr>
        <w:t>基本要求如下：加强运维服务团队管理、运维服务工作管理，建立和完善运维服务工作制度及流程规范；引入和优化运维服务工具，开展运维服务体系的评估和改进工作，向采购人提供优质运维服务咨询；规范信息化资产的管理工作，建立和完善资产保管、资产档案管理、资产管理规范，提高数据和软件资产的使用效率和管理水平。定期对运维服务体系整体情况、优点、不足、风险隐患等进行分析、总结和评估；评估分析法院信息系统的运维需求，提供建立、优化、完善服务管理体系的咨询和规划服务。针对评估结果制定优化改进方案并执行。</w:t>
      </w:r>
    </w:p>
    <w:p w14:paraId="71B5261D">
      <w:pPr>
        <w:ind w:firstLine="600"/>
        <w:rPr>
          <w:color w:val="000000"/>
        </w:rPr>
      </w:pPr>
      <w:r>
        <w:rPr>
          <w:rFonts w:hint="eastAsia"/>
          <w:color w:val="000000"/>
        </w:rPr>
        <w:t>1、运维工作管理要求。供应商应负责数据与应用运维服务工作的组织安排、运维服务工作过程和结果的监控管理、及时向法院反馈和汇报任务完成情况、定期组织服务工作例会，并按照法院要求定期对运维服务工作进行总结汇报，至少做到每周提交一次Bug修复、需求及完成情况汇总报告。</w:t>
      </w:r>
    </w:p>
    <w:p w14:paraId="58B12675">
      <w:pPr>
        <w:ind w:firstLine="600"/>
        <w:rPr>
          <w:color w:val="000000"/>
        </w:rPr>
      </w:pPr>
      <w:r>
        <w:rPr>
          <w:rFonts w:hint="eastAsia"/>
          <w:color w:val="000000"/>
        </w:rPr>
        <w:t>2、运维规范建设要求。（1） 建立和完善运维服务工作制度，针对运维服务管理的各个方面，根据法院的相关规定和要求，制定并不断完善人员管理制度、考勤管理制度、进出法院制度、值班管理制度、工作汇报制度、工作例会制度、保密制度、办公环境管理制度等各项工作管理制度，形成完善的、可操作的制度体系。（2）建立和完善运维服务流程规范，针对运维服务管理的各个方面和各项具体服务内容，根据法院的相关规定和要求，制定和完善如下各项服务流程和规范：基本礼仪和行为规范、热线服务规范、现场服务规范、服务禁语等基本工作规范；事件管理、问题管理、变更管理、配置管理、发布管理、供应商管理、投诉管理、安全管理、服务分级、故障分级等运维管理流程规范；应用支持、会议保障、活动保障、信息编发、安全检查、项目配合等技术流程规范；各类运维文档编写和提交的规范等；完善各项流程规范的具体内容；梳理已有流程规范，补充缺少的流程规范，完善流程规范体系。</w:t>
      </w:r>
    </w:p>
    <w:p w14:paraId="555885BA">
      <w:pPr>
        <w:ind w:firstLine="600"/>
        <w:rPr>
          <w:color w:val="000000"/>
        </w:rPr>
      </w:pPr>
      <w:r>
        <w:rPr>
          <w:rFonts w:hint="eastAsia"/>
          <w:color w:val="000000"/>
        </w:rPr>
        <w:t>3、团队建设要求。梳理、明确服务人员的岗位职责，根据服务工作需要和团队实际情况进行规划和调整；对服务人员的考勤、着装、服务意识、服务态度、日常行为等进行管理；对服务人员的服务能力进行评估，根据服务工作需要和团队实际情况进行规划和改进；将服务人员的调整情况及时向法院申请和汇报；对服务团队的办公环境、设备及工具的使用和维护进行管理。供应商需针对本次运维服务提供具有相应管理水平和技术能力的运维服务团队，运维服务团队人员要求：1、供应商拟派一线运维服务团队人员须有1年以上本公司资历；2、现场服务人员的变动，需经主管部门同意，主管部门有权要求对不合格人员进行调整。</w:t>
      </w:r>
    </w:p>
    <w:p w14:paraId="29BDCAA7">
      <w:pPr>
        <w:ind w:firstLine="600"/>
        <w:rPr>
          <w:color w:val="000000"/>
        </w:rPr>
      </w:pPr>
      <w:r>
        <w:rPr>
          <w:rFonts w:hint="eastAsia"/>
          <w:color w:val="000000"/>
        </w:rPr>
        <w:t>4、信息化资产管理要求。（1）建立资产档案。针对所有的数据与应用资产逐一建立完整的资产档案，资产档案应该包含资产大类、细类、名称、数量、用途、部署地址、服务端口、关联软件、保修期限、原厂商、运维商、维护情况等。（2）资产核查。服务提供商每年不少于两次对所承担运维的信息化资产进行整理，并配合法院职能部门做好资产核查工作，维护资产清单准确性，同时向法院提交信息化资产保管和运维报告。</w:t>
      </w:r>
    </w:p>
    <w:p w14:paraId="5B61F12B">
      <w:pPr>
        <w:ind w:firstLine="600"/>
        <w:rPr>
          <w:color w:val="000000"/>
        </w:rPr>
      </w:pPr>
      <w:r>
        <w:rPr>
          <w:rFonts w:hint="eastAsia"/>
          <w:color w:val="000000"/>
        </w:rPr>
        <w:t>5、应急响应要求。为应对各种突发事件，提前发现隐患，及时解决问题，降低应急事件可能带来的不良影响，供应商须根据采购人信息系统实际情况，进行运维服务的应急响应管理，应急响应管理应包括应急准备、监测与预警、应急处置、总结改进四个主要阶段。基本要求如下：（1）制定应急预案，明确应急事件的分类分级、人员组成、触发机制、处理流程等；（2）定期开展应急演练；（3）应急启动和应急处置；（4）建立应急处理的评估和改进机制；（5）非正常上班时，遇有紧急情况，中标供应商的派驻人员接通知后应在两小时内到达指定工作地点。</w:t>
      </w:r>
    </w:p>
    <w:p w14:paraId="67CE01B6">
      <w:pPr>
        <w:pStyle w:val="2"/>
        <w:ind w:firstLine="480"/>
        <w:rPr>
          <w:rFonts w:hint="eastAsia" w:cs="宋体"/>
          <w:b w:val="0"/>
          <w:bCs w:val="0"/>
          <w:color w:val="000000"/>
          <w:lang w:eastAsia="zh-CN"/>
        </w:rPr>
      </w:pPr>
      <w:r>
        <w:rPr>
          <w:rFonts w:hint="eastAsia"/>
          <w:color w:val="000000"/>
        </w:rPr>
        <w:t>6、运维服务承诺。中标供应商需承诺除上述</w:t>
      </w:r>
      <w:r>
        <w:rPr>
          <w:rFonts w:hint="eastAsia" w:cs="宋体"/>
          <w:color w:val="000000"/>
        </w:rPr>
        <w:t>应用软件运维清单外，若中标供应商还有其它部署在市中院的相关应用软件，一并纳入本次运维范围内</w:t>
      </w:r>
      <w:r>
        <w:rPr>
          <w:rFonts w:hint="eastAsia" w:cs="宋体"/>
          <w:color w:val="000000"/>
          <w:lang w:eastAsia="zh-CN"/>
        </w:rPr>
        <w:t>，其中，待最高法院数据下行及使用方案明确后，中标供应商应保证在本项目内完成武汉法院审判分析与动态预警、院庭长监管管理、两终管理平台、诉讼服务指导中心、全域诉讼服务、数字档案室</w:t>
      </w:r>
      <w:r>
        <w:rPr>
          <w:rFonts w:hint="eastAsia" w:cs="宋体"/>
          <w:color w:val="000000"/>
          <w:lang w:val="en-US" w:eastAsia="zh-CN"/>
        </w:rPr>
        <w:t>6项系统对下行数据的应用对接，确保系统原有各项功能恢复正常使用</w:t>
      </w:r>
      <w:r>
        <w:rPr>
          <w:rFonts w:hint="eastAsia" w:cs="宋体"/>
          <w:color w:val="000000"/>
        </w:rPr>
        <w:t>。</w:t>
      </w:r>
      <w:r>
        <w:rPr>
          <w:rFonts w:hint="eastAsia" w:cs="宋体"/>
          <w:b w:val="0"/>
          <w:bCs w:val="0"/>
          <w:color w:val="000000"/>
        </w:rPr>
        <w:t>基层法院</w:t>
      </w:r>
      <w:r>
        <w:rPr>
          <w:rFonts w:hint="eastAsia" w:cs="宋体"/>
          <w:b w:val="0"/>
          <w:bCs w:val="0"/>
          <w:color w:val="000000"/>
          <w:lang w:eastAsia="zh-CN"/>
        </w:rPr>
        <w:t>应用系统运维</w:t>
      </w:r>
      <w:r>
        <w:rPr>
          <w:rFonts w:hint="eastAsia" w:cs="宋体"/>
          <w:b w:val="0"/>
          <w:bCs w:val="0"/>
          <w:color w:val="000000"/>
        </w:rPr>
        <w:t>费用</w:t>
      </w:r>
      <w:r>
        <w:rPr>
          <w:rFonts w:hint="eastAsia" w:cs="宋体"/>
          <w:b w:val="0"/>
          <w:bCs w:val="0"/>
          <w:color w:val="000000"/>
          <w:lang w:eastAsia="zh-CN"/>
        </w:rPr>
        <w:t>结合各基层法院</w:t>
      </w:r>
      <w:r>
        <w:rPr>
          <w:rFonts w:hint="eastAsia" w:cs="宋体"/>
          <w:b w:val="0"/>
          <w:bCs w:val="0"/>
          <w:color w:val="000000"/>
          <w:lang w:val="en-US" w:eastAsia="zh-CN"/>
        </w:rPr>
        <w:t>2025年新收案件数量，按照比例分担</w:t>
      </w:r>
      <w:r>
        <w:rPr>
          <w:rFonts w:hint="eastAsia" w:cs="宋体"/>
          <w:b w:val="0"/>
          <w:bCs w:val="0"/>
          <w:color w:val="000000"/>
          <w:lang w:eastAsia="zh-CN"/>
        </w:rPr>
        <w:t>。</w:t>
      </w:r>
    </w:p>
    <w:p w14:paraId="27FEE07F">
      <w:pPr>
        <w:keepNext w:val="0"/>
        <w:keepLines w:val="0"/>
        <w:widowControl/>
        <w:suppressLineNumbers w:val="0"/>
        <w:jc w:val="left"/>
        <w:rPr>
          <w:rFonts w:hint="default" w:cs="宋体"/>
          <w:b w:val="0"/>
          <w:bCs w:val="0"/>
          <w:color w:val="000000"/>
          <w:lang w:val="en-US" w:eastAsia="zh-CN"/>
        </w:rPr>
      </w:pPr>
      <w:r>
        <w:rPr>
          <w:rFonts w:hint="eastAsia" w:cs="宋体"/>
          <w:b w:val="0"/>
          <w:bCs w:val="0"/>
          <w:color w:val="000000"/>
          <w:lang w:val="en-US" w:eastAsia="zh-CN"/>
        </w:rPr>
        <w:t>7、其他服务要求。（1）</w:t>
      </w:r>
      <w:r>
        <w:rPr>
          <w:rFonts w:ascii="宋体" w:hAnsi="宋体" w:eastAsia="宋体" w:cs="宋体"/>
          <w:kern w:val="0"/>
          <w:sz w:val="24"/>
          <w:szCs w:val="24"/>
          <w:lang w:val="en-US" w:eastAsia="zh-CN" w:bidi="ar"/>
        </w:rPr>
        <w:t>乙方违反法院网络安全管理规定，导致产生违规外联或信息泄露等网络安全事故的，乙方应承担违规责任，甲方有权采取相应处罚措施，并在支付款项时扣减合同总价的5%。</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ab/>
      </w:r>
      <w:r>
        <w:rPr>
          <w:rFonts w:hint="eastAsia" w:ascii="宋体" w:hAnsi="宋体" w:eastAsia="宋体" w:cs="宋体"/>
          <w:kern w:val="0"/>
          <w:sz w:val="24"/>
          <w:szCs w:val="24"/>
          <w:lang w:val="en-US" w:eastAsia="zh-CN" w:bidi="ar"/>
        </w:rPr>
        <w:t>（2）</w:t>
      </w:r>
      <w:r>
        <w:rPr>
          <w:rFonts w:ascii="宋体" w:hAnsi="宋体" w:eastAsia="宋体" w:cs="宋体"/>
          <w:kern w:val="0"/>
          <w:sz w:val="24"/>
          <w:szCs w:val="24"/>
          <w:lang w:val="en-US" w:eastAsia="zh-CN" w:bidi="ar"/>
        </w:rPr>
        <w:t>乙方应遵守法院网络安全管理规定，加强对运维人员使用网络设备的监管，禁止将专网运维计算机连接互联网及其他非法院网络。</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ab/>
      </w:r>
      <w:r>
        <w:rPr>
          <w:rFonts w:hint="eastAsia" w:ascii="宋体" w:hAnsi="宋体" w:eastAsia="宋体" w:cs="宋体"/>
          <w:kern w:val="0"/>
          <w:sz w:val="24"/>
          <w:szCs w:val="24"/>
          <w:lang w:val="en-US" w:eastAsia="zh-CN" w:bidi="ar"/>
        </w:rPr>
        <w:t>（3）</w:t>
      </w:r>
      <w:r>
        <w:rPr>
          <w:rFonts w:ascii="宋体" w:hAnsi="宋体" w:eastAsia="宋体" w:cs="宋体"/>
          <w:kern w:val="0"/>
          <w:sz w:val="24"/>
          <w:szCs w:val="24"/>
          <w:lang w:val="en-US" w:eastAsia="zh-CN" w:bidi="ar"/>
        </w:rPr>
        <w:t>乙方应当根据上级法院“一张网”的工作部署要求，及时对相关应用系统进行调整，保证甲方工作的顺利开展。</w:t>
      </w:r>
    </w:p>
    <w:p w14:paraId="0D05BF42">
      <w:pPr>
        <w:pStyle w:val="2"/>
        <w:ind w:firstLine="480"/>
        <w:rPr>
          <w:rFonts w:hint="default" w:cs="宋体"/>
          <w:b w:val="0"/>
          <w:bCs w:val="0"/>
          <w:color w:val="000000"/>
          <w:lang w:val="en-US" w:eastAsia="zh-CN"/>
        </w:rPr>
      </w:pPr>
    </w:p>
    <w:p w14:paraId="6F076D02">
      <w:pPr>
        <w:pStyle w:val="2"/>
        <w:ind w:firstLine="480"/>
        <w:rPr>
          <w:color w:val="000000"/>
        </w:rPr>
      </w:pPr>
    </w:p>
    <w:p w14:paraId="0B1B15C7">
      <w:pPr>
        <w:pStyle w:val="2"/>
        <w:ind w:firstLine="480"/>
      </w:pPr>
    </w:p>
    <w:p w14:paraId="246B4F13"/>
    <w:sectPr>
      <w:headerReference r:id="rId6" w:type="default"/>
      <w:footerReference r:id="rId7" w:type="default"/>
      <w:pgSz w:w="11906" w:h="16838"/>
      <w:pgMar w:top="1247" w:right="1588" w:bottom="1701" w:left="1701" w:header="851" w:footer="1077" w:gutter="0"/>
      <w:pgNumType w:start="1"/>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F7172">
    <w:pPr>
      <w:pStyle w:val="15"/>
      <w:ind w:right="180"/>
      <w:jc w:val="right"/>
    </w:pPr>
    <w:r>
      <w:tab/>
    </w:r>
    <w:r>
      <w:fldChar w:fldCharType="begin"/>
    </w:r>
    <w:r>
      <w:instrText xml:space="preserve">PAGE   \* MERGEFORMAT</w:instrText>
    </w:r>
    <w:r>
      <w:fldChar w:fldCharType="separate"/>
    </w:r>
    <w:r>
      <w:rPr>
        <w:lang w:val="zh-CN"/>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68616">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4B27E">
    <w:pPr>
      <w:pStyle w:val="16"/>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D61838"/>
    <w:multiLevelType w:val="multilevel"/>
    <w:tmpl w:val="08D61838"/>
    <w:lvl w:ilvl="0" w:tentative="0">
      <w:start w:val="1"/>
      <w:numFmt w:val="decimal"/>
      <w:pStyle w:val="4"/>
      <w:suff w:val="nothing"/>
      <w:lvlText w:val="%1  "/>
      <w:lvlJc w:val="left"/>
      <w:pPr>
        <w:ind w:left="432" w:hanging="432"/>
      </w:pPr>
      <w:rPr>
        <w:rFonts w:hint="default" w:ascii="Times New Roman" w:hAnsi="Times New Roman" w:eastAsia="宋体"/>
        <w:b/>
        <w:i w:val="0"/>
        <w:sz w:val="28"/>
      </w:rPr>
    </w:lvl>
    <w:lvl w:ilvl="1" w:tentative="0">
      <w:start w:val="1"/>
      <w:numFmt w:val="decimal"/>
      <w:pStyle w:val="6"/>
      <w:suff w:val="nothing"/>
      <w:lvlText w:val="%1.%2 "/>
      <w:lvlJc w:val="left"/>
      <w:pPr>
        <w:ind w:left="576" w:hanging="576"/>
      </w:pPr>
      <w:rPr>
        <w:rFonts w:hint="default" w:ascii="Times New Roman" w:hAnsi="Times New Roman" w:eastAsia="宋体"/>
        <w:b/>
        <w:i w:val="0"/>
        <w:sz w:val="24"/>
      </w:rPr>
    </w:lvl>
    <w:lvl w:ilvl="2" w:tentative="0">
      <w:start w:val="1"/>
      <w:numFmt w:val="decimal"/>
      <w:pStyle w:val="7"/>
      <w:suff w:val="nothing"/>
      <w:lvlText w:val="%1.%2.%3 "/>
      <w:lvlJc w:val="left"/>
      <w:pPr>
        <w:ind w:left="720" w:hanging="720"/>
      </w:pPr>
      <w:rPr>
        <w:rFonts w:hint="default" w:ascii="Times New Roman" w:hAnsi="Times New Roman" w:eastAsia="宋体"/>
        <w:b/>
        <w:i w:val="0"/>
        <w:sz w:val="24"/>
      </w:rPr>
    </w:lvl>
    <w:lvl w:ilvl="3" w:tentative="0">
      <w:start w:val="1"/>
      <w:numFmt w:val="decimal"/>
      <w:pStyle w:val="5"/>
      <w:suff w:val="nothing"/>
      <w:lvlText w:val="%1.%2.%3.%4 "/>
      <w:lvlJc w:val="left"/>
      <w:pPr>
        <w:ind w:left="864" w:hanging="864"/>
      </w:pPr>
      <w:rPr>
        <w:rFonts w:hint="default" w:ascii="Times New Roman" w:hAnsi="Times New Roman" w:eastAsia="宋体"/>
        <w:b/>
        <w:i w:val="0"/>
        <w:sz w:val="24"/>
      </w:rPr>
    </w:lvl>
    <w:lvl w:ilvl="4" w:tentative="0">
      <w:start w:val="1"/>
      <w:numFmt w:val="decimal"/>
      <w:pStyle w:val="8"/>
      <w:suff w:val="nothing"/>
      <w:lvlText w:val="%1.%2.%3.%4.%5 "/>
      <w:lvlJc w:val="left"/>
      <w:pPr>
        <w:ind w:left="1008" w:hanging="1008"/>
      </w:pPr>
      <w:rPr>
        <w:rFonts w:hint="default" w:ascii="Times New Roman" w:hAnsi="Times New Roman" w:eastAsia="宋体"/>
        <w:b/>
        <w:i w:val="0"/>
        <w:sz w:val="24"/>
      </w:rPr>
    </w:lvl>
    <w:lvl w:ilvl="5" w:tentative="0">
      <w:start w:val="1"/>
      <w:numFmt w:val="decimal"/>
      <w:pStyle w:val="9"/>
      <w:suff w:val="nothing"/>
      <w:lvlText w:val="%1.%2.%3.%4.%5.%6 "/>
      <w:lvlJc w:val="left"/>
      <w:pPr>
        <w:ind w:left="1152" w:hanging="1152"/>
      </w:pPr>
      <w:rPr>
        <w:rFonts w:hint="default" w:ascii="Times New Roman" w:hAnsi="Times New Roman" w:eastAsia="宋体"/>
        <w:b/>
        <w:i w:val="0"/>
        <w:sz w:val="24"/>
      </w:rPr>
    </w:lvl>
    <w:lvl w:ilvl="6" w:tentative="0">
      <w:start w:val="1"/>
      <w:numFmt w:val="decimal"/>
      <w:pStyle w:val="10"/>
      <w:suff w:val="nothing"/>
      <w:lvlText w:val="%1.%2.%3.%4.%5.%6.%7 "/>
      <w:lvlJc w:val="left"/>
      <w:pPr>
        <w:ind w:left="1296" w:hanging="1296"/>
      </w:pPr>
      <w:rPr>
        <w:rFonts w:hint="default" w:ascii="Times New Roman" w:hAnsi="Times New Roman" w:eastAsia="宋体"/>
        <w:b/>
        <w:i w:val="0"/>
      </w:rPr>
    </w:lvl>
    <w:lvl w:ilvl="7" w:tentative="0">
      <w:start w:val="1"/>
      <w:numFmt w:val="decimal"/>
      <w:pStyle w:val="11"/>
      <w:suff w:val="nothing"/>
      <w:lvlText w:val="%1.%2.%3.%4.%5.%6.%7.%8 "/>
      <w:lvlJc w:val="left"/>
      <w:pPr>
        <w:ind w:left="1440" w:hanging="1440"/>
      </w:pPr>
      <w:rPr>
        <w:rFonts w:hint="default" w:ascii="Times New Roman" w:hAnsi="Times New Roman" w:eastAsia="宋体"/>
        <w:b/>
        <w:i w:val="0"/>
        <w:sz w:val="24"/>
      </w:rPr>
    </w:lvl>
    <w:lvl w:ilvl="8" w:tentative="0">
      <w:start w:val="1"/>
      <w:numFmt w:val="decimal"/>
      <w:pStyle w:val="12"/>
      <w:suff w:val="nothing"/>
      <w:lvlText w:val="%1.%2.%3.%4.%5.%6.%7.%8.%9 "/>
      <w:lvlJc w:val="left"/>
      <w:pPr>
        <w:ind w:left="1584" w:hanging="1584"/>
      </w:pPr>
      <w:rPr>
        <w:rFonts w:hint="default" w:ascii="Times New Roman" w:hAnsi="Times New Roman" w:eastAsia="宋体"/>
        <w:b/>
        <w:i w:val="0"/>
        <w:sz w:val="24"/>
      </w:rPr>
    </w:lvl>
  </w:abstractNum>
  <w:abstractNum w:abstractNumId="1">
    <w:nsid w:val="2C0DA81A"/>
    <w:multiLevelType w:val="singleLevel"/>
    <w:tmpl w:val="2C0DA81A"/>
    <w:lvl w:ilvl="0" w:tentative="0">
      <w:start w:val="1"/>
      <w:numFmt w:val="decimal"/>
      <w:suff w:val="nothing"/>
      <w:lvlText w:val="（%1）"/>
      <w:lvlJc w:val="left"/>
    </w:lvl>
  </w:abstractNum>
  <w:abstractNum w:abstractNumId="2">
    <w:nsid w:val="6E648385"/>
    <w:multiLevelType w:val="singleLevel"/>
    <w:tmpl w:val="6E648385"/>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5ZGVlZDA1M2I4OGRkN2YzNTA2YzAzYmRkMTQzOTEifQ=="/>
  </w:docVars>
  <w:rsids>
    <w:rsidRoot w:val="00D163CD"/>
    <w:rsid w:val="00113C37"/>
    <w:rsid w:val="002E6814"/>
    <w:rsid w:val="00747A47"/>
    <w:rsid w:val="00D163CD"/>
    <w:rsid w:val="00E33181"/>
    <w:rsid w:val="023F6F73"/>
    <w:rsid w:val="07123852"/>
    <w:rsid w:val="0F112C3E"/>
    <w:rsid w:val="1A7C004F"/>
    <w:rsid w:val="1CB6536F"/>
    <w:rsid w:val="1DE64BFA"/>
    <w:rsid w:val="1F9A0F77"/>
    <w:rsid w:val="2460453E"/>
    <w:rsid w:val="24612064"/>
    <w:rsid w:val="24816262"/>
    <w:rsid w:val="27DD4DF6"/>
    <w:rsid w:val="2ADE440E"/>
    <w:rsid w:val="2BD575BF"/>
    <w:rsid w:val="2EF02962"/>
    <w:rsid w:val="32340DB8"/>
    <w:rsid w:val="346F257B"/>
    <w:rsid w:val="3A1E4827"/>
    <w:rsid w:val="3C805325"/>
    <w:rsid w:val="3DBA2F0C"/>
    <w:rsid w:val="44AA2EE5"/>
    <w:rsid w:val="45C02C36"/>
    <w:rsid w:val="45F32555"/>
    <w:rsid w:val="482A083B"/>
    <w:rsid w:val="49E52C6C"/>
    <w:rsid w:val="4E9144E4"/>
    <w:rsid w:val="4FCCE516"/>
    <w:rsid w:val="52A56D74"/>
    <w:rsid w:val="59304E61"/>
    <w:rsid w:val="5B5C6B06"/>
    <w:rsid w:val="5E563CE0"/>
    <w:rsid w:val="61405FF8"/>
    <w:rsid w:val="671F7893"/>
    <w:rsid w:val="675E4442"/>
    <w:rsid w:val="6B9C5F42"/>
    <w:rsid w:val="6CF95582"/>
    <w:rsid w:val="6E6FC8DD"/>
    <w:rsid w:val="70E95306"/>
    <w:rsid w:val="712D6B22"/>
    <w:rsid w:val="71E461B2"/>
    <w:rsid w:val="74857FEB"/>
    <w:rsid w:val="7A48677B"/>
    <w:rsid w:val="7AA63006"/>
    <w:rsid w:val="7D4F6073"/>
    <w:rsid w:val="7DA2BA6E"/>
    <w:rsid w:val="7ECF1219"/>
    <w:rsid w:val="BFBB2B75"/>
    <w:rsid w:val="D3BA8ED6"/>
    <w:rsid w:val="DFEB3001"/>
    <w:rsid w:val="EFBBF581"/>
    <w:rsid w:val="F7F7D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420"/>
    </w:pPr>
    <w:rPr>
      <w:rFonts w:ascii="Times New Roman" w:hAnsi="Times New Roman" w:eastAsia="宋体" w:cs="宋体"/>
      <w:kern w:val="2"/>
      <w:sz w:val="24"/>
      <w:szCs w:val="20"/>
      <w:lang w:val="en-US" w:eastAsia="zh-CN" w:bidi="ar-SA"/>
    </w:rPr>
  </w:style>
  <w:style w:type="paragraph" w:styleId="4">
    <w:name w:val="heading 1"/>
    <w:basedOn w:val="5"/>
    <w:next w:val="1"/>
    <w:link w:val="23"/>
    <w:qFormat/>
    <w:uiPriority w:val="0"/>
    <w:pPr>
      <w:numPr>
        <w:ilvl w:val="0"/>
      </w:numPr>
      <w:outlineLvl w:val="0"/>
    </w:pPr>
    <w:rPr>
      <w:rFonts w:ascii="Times New Roman" w:hAnsi="Times New Roman"/>
      <w:sz w:val="28"/>
    </w:rPr>
  </w:style>
  <w:style w:type="paragraph" w:styleId="6">
    <w:name w:val="heading 2"/>
    <w:basedOn w:val="1"/>
    <w:next w:val="1"/>
    <w:link w:val="24"/>
    <w:qFormat/>
    <w:uiPriority w:val="0"/>
    <w:pPr>
      <w:keepNext/>
      <w:keepLines/>
      <w:numPr>
        <w:ilvl w:val="1"/>
        <w:numId w:val="1"/>
      </w:numPr>
      <w:outlineLvl w:val="1"/>
    </w:pPr>
    <w:rPr>
      <w:b/>
      <w:bCs/>
    </w:rPr>
  </w:style>
  <w:style w:type="paragraph" w:styleId="7">
    <w:name w:val="heading 3"/>
    <w:basedOn w:val="1"/>
    <w:next w:val="1"/>
    <w:link w:val="25"/>
    <w:qFormat/>
    <w:uiPriority w:val="0"/>
    <w:pPr>
      <w:keepNext/>
      <w:keepLines/>
      <w:numPr>
        <w:ilvl w:val="2"/>
        <w:numId w:val="1"/>
      </w:numPr>
      <w:outlineLvl w:val="2"/>
    </w:pPr>
    <w:rPr>
      <w:b/>
      <w:bCs/>
      <w:szCs w:val="32"/>
    </w:rPr>
  </w:style>
  <w:style w:type="paragraph" w:styleId="5">
    <w:name w:val="heading 4"/>
    <w:basedOn w:val="1"/>
    <w:next w:val="1"/>
    <w:link w:val="26"/>
    <w:qFormat/>
    <w:uiPriority w:val="0"/>
    <w:pPr>
      <w:keepNext/>
      <w:keepLines/>
      <w:numPr>
        <w:ilvl w:val="3"/>
        <w:numId w:val="1"/>
      </w:numPr>
      <w:outlineLvl w:val="3"/>
    </w:pPr>
    <w:rPr>
      <w:rFonts w:ascii="Arial" w:hAnsi="Arial"/>
      <w:b/>
      <w:bCs/>
      <w:szCs w:val="28"/>
    </w:rPr>
  </w:style>
  <w:style w:type="paragraph" w:styleId="8">
    <w:name w:val="heading 5"/>
    <w:basedOn w:val="1"/>
    <w:next w:val="1"/>
    <w:link w:val="27"/>
    <w:qFormat/>
    <w:uiPriority w:val="0"/>
    <w:pPr>
      <w:keepNext/>
      <w:keepLines/>
      <w:numPr>
        <w:ilvl w:val="4"/>
        <w:numId w:val="1"/>
      </w:numPr>
      <w:outlineLvl w:val="4"/>
    </w:pPr>
    <w:rPr>
      <w:b/>
      <w:bCs/>
      <w:szCs w:val="28"/>
    </w:rPr>
  </w:style>
  <w:style w:type="paragraph" w:styleId="9">
    <w:name w:val="heading 6"/>
    <w:basedOn w:val="1"/>
    <w:next w:val="1"/>
    <w:link w:val="28"/>
    <w:qFormat/>
    <w:uiPriority w:val="0"/>
    <w:pPr>
      <w:keepNext/>
      <w:keepLines/>
      <w:numPr>
        <w:ilvl w:val="5"/>
        <w:numId w:val="1"/>
      </w:numPr>
      <w:outlineLvl w:val="5"/>
    </w:pPr>
    <w:rPr>
      <w:rFonts w:ascii="Arial" w:hAnsi="Arial"/>
      <w:b/>
      <w:bCs/>
    </w:rPr>
  </w:style>
  <w:style w:type="paragraph" w:styleId="10">
    <w:name w:val="heading 7"/>
    <w:basedOn w:val="1"/>
    <w:next w:val="1"/>
    <w:link w:val="29"/>
    <w:qFormat/>
    <w:uiPriority w:val="0"/>
    <w:pPr>
      <w:keepNext/>
      <w:keepLines/>
      <w:numPr>
        <w:ilvl w:val="6"/>
        <w:numId w:val="1"/>
      </w:numPr>
      <w:outlineLvl w:val="6"/>
    </w:pPr>
    <w:rPr>
      <w:b/>
      <w:bCs/>
    </w:rPr>
  </w:style>
  <w:style w:type="paragraph" w:styleId="11">
    <w:name w:val="heading 8"/>
    <w:basedOn w:val="1"/>
    <w:next w:val="1"/>
    <w:link w:val="30"/>
    <w:qFormat/>
    <w:uiPriority w:val="0"/>
    <w:pPr>
      <w:keepNext/>
      <w:keepLines/>
      <w:numPr>
        <w:ilvl w:val="7"/>
        <w:numId w:val="1"/>
      </w:numPr>
      <w:outlineLvl w:val="7"/>
    </w:pPr>
    <w:rPr>
      <w:rFonts w:ascii="Arial" w:hAnsi="Arial"/>
      <w:b/>
    </w:rPr>
  </w:style>
  <w:style w:type="paragraph" w:styleId="12">
    <w:name w:val="heading 9"/>
    <w:basedOn w:val="1"/>
    <w:next w:val="1"/>
    <w:link w:val="31"/>
    <w:qFormat/>
    <w:uiPriority w:val="0"/>
    <w:pPr>
      <w:keepNext/>
      <w:keepLines/>
      <w:numPr>
        <w:ilvl w:val="8"/>
        <w:numId w:val="1"/>
      </w:numPr>
      <w:outlineLvl w:val="8"/>
    </w:pPr>
    <w:rPr>
      <w:rFonts w:ascii="Arial" w:hAnsi="Arial"/>
      <w:b/>
      <w:szCs w:val="21"/>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33"/>
    <w:qFormat/>
    <w:uiPriority w:val="0"/>
    <w:pPr>
      <w:widowControl w:val="0"/>
      <w:spacing w:after="0"/>
      <w:ind w:left="0" w:leftChars="0" w:firstLine="200" w:firstLineChars="200"/>
      <w:jc w:val="both"/>
    </w:pPr>
    <w:rPr>
      <w:rFonts w:cs="Times New Roman"/>
      <w:szCs w:val="24"/>
    </w:rPr>
  </w:style>
  <w:style w:type="paragraph" w:styleId="3">
    <w:name w:val="Body Text Indent"/>
    <w:basedOn w:val="1"/>
    <w:link w:val="32"/>
    <w:unhideWhenUsed/>
    <w:qFormat/>
    <w:uiPriority w:val="0"/>
    <w:pPr>
      <w:spacing w:after="120"/>
      <w:ind w:left="420" w:leftChars="200"/>
    </w:pPr>
  </w:style>
  <w:style w:type="paragraph" w:styleId="13">
    <w:name w:val="annotation text"/>
    <w:basedOn w:val="1"/>
    <w:semiHidden/>
    <w:unhideWhenUsed/>
    <w:qFormat/>
    <w:uiPriority w:val="99"/>
    <w:pPr>
      <w:jc w:val="left"/>
    </w:pPr>
  </w:style>
  <w:style w:type="paragraph" w:styleId="14">
    <w:name w:val="toc 3"/>
    <w:basedOn w:val="1"/>
    <w:next w:val="1"/>
    <w:qFormat/>
    <w:uiPriority w:val="39"/>
    <w:pPr>
      <w:spacing w:line="240" w:lineRule="auto"/>
      <w:ind w:left="400" w:leftChars="400" w:firstLine="0"/>
    </w:pPr>
  </w:style>
  <w:style w:type="paragraph" w:styleId="15">
    <w:name w:val="footer"/>
    <w:basedOn w:val="1"/>
    <w:link w:val="22"/>
    <w:unhideWhenUsed/>
    <w:qFormat/>
    <w:uiPriority w:val="0"/>
    <w:pPr>
      <w:tabs>
        <w:tab w:val="center" w:pos="4153"/>
        <w:tab w:val="right" w:pos="8306"/>
      </w:tabs>
      <w:snapToGrid w:val="0"/>
    </w:pPr>
    <w:rPr>
      <w:sz w:val="18"/>
      <w:szCs w:val="18"/>
    </w:rPr>
  </w:style>
  <w:style w:type="paragraph" w:styleId="16">
    <w:name w:val="header"/>
    <w:basedOn w:val="1"/>
    <w:next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ind w:firstLine="0"/>
    </w:pPr>
    <w:rPr>
      <w:b/>
    </w:rPr>
  </w:style>
  <w:style w:type="paragraph" w:styleId="18">
    <w:name w:val="toc 2"/>
    <w:basedOn w:val="1"/>
    <w:next w:val="1"/>
    <w:qFormat/>
    <w:uiPriority w:val="39"/>
    <w:pPr>
      <w:ind w:left="200" w:leftChars="200" w:firstLine="0"/>
    </w:pPr>
  </w:style>
  <w:style w:type="character" w:customStyle="1" w:styleId="21">
    <w:name w:val="页眉 Char"/>
    <w:basedOn w:val="20"/>
    <w:link w:val="16"/>
    <w:qFormat/>
    <w:uiPriority w:val="99"/>
    <w:rPr>
      <w:sz w:val="18"/>
      <w:szCs w:val="18"/>
    </w:rPr>
  </w:style>
  <w:style w:type="character" w:customStyle="1" w:styleId="22">
    <w:name w:val="页脚 Char"/>
    <w:basedOn w:val="20"/>
    <w:link w:val="15"/>
    <w:qFormat/>
    <w:uiPriority w:val="0"/>
    <w:rPr>
      <w:sz w:val="18"/>
      <w:szCs w:val="18"/>
    </w:rPr>
  </w:style>
  <w:style w:type="character" w:customStyle="1" w:styleId="23">
    <w:name w:val="标题 1 Char"/>
    <w:basedOn w:val="20"/>
    <w:link w:val="4"/>
    <w:qFormat/>
    <w:uiPriority w:val="0"/>
    <w:rPr>
      <w:rFonts w:ascii="Times New Roman" w:hAnsi="Times New Roman" w:eastAsia="宋体" w:cs="宋体"/>
      <w:b/>
      <w:bCs/>
      <w:sz w:val="28"/>
      <w:szCs w:val="28"/>
    </w:rPr>
  </w:style>
  <w:style w:type="character" w:customStyle="1" w:styleId="24">
    <w:name w:val="标题 2 Char"/>
    <w:basedOn w:val="20"/>
    <w:link w:val="6"/>
    <w:qFormat/>
    <w:uiPriority w:val="0"/>
    <w:rPr>
      <w:rFonts w:ascii="Times New Roman" w:hAnsi="Times New Roman" w:eastAsia="宋体" w:cs="宋体"/>
      <w:b/>
      <w:bCs/>
      <w:sz w:val="24"/>
      <w:szCs w:val="20"/>
    </w:rPr>
  </w:style>
  <w:style w:type="character" w:customStyle="1" w:styleId="25">
    <w:name w:val="标题 3 Char"/>
    <w:basedOn w:val="20"/>
    <w:link w:val="7"/>
    <w:qFormat/>
    <w:uiPriority w:val="0"/>
    <w:rPr>
      <w:rFonts w:ascii="Times New Roman" w:hAnsi="Times New Roman" w:eastAsia="宋体" w:cs="宋体"/>
      <w:b/>
      <w:bCs/>
      <w:sz w:val="24"/>
      <w:szCs w:val="32"/>
    </w:rPr>
  </w:style>
  <w:style w:type="character" w:customStyle="1" w:styleId="26">
    <w:name w:val="标题 4 Char"/>
    <w:basedOn w:val="20"/>
    <w:link w:val="5"/>
    <w:qFormat/>
    <w:uiPriority w:val="0"/>
    <w:rPr>
      <w:rFonts w:ascii="Arial" w:hAnsi="Arial" w:eastAsia="宋体" w:cs="宋体"/>
      <w:b/>
      <w:bCs/>
      <w:sz w:val="24"/>
      <w:szCs w:val="28"/>
    </w:rPr>
  </w:style>
  <w:style w:type="character" w:customStyle="1" w:styleId="27">
    <w:name w:val="标题 5 Char"/>
    <w:basedOn w:val="20"/>
    <w:link w:val="8"/>
    <w:qFormat/>
    <w:uiPriority w:val="0"/>
    <w:rPr>
      <w:rFonts w:ascii="Times New Roman" w:hAnsi="Times New Roman" w:eastAsia="宋体" w:cs="宋体"/>
      <w:b/>
      <w:bCs/>
      <w:sz w:val="24"/>
      <w:szCs w:val="28"/>
    </w:rPr>
  </w:style>
  <w:style w:type="character" w:customStyle="1" w:styleId="28">
    <w:name w:val="标题 6 Char"/>
    <w:basedOn w:val="20"/>
    <w:link w:val="9"/>
    <w:qFormat/>
    <w:uiPriority w:val="0"/>
    <w:rPr>
      <w:rFonts w:ascii="Arial" w:hAnsi="Arial" w:eastAsia="宋体" w:cs="宋体"/>
      <w:b/>
      <w:bCs/>
      <w:sz w:val="24"/>
      <w:szCs w:val="20"/>
    </w:rPr>
  </w:style>
  <w:style w:type="character" w:customStyle="1" w:styleId="29">
    <w:name w:val="标题 7 Char"/>
    <w:basedOn w:val="20"/>
    <w:link w:val="10"/>
    <w:qFormat/>
    <w:uiPriority w:val="0"/>
    <w:rPr>
      <w:rFonts w:ascii="Times New Roman" w:hAnsi="Times New Roman" w:eastAsia="宋体" w:cs="宋体"/>
      <w:b/>
      <w:bCs/>
      <w:sz w:val="24"/>
      <w:szCs w:val="20"/>
    </w:rPr>
  </w:style>
  <w:style w:type="character" w:customStyle="1" w:styleId="30">
    <w:name w:val="标题 8 Char"/>
    <w:basedOn w:val="20"/>
    <w:link w:val="11"/>
    <w:qFormat/>
    <w:uiPriority w:val="0"/>
    <w:rPr>
      <w:rFonts w:ascii="Arial" w:hAnsi="Arial" w:eastAsia="宋体" w:cs="宋体"/>
      <w:b/>
      <w:sz w:val="24"/>
      <w:szCs w:val="20"/>
    </w:rPr>
  </w:style>
  <w:style w:type="character" w:customStyle="1" w:styleId="31">
    <w:name w:val="标题 9 Char"/>
    <w:basedOn w:val="20"/>
    <w:link w:val="12"/>
    <w:qFormat/>
    <w:uiPriority w:val="0"/>
    <w:rPr>
      <w:rFonts w:ascii="Arial" w:hAnsi="Arial" w:eastAsia="宋体" w:cs="宋体"/>
      <w:b/>
      <w:sz w:val="24"/>
      <w:szCs w:val="21"/>
    </w:rPr>
  </w:style>
  <w:style w:type="character" w:customStyle="1" w:styleId="32">
    <w:name w:val="正文文本缩进 Char"/>
    <w:basedOn w:val="20"/>
    <w:link w:val="3"/>
    <w:qFormat/>
    <w:uiPriority w:val="0"/>
    <w:rPr>
      <w:rFonts w:ascii="Times New Roman" w:hAnsi="Times New Roman" w:eastAsia="宋体" w:cs="宋体"/>
      <w:sz w:val="24"/>
      <w:szCs w:val="20"/>
    </w:rPr>
  </w:style>
  <w:style w:type="character" w:customStyle="1" w:styleId="33">
    <w:name w:val="正文首行缩进 2 Char"/>
    <w:basedOn w:val="32"/>
    <w:link w:val="2"/>
    <w:qFormat/>
    <w:uiPriority w:val="0"/>
    <w:rPr>
      <w:rFonts w:cs="Times New Roman"/>
      <w:szCs w:val="24"/>
    </w:rPr>
  </w:style>
  <w:style w:type="paragraph" w:styleId="34">
    <w:name w:val="List Paragraph"/>
    <w:basedOn w:val="1"/>
    <w:next w:val="1"/>
    <w:qFormat/>
    <w:uiPriority w:val="34"/>
    <w:pPr>
      <w:ind w:firstLine="200" w:firstLineChars="200"/>
    </w:pPr>
  </w:style>
  <w:style w:type="character" w:customStyle="1" w:styleId="35">
    <w:name w:val="列出段落 Char"/>
    <w:link w:val="36"/>
    <w:qFormat/>
    <w:uiPriority w:val="0"/>
    <w:rPr>
      <w:rFonts w:ascii="Calibri" w:hAnsi="Calibri"/>
    </w:rPr>
  </w:style>
  <w:style w:type="paragraph" w:customStyle="1" w:styleId="36">
    <w:name w:val="列出段落1"/>
    <w:basedOn w:val="1"/>
    <w:link w:val="35"/>
    <w:qFormat/>
    <w:uiPriority w:val="0"/>
    <w:pPr>
      <w:widowControl w:val="0"/>
      <w:spacing w:line="240" w:lineRule="auto"/>
      <w:ind w:firstLine="200" w:firstLineChars="200"/>
      <w:jc w:val="both"/>
    </w:pPr>
    <w:rPr>
      <w:rFonts w:ascii="Calibri" w:hAnsi="Calibri" w:eastAsiaTheme="minorEastAsia" w:cstheme="minorBidi"/>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4955</Words>
  <Characters>5011</Characters>
  <Lines>42</Lines>
  <Paragraphs>11</Paragraphs>
  <TotalTime>1</TotalTime>
  <ScaleCrop>false</ScaleCrop>
  <LinksUpToDate>false</LinksUpToDate>
  <CharactersWithSpaces>5041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2023-04-02T01:58:00Z</dcterms:created>
  <dc:creator>谢丽芬</dc:creator>
  <cp:lastModifiedBy>unravel</cp:lastModifiedBy>
  <dcterms:modified xsi:type="dcterms:W3CDTF">2025-12-26T01:16:56Z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B2D6D8C451504D03A0CFB03E9E979E7F_13</vt:lpwstr>
  </property>
  <property fmtid="{D5CDD505-2E9C-101B-9397-08002B2CF9AE}" pid="4" name="KSOTemplateDocerSaveRecord">
    <vt:lpwstr>eyJoZGlkIjoiMzFhY2NmOWZhOThjMzk5N2M4Zjk1M2VkMGI3ZTZiOWIiLCJ1c2VySWQiOiIyNzg5MjY2MzEifQ==</vt:lpwstr>
  </property>
</Properties>
</file>