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E6" w:rsidRDefault="00813425">
      <w:pPr>
        <w:spacing w:after="400" w:line="640" w:lineRule="exact"/>
        <w:jc w:val="center"/>
        <w:rPr>
          <w:sz w:val="20"/>
          <w:szCs w:val="20"/>
          <w:lang w:eastAsia="zh-CN"/>
        </w:rPr>
      </w:pPr>
      <w:r>
        <w:rPr>
          <w:rFonts w:ascii="方正小标宋简体" w:eastAsia="方正小标宋简体" w:hAnsi="方正小标宋简体" w:cs="方正小标宋简体"/>
          <w:color w:val="000000"/>
          <w:sz w:val="36"/>
          <w:szCs w:val="20"/>
          <w:lang w:eastAsia="zh-CN"/>
        </w:rPr>
        <w:t>武汉市精神卫生中心信息网络系统及数据中心基础系统运维服务项目采购需求</w:t>
      </w:r>
    </w:p>
    <w:p w:rsidR="006C6AE6" w:rsidRDefault="00813425">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一、</w:t>
      </w:r>
      <w:r>
        <w:rPr>
          <w:rFonts w:ascii="仿宋" w:eastAsia="仿宋" w:hAnsi="仿宋" w:cs="仿宋" w:hint="eastAsia"/>
          <w:color w:val="000000"/>
          <w:sz w:val="24"/>
          <w:szCs w:val="20"/>
          <w:lang w:eastAsia="zh-CN"/>
        </w:rPr>
        <w:t>项目概况</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项目名称：</w:t>
      </w:r>
      <w:r>
        <w:rPr>
          <w:rFonts w:ascii="仿宋" w:eastAsia="仿宋" w:hAnsi="仿宋" w:cs="仿宋" w:hint="eastAsia"/>
          <w:color w:val="000000"/>
          <w:sz w:val="24"/>
          <w:szCs w:val="20"/>
          <w:lang w:eastAsia="zh-CN"/>
        </w:rPr>
        <w:t>武汉市精神卫生中心信息网络系统及数据中心基础系统运维服务</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服务范围：</w:t>
      </w:r>
      <w:r>
        <w:rPr>
          <w:rFonts w:ascii="仿宋" w:eastAsia="仿宋" w:hAnsi="仿宋" w:cs="仿宋" w:hint="eastAsia"/>
          <w:color w:val="000000"/>
          <w:sz w:val="24"/>
          <w:szCs w:val="20"/>
          <w:lang w:eastAsia="zh-CN"/>
        </w:rPr>
        <w:t>涵盖武汉市精神卫生中心一院多区（六角亭院区、二七院区、常福院区）及武汉云生产环境的基础设施日常驻场运维、多院区网络优化与互联专线巡检、核心业务系统</w:t>
      </w:r>
      <w:r>
        <w:rPr>
          <w:rFonts w:ascii="仿宋" w:eastAsia="仿宋" w:hAnsi="仿宋" w:cs="仿宋" w:hint="eastAsia"/>
          <w:color w:val="000000"/>
          <w:sz w:val="24"/>
          <w:szCs w:val="20"/>
          <w:lang w:eastAsia="zh-CN"/>
        </w:rPr>
        <w:t>Oracle</w:t>
      </w:r>
      <w:r>
        <w:rPr>
          <w:rFonts w:ascii="仿宋" w:eastAsia="仿宋" w:hAnsi="仿宋" w:cs="仿宋" w:hint="eastAsia"/>
          <w:color w:val="000000"/>
          <w:sz w:val="24"/>
          <w:szCs w:val="20"/>
          <w:lang w:eastAsia="zh-CN"/>
        </w:rPr>
        <w:t>数据库深度调优保障、全院信息资产配置基线梳理管控及二线专家应急支援服务。</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服务期限：</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年（自合同签订生效之日起</w:t>
      </w:r>
      <w:r>
        <w:rPr>
          <w:rFonts w:ascii="仿宋" w:eastAsia="仿宋" w:hAnsi="仿宋" w:cs="仿宋" w:hint="eastAsia"/>
          <w:color w:val="000000"/>
          <w:sz w:val="24"/>
          <w:szCs w:val="20"/>
          <w:lang w:eastAsia="zh-CN"/>
        </w:rPr>
        <w:t>12</w:t>
      </w:r>
      <w:r>
        <w:rPr>
          <w:rFonts w:ascii="仿宋" w:eastAsia="仿宋" w:hAnsi="仿宋" w:cs="仿宋" w:hint="eastAsia"/>
          <w:color w:val="000000"/>
          <w:sz w:val="24"/>
          <w:szCs w:val="20"/>
          <w:lang w:eastAsia="zh-CN"/>
        </w:rPr>
        <w:t>个自然月）。本项目拟实行招一延二方式，首年为合同固定服务期，累计续签不超过</w:t>
      </w: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年，续签实行一年一签。服务期满，若中标人年度综合考核达标、各项运维服务指标达到约定标准，且采购人预算资金有保障的前提下，经双方协商一致可续签下一年度合同。</w:t>
      </w:r>
    </w:p>
    <w:p w:rsidR="006C6AE6" w:rsidRDefault="00813425">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二、</w:t>
      </w:r>
      <w:r>
        <w:rPr>
          <w:rFonts w:ascii="仿宋" w:eastAsia="仿宋" w:hAnsi="仿宋" w:cs="仿宋" w:hint="eastAsia"/>
          <w:color w:val="000000"/>
          <w:sz w:val="24"/>
          <w:szCs w:val="20"/>
          <w:lang w:eastAsia="zh-CN"/>
        </w:rPr>
        <w:t>采购内容</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本项目服务涵盖一院多区（六角亭院区、二七院区、常福院区）及武汉云生产环境，围绕网络连通、主机存储监控、数据库稳定运行、资产基线管理提供常态化全方位运维保障：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100"/>
        <w:gridCol w:w="5100"/>
        <w:gridCol w:w="920"/>
      </w:tblGrid>
      <w:tr w:rsidR="006C6AE6">
        <w:trPr>
          <w:jc w:val="center"/>
        </w:trPr>
        <w:tc>
          <w:tcPr>
            <w:tcW w:w="720" w:type="dxa"/>
            <w:shd w:val="clear" w:color="auto" w:fill="F2F2F2"/>
            <w:tcMar>
              <w:top w:w="120" w:type="dxa"/>
              <w:left w:w="100" w:type="dxa"/>
              <w:bottom w:w="120" w:type="dxa"/>
              <w:right w:w="100" w:type="dxa"/>
            </w:tcMar>
            <w:vAlign w:val="center"/>
          </w:tcPr>
          <w:p w:rsidR="006C6AE6" w:rsidRDefault="00813425">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序号</w:t>
            </w:r>
          </w:p>
        </w:tc>
        <w:tc>
          <w:tcPr>
            <w:tcW w:w="2100" w:type="dxa"/>
            <w:shd w:val="clear" w:color="auto" w:fill="F2F2F2"/>
            <w:tcMar>
              <w:top w:w="120" w:type="dxa"/>
              <w:left w:w="100" w:type="dxa"/>
              <w:bottom w:w="120" w:type="dxa"/>
              <w:right w:w="100" w:type="dxa"/>
            </w:tcMar>
            <w:vAlign w:val="center"/>
          </w:tcPr>
          <w:p w:rsidR="006C6AE6" w:rsidRDefault="00813425">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服务模块</w:t>
            </w:r>
          </w:p>
        </w:tc>
        <w:tc>
          <w:tcPr>
            <w:tcW w:w="5100" w:type="dxa"/>
            <w:shd w:val="clear" w:color="auto" w:fill="F2F2F2"/>
            <w:tcMar>
              <w:top w:w="120" w:type="dxa"/>
              <w:left w:w="100" w:type="dxa"/>
              <w:bottom w:w="120" w:type="dxa"/>
              <w:right w:w="100" w:type="dxa"/>
            </w:tcMar>
            <w:vAlign w:val="center"/>
          </w:tcPr>
          <w:p w:rsidR="006C6AE6" w:rsidRDefault="00813425">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服务内容及规范要求</w:t>
            </w:r>
          </w:p>
        </w:tc>
        <w:tc>
          <w:tcPr>
            <w:tcW w:w="920" w:type="dxa"/>
            <w:shd w:val="clear" w:color="auto" w:fill="F2F2F2"/>
            <w:tcMar>
              <w:top w:w="120" w:type="dxa"/>
              <w:left w:w="100" w:type="dxa"/>
              <w:bottom w:w="120" w:type="dxa"/>
              <w:right w:w="100" w:type="dxa"/>
            </w:tcMar>
            <w:vAlign w:val="center"/>
          </w:tcPr>
          <w:p w:rsidR="006C6AE6" w:rsidRDefault="00813425">
            <w:pPr>
              <w:spacing w:after="0" w:line="380" w:lineRule="exact"/>
              <w:jc w:val="center"/>
              <w:rPr>
                <w:rFonts w:ascii="仿宋" w:eastAsia="仿宋" w:hAnsi="仿宋" w:cs="仿宋"/>
                <w:sz w:val="24"/>
                <w:szCs w:val="24"/>
              </w:rPr>
            </w:pPr>
            <w:r>
              <w:rPr>
                <w:rFonts w:ascii="仿宋" w:eastAsia="仿宋" w:hAnsi="仿宋" w:cs="仿宋" w:hint="eastAsia"/>
                <w:b/>
                <w:color w:val="000000"/>
                <w:sz w:val="24"/>
                <w:szCs w:val="24"/>
              </w:rPr>
              <w:t>服务期限</w:t>
            </w:r>
          </w:p>
        </w:tc>
      </w:tr>
      <w:tr w:rsidR="006C6AE6">
        <w:trPr>
          <w:jc w:val="center"/>
        </w:trPr>
        <w:tc>
          <w:tcPr>
            <w:tcW w:w="72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p>
        </w:tc>
        <w:tc>
          <w:tcPr>
            <w:tcW w:w="210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lang w:eastAsia="zh-CN"/>
              </w:rPr>
            </w:pPr>
            <w:r>
              <w:rPr>
                <w:rFonts w:ascii="仿宋" w:eastAsia="仿宋" w:hAnsi="仿宋" w:cs="仿宋" w:hint="eastAsia"/>
                <w:color w:val="000000"/>
                <w:sz w:val="24"/>
                <w:szCs w:val="24"/>
                <w:lang w:eastAsia="zh-CN"/>
              </w:rPr>
              <w:t>中心信息网络系统及数据中心基础系统运维服务</w:t>
            </w:r>
          </w:p>
        </w:tc>
        <w:tc>
          <w:tcPr>
            <w:tcW w:w="5100" w:type="dxa"/>
            <w:shd w:val="clear" w:color="auto" w:fill="FFFFFF"/>
            <w:tcMar>
              <w:top w:w="100" w:type="dxa"/>
              <w:left w:w="100" w:type="dxa"/>
              <w:bottom w:w="100" w:type="dxa"/>
              <w:right w:w="100" w:type="dxa"/>
            </w:tcMar>
          </w:tcPr>
          <w:p w:rsidR="006C6AE6" w:rsidRDefault="00813425">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1)</w:t>
            </w:r>
            <w:r>
              <w:rPr>
                <w:rFonts w:ascii="仿宋" w:eastAsia="仿宋" w:hAnsi="仿宋" w:cs="仿宋" w:hint="eastAsia"/>
                <w:color w:val="000000"/>
                <w:sz w:val="24"/>
                <w:szCs w:val="24"/>
                <w:lang w:eastAsia="zh-CN"/>
              </w:rPr>
              <w:t>日常运维：提供网络工程师</w:t>
            </w:r>
            <w:r>
              <w:rPr>
                <w:rFonts w:ascii="仿宋" w:eastAsia="仿宋" w:hAnsi="仿宋" w:cs="仿宋" w:hint="eastAsia"/>
                <w:color w:val="000000"/>
                <w:sz w:val="24"/>
                <w:szCs w:val="24"/>
                <w:lang w:eastAsia="zh-CN"/>
              </w:rPr>
              <w:t>5</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8</w:t>
            </w:r>
            <w:r>
              <w:rPr>
                <w:rFonts w:ascii="仿宋" w:eastAsia="仿宋" w:hAnsi="仿宋" w:cs="仿宋" w:hint="eastAsia"/>
                <w:color w:val="000000"/>
                <w:sz w:val="24"/>
                <w:szCs w:val="24"/>
                <w:lang w:eastAsia="zh-CN"/>
              </w:rPr>
              <w:t>小时常驻采购人现场服务及</w:t>
            </w:r>
            <w:r>
              <w:rPr>
                <w:rFonts w:ascii="仿宋" w:eastAsia="仿宋" w:hAnsi="仿宋" w:cs="仿宋" w:hint="eastAsia"/>
                <w:color w:val="000000"/>
                <w:sz w:val="24"/>
                <w:szCs w:val="24"/>
                <w:lang w:eastAsia="zh-CN"/>
              </w:rPr>
              <w:t>7</w:t>
            </w:r>
            <w:r>
              <w:rPr>
                <w:rFonts w:ascii="仿宋" w:eastAsia="仿宋" w:hAnsi="仿宋" w:cs="仿宋" w:hint="eastAsia"/>
                <w:color w:val="000000"/>
                <w:sz w:val="24"/>
                <w:szCs w:val="24"/>
                <w:lang w:eastAsia="zh-CN"/>
              </w:rPr>
              <w:t>×</w:t>
            </w:r>
            <w:r>
              <w:rPr>
                <w:rFonts w:ascii="仿宋" w:eastAsia="仿宋" w:hAnsi="仿宋" w:cs="仿宋" w:hint="eastAsia"/>
                <w:color w:val="000000"/>
                <w:sz w:val="24"/>
                <w:szCs w:val="24"/>
                <w:lang w:eastAsia="zh-CN"/>
              </w:rPr>
              <w:t>24</w:t>
            </w:r>
            <w:r>
              <w:rPr>
                <w:rFonts w:ascii="仿宋" w:eastAsia="仿宋" w:hAnsi="仿宋" w:cs="仿宋" w:hint="eastAsia"/>
                <w:color w:val="000000"/>
                <w:sz w:val="24"/>
                <w:szCs w:val="24"/>
                <w:lang w:eastAsia="zh-CN"/>
              </w:rPr>
              <w:t>小时应急响应；</w:t>
            </w:r>
            <w:r>
              <w:rPr>
                <w:rFonts w:ascii="仿宋" w:eastAsia="仿宋" w:hAnsi="仿宋" w:cs="仿宋" w:hint="eastAsia"/>
                <w:color w:val="000000"/>
                <w:sz w:val="24"/>
                <w:szCs w:val="24"/>
                <w:lang w:eastAsia="zh-CN"/>
              </w:rPr>
              <w:t>2)</w:t>
            </w:r>
            <w:r>
              <w:rPr>
                <w:rFonts w:ascii="仿宋" w:eastAsia="仿宋" w:hAnsi="仿宋" w:cs="仿宋" w:hint="eastAsia"/>
                <w:color w:val="000000"/>
                <w:sz w:val="24"/>
                <w:szCs w:val="24"/>
                <w:lang w:eastAsia="zh-CN"/>
              </w:rPr>
              <w:t>巡检优化：对机房网络、服务器、存储系统实施高频巡检；</w:t>
            </w:r>
            <w:r>
              <w:rPr>
                <w:rFonts w:ascii="仿宋" w:eastAsia="仿宋" w:hAnsi="仿宋" w:cs="仿宋" w:hint="eastAsia"/>
                <w:color w:val="000000"/>
                <w:sz w:val="24"/>
                <w:szCs w:val="24"/>
                <w:lang w:eastAsia="zh-CN"/>
              </w:rPr>
              <w:t>3)</w:t>
            </w:r>
            <w:r>
              <w:rPr>
                <w:rFonts w:ascii="仿宋" w:eastAsia="仿宋" w:hAnsi="仿宋" w:cs="仿宋" w:hint="eastAsia"/>
                <w:color w:val="000000"/>
                <w:sz w:val="24"/>
                <w:szCs w:val="24"/>
                <w:lang w:eastAsia="zh-CN"/>
              </w:rPr>
              <w:t>数据库保障：</w:t>
            </w:r>
            <w:r>
              <w:rPr>
                <w:rFonts w:ascii="仿宋" w:eastAsia="仿宋" w:hAnsi="仿宋" w:cs="仿宋" w:hint="eastAsia"/>
                <w:color w:val="000000"/>
                <w:sz w:val="24"/>
                <w:szCs w:val="24"/>
                <w:lang w:eastAsia="zh-CN"/>
              </w:rPr>
              <w:t>OracleRAC</w:t>
            </w:r>
            <w:r>
              <w:rPr>
                <w:rFonts w:ascii="仿宋" w:eastAsia="仿宋" w:hAnsi="仿宋" w:cs="仿宋" w:hint="eastAsia"/>
                <w:color w:val="000000"/>
                <w:sz w:val="24"/>
                <w:szCs w:val="24"/>
                <w:lang w:eastAsia="zh-CN"/>
              </w:rPr>
              <w:t>生产数</w:t>
            </w:r>
            <w:r>
              <w:rPr>
                <w:rFonts w:ascii="仿宋" w:eastAsia="仿宋" w:hAnsi="仿宋" w:cs="仿宋" w:hint="eastAsia"/>
                <w:color w:val="000000"/>
                <w:sz w:val="24"/>
                <w:szCs w:val="24"/>
                <w:lang w:eastAsia="zh-CN"/>
              </w:rPr>
              <w:lastRenderedPageBreak/>
              <w:t>据库运行监控、深度调优与坏块修复；</w:t>
            </w:r>
            <w:r>
              <w:rPr>
                <w:rFonts w:ascii="仿宋" w:eastAsia="仿宋" w:hAnsi="仿宋" w:cs="仿宋" w:hint="eastAsia"/>
                <w:color w:val="000000"/>
                <w:sz w:val="24"/>
                <w:szCs w:val="24"/>
                <w:lang w:eastAsia="zh-CN"/>
              </w:rPr>
              <w:t>4)</w:t>
            </w:r>
            <w:r>
              <w:rPr>
                <w:rFonts w:ascii="仿宋" w:eastAsia="仿宋" w:hAnsi="仿宋" w:cs="仿宋" w:hint="eastAsia"/>
                <w:color w:val="000000"/>
                <w:sz w:val="24"/>
                <w:szCs w:val="24"/>
                <w:lang w:eastAsia="zh-CN"/>
              </w:rPr>
              <w:t>二线专家支撑：突发疑难故障专家会诊，提供</w:t>
            </w:r>
            <w:r>
              <w:rPr>
                <w:rFonts w:ascii="仿宋" w:eastAsia="仿宋" w:hAnsi="仿宋" w:cs="仿宋" w:hint="eastAsia"/>
                <w:color w:val="000000"/>
                <w:sz w:val="24"/>
                <w:szCs w:val="24"/>
                <w:lang w:eastAsia="zh-CN"/>
              </w:rPr>
              <w:t>270</w:t>
            </w:r>
            <w:r>
              <w:rPr>
                <w:rFonts w:ascii="仿宋" w:eastAsia="仿宋" w:hAnsi="仿宋" w:cs="仿宋" w:hint="eastAsia"/>
                <w:color w:val="000000"/>
                <w:sz w:val="24"/>
                <w:szCs w:val="24"/>
                <w:lang w:eastAsia="zh-CN"/>
              </w:rPr>
              <w:t>人·天二线专家服务资源池；</w:t>
            </w:r>
            <w:r>
              <w:rPr>
                <w:rFonts w:ascii="仿宋" w:eastAsia="仿宋" w:hAnsi="仿宋" w:cs="仿宋" w:hint="eastAsia"/>
                <w:color w:val="000000"/>
                <w:sz w:val="24"/>
                <w:szCs w:val="24"/>
                <w:lang w:eastAsia="zh-CN"/>
              </w:rPr>
              <w:t>5)</w:t>
            </w:r>
            <w:r>
              <w:rPr>
                <w:rFonts w:ascii="仿宋" w:eastAsia="仿宋" w:hAnsi="仿宋" w:cs="仿宋" w:hint="eastAsia"/>
                <w:color w:val="000000"/>
                <w:sz w:val="24"/>
                <w:szCs w:val="24"/>
                <w:lang w:eastAsia="zh-CN"/>
              </w:rPr>
              <w:t>资产管控：全量信息资产测绘梳理与配置基线维护。</w:t>
            </w:r>
          </w:p>
        </w:tc>
        <w:tc>
          <w:tcPr>
            <w:tcW w:w="92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lastRenderedPageBreak/>
              <w:t>1</w:t>
            </w:r>
            <w:r>
              <w:rPr>
                <w:rFonts w:ascii="仿宋" w:eastAsia="仿宋" w:hAnsi="仿宋" w:cs="仿宋" w:hint="eastAsia"/>
                <w:color w:val="000000"/>
                <w:sz w:val="24"/>
                <w:szCs w:val="24"/>
              </w:rPr>
              <w:t>年</w:t>
            </w:r>
          </w:p>
        </w:tc>
      </w:tr>
      <w:tr w:rsidR="006C6AE6">
        <w:trPr>
          <w:jc w:val="center"/>
        </w:trPr>
        <w:tc>
          <w:tcPr>
            <w:tcW w:w="72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lastRenderedPageBreak/>
              <w:t>2</w:t>
            </w:r>
          </w:p>
        </w:tc>
        <w:tc>
          <w:tcPr>
            <w:tcW w:w="210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lang w:eastAsia="zh-CN"/>
              </w:rPr>
            </w:pPr>
            <w:r>
              <w:rPr>
                <w:rFonts w:ascii="仿宋" w:eastAsia="仿宋" w:hAnsi="仿宋" w:cs="仿宋" w:hint="eastAsia"/>
                <w:color w:val="000000"/>
                <w:sz w:val="24"/>
                <w:szCs w:val="24"/>
                <w:lang w:eastAsia="zh-CN"/>
              </w:rPr>
              <w:t>多院区网络互联运维服务</w:t>
            </w:r>
          </w:p>
        </w:tc>
        <w:tc>
          <w:tcPr>
            <w:tcW w:w="5100" w:type="dxa"/>
            <w:shd w:val="clear" w:color="auto" w:fill="FAFAFA"/>
            <w:tcMar>
              <w:top w:w="100" w:type="dxa"/>
              <w:left w:w="100" w:type="dxa"/>
              <w:bottom w:w="100" w:type="dxa"/>
              <w:right w:w="100" w:type="dxa"/>
            </w:tcMar>
          </w:tcPr>
          <w:p w:rsidR="006C6AE6" w:rsidRDefault="00813425">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负责六角亭院区、二七院区、常福院区之间多条裸光纤专线，以及各院区至武汉云专线链路的日常监测、路由协议调优、抖动排查、流量均衡与故障应急切换处置。</w:t>
            </w:r>
          </w:p>
        </w:tc>
        <w:tc>
          <w:tcPr>
            <w:tcW w:w="92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6C6AE6">
        <w:trPr>
          <w:jc w:val="center"/>
        </w:trPr>
        <w:tc>
          <w:tcPr>
            <w:tcW w:w="72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3</w:t>
            </w:r>
          </w:p>
        </w:tc>
        <w:tc>
          <w:tcPr>
            <w:tcW w:w="210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lang w:eastAsia="zh-CN"/>
              </w:rPr>
            </w:pPr>
            <w:r>
              <w:rPr>
                <w:rFonts w:ascii="仿宋" w:eastAsia="仿宋" w:hAnsi="仿宋" w:cs="仿宋" w:hint="eastAsia"/>
                <w:color w:val="000000"/>
                <w:sz w:val="24"/>
                <w:szCs w:val="24"/>
                <w:lang w:eastAsia="zh-CN"/>
              </w:rPr>
              <w:t>武汉云资源巡检与协同运维服务</w:t>
            </w:r>
          </w:p>
        </w:tc>
        <w:tc>
          <w:tcPr>
            <w:tcW w:w="5100" w:type="dxa"/>
            <w:shd w:val="clear" w:color="auto" w:fill="FFFFFF"/>
            <w:tcMar>
              <w:top w:w="100" w:type="dxa"/>
              <w:left w:w="100" w:type="dxa"/>
              <w:bottom w:w="100" w:type="dxa"/>
              <w:right w:w="100" w:type="dxa"/>
            </w:tcMar>
          </w:tcPr>
          <w:p w:rsidR="006C6AE6" w:rsidRDefault="00813425">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定期对部署在武汉云侧的医院专属计算、存储、网络及安全虚拟化资源开展运行健康巡检；协同云服务商及第三方软件厂商快速处置云端网络连通性异常。</w:t>
            </w:r>
          </w:p>
        </w:tc>
        <w:tc>
          <w:tcPr>
            <w:tcW w:w="920" w:type="dxa"/>
            <w:shd w:val="clear" w:color="auto" w:fill="FFFFFF"/>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r w:rsidR="006C6AE6">
        <w:trPr>
          <w:jc w:val="center"/>
        </w:trPr>
        <w:tc>
          <w:tcPr>
            <w:tcW w:w="72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4</w:t>
            </w:r>
          </w:p>
        </w:tc>
        <w:tc>
          <w:tcPr>
            <w:tcW w:w="210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lang w:eastAsia="zh-CN"/>
              </w:rPr>
            </w:pPr>
            <w:r>
              <w:rPr>
                <w:rFonts w:ascii="仿宋" w:eastAsia="仿宋" w:hAnsi="仿宋" w:cs="仿宋" w:hint="eastAsia"/>
                <w:color w:val="000000"/>
                <w:sz w:val="24"/>
                <w:szCs w:val="24"/>
                <w:lang w:eastAsia="zh-CN"/>
              </w:rPr>
              <w:t>信息资产与配置管理服务</w:t>
            </w:r>
          </w:p>
        </w:tc>
        <w:tc>
          <w:tcPr>
            <w:tcW w:w="5100" w:type="dxa"/>
            <w:shd w:val="clear" w:color="auto" w:fill="FAFAFA"/>
            <w:tcMar>
              <w:top w:w="100" w:type="dxa"/>
              <w:left w:w="100" w:type="dxa"/>
              <w:bottom w:w="100" w:type="dxa"/>
              <w:right w:w="100" w:type="dxa"/>
            </w:tcMar>
          </w:tcPr>
          <w:p w:rsidR="006C6AE6" w:rsidRDefault="00813425">
            <w:pPr>
              <w:spacing w:after="0" w:line="340" w:lineRule="exact"/>
              <w:rPr>
                <w:rFonts w:ascii="仿宋" w:eastAsia="仿宋" w:hAnsi="仿宋" w:cs="仿宋"/>
                <w:sz w:val="24"/>
                <w:szCs w:val="24"/>
                <w:lang w:eastAsia="zh-CN"/>
              </w:rPr>
            </w:pPr>
            <w:r>
              <w:rPr>
                <w:rFonts w:ascii="仿宋" w:eastAsia="仿宋" w:hAnsi="仿宋" w:cs="仿宋" w:hint="eastAsia"/>
                <w:color w:val="000000"/>
                <w:sz w:val="24"/>
                <w:szCs w:val="24"/>
                <w:lang w:eastAsia="zh-CN"/>
              </w:rPr>
              <w:t>建立并动态维护全院网络设备、安全网关、服务器及存储资产台账；规范配置备份与基线审查，协助完善资产全生命周期可追溯管理。</w:t>
            </w:r>
          </w:p>
        </w:tc>
        <w:tc>
          <w:tcPr>
            <w:tcW w:w="920" w:type="dxa"/>
            <w:shd w:val="clear" w:color="auto" w:fill="FAFAFA"/>
            <w:tcMar>
              <w:top w:w="100" w:type="dxa"/>
              <w:left w:w="100" w:type="dxa"/>
              <w:bottom w:w="100" w:type="dxa"/>
              <w:right w:w="100" w:type="dxa"/>
            </w:tcMar>
            <w:vAlign w:val="center"/>
          </w:tcPr>
          <w:p w:rsidR="006C6AE6" w:rsidRDefault="00813425">
            <w:pPr>
              <w:spacing w:after="0" w:line="340" w:lineRule="exact"/>
              <w:jc w:val="center"/>
              <w:rPr>
                <w:rFonts w:ascii="仿宋" w:eastAsia="仿宋" w:hAnsi="仿宋" w:cs="仿宋"/>
                <w:sz w:val="24"/>
                <w:szCs w:val="24"/>
              </w:rPr>
            </w:pPr>
            <w:r>
              <w:rPr>
                <w:rFonts w:ascii="仿宋" w:eastAsia="仿宋" w:hAnsi="仿宋" w:cs="仿宋" w:hint="eastAsia"/>
                <w:color w:val="000000"/>
                <w:sz w:val="24"/>
                <w:szCs w:val="24"/>
              </w:rPr>
              <w:t>1</w:t>
            </w:r>
            <w:r>
              <w:rPr>
                <w:rFonts w:ascii="仿宋" w:eastAsia="仿宋" w:hAnsi="仿宋" w:cs="仿宋" w:hint="eastAsia"/>
                <w:color w:val="000000"/>
                <w:sz w:val="24"/>
                <w:szCs w:val="24"/>
              </w:rPr>
              <w:t>年</w:t>
            </w:r>
          </w:p>
        </w:tc>
      </w:tr>
    </w:tbl>
    <w:p w:rsidR="006C6AE6" w:rsidRDefault="00813425">
      <w:pPr>
        <w:spacing w:before="280" w:after="120" w:line="560" w:lineRule="exact"/>
        <w:ind w:firstLine="640"/>
        <w:rPr>
          <w:rFonts w:ascii="仿宋" w:eastAsia="仿宋" w:hAnsi="仿宋" w:cs="仿宋"/>
          <w:sz w:val="20"/>
          <w:szCs w:val="20"/>
        </w:rPr>
      </w:pPr>
      <w:r>
        <w:rPr>
          <w:rFonts w:ascii="仿宋" w:eastAsia="仿宋" w:hAnsi="仿宋" w:cs="仿宋" w:hint="eastAsia"/>
          <w:color w:val="000000"/>
          <w:sz w:val="24"/>
          <w:szCs w:val="20"/>
          <w:lang w:eastAsia="zh-CN"/>
        </w:rPr>
        <w:t>三、</w:t>
      </w:r>
      <w:r>
        <w:rPr>
          <w:rFonts w:ascii="仿宋" w:eastAsia="仿宋" w:hAnsi="仿宋" w:cs="仿宋" w:hint="eastAsia"/>
          <w:color w:val="000000"/>
          <w:sz w:val="24"/>
          <w:szCs w:val="20"/>
        </w:rPr>
        <w:t>技术</w:t>
      </w:r>
      <w:r>
        <w:rPr>
          <w:rFonts w:ascii="仿宋" w:eastAsia="仿宋" w:hAnsi="仿宋" w:cs="仿宋" w:hint="eastAsia"/>
          <w:color w:val="000000"/>
          <w:sz w:val="24"/>
          <w:szCs w:val="20"/>
        </w:rPr>
        <w:t>/</w:t>
      </w:r>
      <w:r>
        <w:rPr>
          <w:rFonts w:ascii="仿宋" w:eastAsia="仿宋" w:hAnsi="仿宋" w:cs="仿宋" w:hint="eastAsia"/>
          <w:color w:val="000000"/>
          <w:sz w:val="24"/>
          <w:szCs w:val="20"/>
        </w:rPr>
        <w:t>服务要求</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（一）人员及团队配置要求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专属团队组建：投标人须为本项目组建专属运维服务团队，团队总人数不少于</w:t>
      </w:r>
      <w:r>
        <w:rPr>
          <w:rFonts w:ascii="仿宋" w:eastAsia="仿宋" w:hAnsi="仿宋" w:cs="仿宋" w:hint="eastAsia"/>
          <w:color w:val="000000"/>
          <w:sz w:val="24"/>
          <w:szCs w:val="20"/>
          <w:lang w:eastAsia="zh-CN"/>
        </w:rPr>
        <w:t>5</w:t>
      </w:r>
      <w:r>
        <w:rPr>
          <w:rFonts w:ascii="仿宋" w:eastAsia="仿宋" w:hAnsi="仿宋" w:cs="仿宋" w:hint="eastAsia"/>
          <w:color w:val="000000"/>
          <w:sz w:val="24"/>
          <w:szCs w:val="20"/>
          <w:lang w:eastAsia="zh-CN"/>
        </w:rPr>
        <w:t>人，由项目负责人、技术负责人、现场常驻工程师及二线专家支持梯队组成。所有拟派人员须在投标文件中提供个人简历、资质证书及开标前近</w:t>
      </w: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个月的社保缴纳证明。</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项目负责人资质：配置项目负责人</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名，须具备国家信息技术服务标准（</w:t>
      </w:r>
      <w:r>
        <w:rPr>
          <w:rFonts w:ascii="仿宋" w:eastAsia="仿宋" w:hAnsi="仿宋" w:cs="仿宋" w:hint="eastAsia"/>
          <w:color w:val="000000"/>
          <w:sz w:val="24"/>
          <w:szCs w:val="20"/>
          <w:lang w:eastAsia="zh-CN"/>
        </w:rPr>
        <w:t>ITSS</w:t>
      </w:r>
      <w:r>
        <w:rPr>
          <w:rFonts w:ascii="仿宋" w:eastAsia="仿宋" w:hAnsi="仿宋" w:cs="仿宋" w:hint="eastAsia"/>
          <w:color w:val="000000"/>
          <w:sz w:val="24"/>
          <w:szCs w:val="20"/>
          <w:lang w:eastAsia="zh-CN"/>
        </w:rPr>
        <w:t>）服务项目经理资质，具有扎实的项目管理与质量管控能力；持有系统集成项目管理或信息技术服务中级及以上职业资格，且具备信息安全管理相关专业资质（如</w:t>
      </w:r>
      <w:r>
        <w:rPr>
          <w:rFonts w:ascii="仿宋" w:eastAsia="仿宋" w:hAnsi="仿宋" w:cs="仿宋" w:hint="eastAsia"/>
          <w:color w:val="000000"/>
          <w:sz w:val="24"/>
          <w:szCs w:val="20"/>
          <w:lang w:eastAsia="zh-CN"/>
        </w:rPr>
        <w:t>CISO</w:t>
      </w:r>
      <w:r>
        <w:rPr>
          <w:rFonts w:ascii="仿宋" w:eastAsia="仿宋" w:hAnsi="仿宋" w:cs="仿宋" w:hint="eastAsia"/>
          <w:color w:val="000000"/>
          <w:sz w:val="24"/>
          <w:szCs w:val="20"/>
          <w:lang w:eastAsia="zh-CN"/>
        </w:rPr>
        <w:t>注册信息安全业务保障人员），负责本项</w:t>
      </w:r>
      <w:r>
        <w:rPr>
          <w:rFonts w:ascii="仿宋" w:eastAsia="仿宋" w:hAnsi="仿宋" w:cs="仿宋" w:hint="eastAsia"/>
          <w:color w:val="000000"/>
          <w:sz w:val="24"/>
          <w:szCs w:val="20"/>
          <w:lang w:eastAsia="zh-CN"/>
        </w:rPr>
        <w:t>目全生命周期的组织调度、服务质量监管与各院区日常协调。</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lastRenderedPageBreak/>
        <w:t>3.</w:t>
      </w:r>
      <w:r>
        <w:rPr>
          <w:rFonts w:ascii="仿宋" w:eastAsia="仿宋" w:hAnsi="仿宋" w:cs="仿宋" w:hint="eastAsia"/>
          <w:color w:val="000000"/>
          <w:sz w:val="24"/>
          <w:szCs w:val="20"/>
          <w:lang w:eastAsia="zh-CN"/>
        </w:rPr>
        <w:t>技术负责人资质：配置技术负责人</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名，须具备人力资源和社会保障部颁发的高级计算机技术与软件专业技术资格（如信息系统项目管理师高级职业资格），且持有网络工程师中级及以上资格认证，具有丰富的大型医疗机构多院区复杂网络架构规划与疑难故障攻坚经验，负责全院网络与数据中心技术架构把关与重大疑难排障。</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核心技术团队阶梯配置：除项目负责人和技术负责人外，项目实施团队成员须具备扎实的信息化技术功底，团队中持有信息系统项目管理师（高级）或网络工程师（中级及以上）职</w:t>
      </w:r>
      <w:r>
        <w:rPr>
          <w:rFonts w:ascii="仿宋" w:eastAsia="仿宋" w:hAnsi="仿宋" w:cs="仿宋" w:hint="eastAsia"/>
          <w:color w:val="000000"/>
          <w:sz w:val="24"/>
          <w:szCs w:val="20"/>
          <w:lang w:eastAsia="zh-CN"/>
        </w:rPr>
        <w:t>业资格证书的人员数量不少于</w:t>
      </w: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人；同时须配备具备原厂认证高级数据库专家资质（如</w:t>
      </w:r>
      <w:r>
        <w:rPr>
          <w:rFonts w:ascii="仿宋" w:eastAsia="仿宋" w:hAnsi="仿宋" w:cs="仿宋" w:hint="eastAsia"/>
          <w:color w:val="000000"/>
          <w:sz w:val="24"/>
          <w:szCs w:val="20"/>
          <w:lang w:eastAsia="zh-CN"/>
        </w:rPr>
        <w:t>OracleOCM</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达梦</w:t>
      </w:r>
      <w:r>
        <w:rPr>
          <w:rFonts w:ascii="仿宋" w:eastAsia="仿宋" w:hAnsi="仿宋" w:cs="仿宋" w:hint="eastAsia"/>
          <w:color w:val="000000"/>
          <w:sz w:val="24"/>
          <w:szCs w:val="20"/>
          <w:lang w:eastAsia="zh-CN"/>
        </w:rPr>
        <w:t>DCM</w:t>
      </w:r>
      <w:r>
        <w:rPr>
          <w:rFonts w:ascii="仿宋" w:eastAsia="仿宋" w:hAnsi="仿宋" w:cs="仿宋" w:hint="eastAsia"/>
          <w:color w:val="000000"/>
          <w:sz w:val="24"/>
          <w:szCs w:val="20"/>
          <w:lang w:eastAsia="zh-CN"/>
        </w:rPr>
        <w:t>）的专业</w:t>
      </w:r>
      <w:r>
        <w:rPr>
          <w:rFonts w:ascii="仿宋" w:eastAsia="仿宋" w:hAnsi="仿宋" w:cs="仿宋" w:hint="eastAsia"/>
          <w:color w:val="000000"/>
          <w:sz w:val="24"/>
          <w:szCs w:val="20"/>
          <w:lang w:eastAsia="zh-CN"/>
        </w:rPr>
        <w:t>DBA</w:t>
      </w:r>
      <w:r>
        <w:rPr>
          <w:rFonts w:ascii="仿宋" w:eastAsia="仿宋" w:hAnsi="仿宋" w:cs="仿宋" w:hint="eastAsia"/>
          <w:color w:val="000000"/>
          <w:sz w:val="24"/>
          <w:szCs w:val="20"/>
          <w:lang w:eastAsia="zh-CN"/>
        </w:rPr>
        <w:t>工程师，负责医院生产数据库高可用集群保障。</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5.</w:t>
      </w:r>
      <w:r>
        <w:rPr>
          <w:rFonts w:ascii="仿宋" w:eastAsia="仿宋" w:hAnsi="仿宋" w:cs="仿宋" w:hint="eastAsia"/>
          <w:color w:val="000000"/>
          <w:sz w:val="24"/>
          <w:szCs w:val="20"/>
          <w:lang w:eastAsia="zh-CN"/>
        </w:rPr>
        <w:t>现场常驻工程师要求：指派</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名具备网络中级工程师资质的专业技术人员，全职常驻采购人机房现场，提供</w:t>
      </w:r>
      <w:r>
        <w:rPr>
          <w:rFonts w:ascii="仿宋" w:eastAsia="仿宋" w:hAnsi="仿宋" w:cs="仿宋" w:hint="eastAsia"/>
          <w:color w:val="000000"/>
          <w:sz w:val="24"/>
          <w:szCs w:val="20"/>
          <w:lang w:eastAsia="zh-CN"/>
        </w:rPr>
        <w:t>5</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8</w:t>
      </w:r>
      <w:r>
        <w:rPr>
          <w:rFonts w:ascii="仿宋" w:eastAsia="仿宋" w:hAnsi="仿宋" w:cs="仿宋" w:hint="eastAsia"/>
          <w:color w:val="000000"/>
          <w:sz w:val="24"/>
          <w:szCs w:val="20"/>
          <w:lang w:eastAsia="zh-CN"/>
        </w:rPr>
        <w:t>小时现场值守与</w:t>
      </w:r>
      <w:r>
        <w:rPr>
          <w:rFonts w:ascii="仿宋" w:eastAsia="仿宋" w:hAnsi="仿宋" w:cs="仿宋" w:hint="eastAsia"/>
          <w:color w:val="000000"/>
          <w:sz w:val="24"/>
          <w:szCs w:val="20"/>
          <w:lang w:eastAsia="zh-CN"/>
        </w:rPr>
        <w:t>7</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24</w:t>
      </w:r>
      <w:r>
        <w:rPr>
          <w:rFonts w:ascii="仿宋" w:eastAsia="仿宋" w:hAnsi="仿宋" w:cs="仿宋" w:hint="eastAsia"/>
          <w:color w:val="000000"/>
          <w:sz w:val="24"/>
          <w:szCs w:val="20"/>
          <w:lang w:eastAsia="zh-CN"/>
        </w:rPr>
        <w:t>小时故障待命，熟练处理日常网络连通、终端接入、机房环境巡视及工单流转处置。</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6.</w:t>
      </w:r>
      <w:r>
        <w:rPr>
          <w:rFonts w:ascii="仿宋" w:eastAsia="仿宋" w:hAnsi="仿宋" w:cs="仿宋" w:hint="eastAsia"/>
          <w:color w:val="000000"/>
          <w:sz w:val="24"/>
          <w:szCs w:val="20"/>
          <w:lang w:eastAsia="zh-CN"/>
        </w:rPr>
        <w:t>人员稳定性承诺：中标人在服务期内不得擅自更换项目负责人及驻场技术人员；如遇特殊情况确需调整，须提前</w:t>
      </w:r>
      <w:r>
        <w:rPr>
          <w:rFonts w:ascii="仿宋" w:eastAsia="仿宋" w:hAnsi="仿宋" w:cs="仿宋" w:hint="eastAsia"/>
          <w:color w:val="000000"/>
          <w:sz w:val="24"/>
          <w:szCs w:val="20"/>
          <w:lang w:eastAsia="zh-CN"/>
        </w:rPr>
        <w:t>15</w:t>
      </w:r>
      <w:r>
        <w:rPr>
          <w:rFonts w:ascii="仿宋" w:eastAsia="仿宋" w:hAnsi="仿宋" w:cs="仿宋" w:hint="eastAsia"/>
          <w:color w:val="000000"/>
          <w:sz w:val="24"/>
          <w:szCs w:val="20"/>
          <w:lang w:eastAsia="zh-CN"/>
        </w:rPr>
        <w:t>个工作日向采购人提出书面申请，且替换人员的技术资质和经验不得低于原人员标准，经采购人书面审核同意后方可更换。</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（二）数字化支撑要求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为保证运维服务</w:t>
      </w:r>
      <w:r>
        <w:rPr>
          <w:rFonts w:ascii="仿宋" w:eastAsia="仿宋" w:hAnsi="仿宋" w:cs="仿宋" w:hint="eastAsia"/>
          <w:color w:val="000000"/>
          <w:sz w:val="24"/>
          <w:szCs w:val="20"/>
          <w:lang w:eastAsia="zh-CN"/>
        </w:rPr>
        <w:t>的效果</w:t>
      </w:r>
      <w:r>
        <w:rPr>
          <w:rFonts w:ascii="仿宋" w:eastAsia="仿宋" w:hAnsi="仿宋" w:cs="仿宋" w:hint="eastAsia"/>
          <w:color w:val="000000"/>
          <w:sz w:val="24"/>
          <w:szCs w:val="20"/>
          <w:lang w:eastAsia="zh-CN"/>
        </w:rPr>
        <w:t>，投标人须具备自主研发</w:t>
      </w:r>
      <w:r>
        <w:rPr>
          <w:rFonts w:ascii="仿宋" w:eastAsia="仿宋" w:hAnsi="仿宋" w:cs="仿宋" w:hint="eastAsia"/>
          <w:color w:val="000000"/>
          <w:sz w:val="24"/>
          <w:szCs w:val="20"/>
          <w:lang w:eastAsia="zh-CN"/>
        </w:rPr>
        <w:t>能力，</w:t>
      </w:r>
      <w:r>
        <w:rPr>
          <w:rFonts w:ascii="仿宋" w:eastAsia="仿宋" w:hAnsi="仿宋" w:cs="仿宋" w:hint="eastAsia"/>
          <w:color w:val="000000"/>
          <w:sz w:val="24"/>
          <w:szCs w:val="20"/>
          <w:lang w:eastAsia="zh-CN"/>
        </w:rPr>
        <w:t>拥有国家版权局颁发的计算机软件著作权登记证书的信息化运维支撑软件工具或平台</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软件名称须包含“服务系统”、“资产监管”或“运维管理”等类似功能</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在运维服务期内根据采购人需求，适时提供服务工具支撑保障</w:t>
      </w:r>
      <w:r>
        <w:rPr>
          <w:rFonts w:ascii="仿宋" w:eastAsia="仿宋" w:hAnsi="仿宋" w:cs="仿宋" w:hint="eastAsia"/>
          <w:color w:val="000000"/>
          <w:sz w:val="24"/>
          <w:szCs w:val="20"/>
          <w:lang w:eastAsia="zh-CN"/>
        </w:rPr>
        <w:t>。</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（三）本地化</w:t>
      </w:r>
      <w:r>
        <w:rPr>
          <w:rFonts w:ascii="仿宋" w:eastAsia="仿宋" w:hAnsi="仿宋" w:cs="仿宋" w:hint="eastAsia"/>
          <w:b/>
          <w:color w:val="000000"/>
          <w:sz w:val="24"/>
          <w:szCs w:val="20"/>
          <w:lang w:eastAsia="zh-CN"/>
        </w:rPr>
        <w:t>备件支撑要求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lastRenderedPageBreak/>
        <w:t>鉴于采购人多院区网络设备设施高度分散、跨区专线复杂且医疗系统不能中断，投标人在采购人本地（武汉市）须设立常设服务机构及实体物理备品备件库（须提供本地自有房产证明或租赁合同、备件库实景照片及备件储备清单，或承诺中标后</w:t>
      </w:r>
      <w:r>
        <w:rPr>
          <w:rFonts w:ascii="仿宋" w:eastAsia="仿宋" w:hAnsi="仿宋" w:cs="仿宋" w:hint="eastAsia"/>
          <w:color w:val="000000"/>
          <w:sz w:val="24"/>
          <w:szCs w:val="20"/>
          <w:lang w:eastAsia="zh-CN"/>
        </w:rPr>
        <w:t>15</w:t>
      </w:r>
      <w:r>
        <w:rPr>
          <w:rFonts w:ascii="仿宋" w:eastAsia="仿宋" w:hAnsi="仿宋" w:cs="仿宋" w:hint="eastAsia"/>
          <w:color w:val="000000"/>
          <w:sz w:val="24"/>
          <w:szCs w:val="20"/>
          <w:lang w:eastAsia="zh-CN"/>
        </w:rPr>
        <w:t>个工作日内就近设立完善）</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根据采购人需求，临时解决故障件更换问题（硬件费用单独结算）</w:t>
      </w:r>
      <w:r>
        <w:rPr>
          <w:rFonts w:ascii="仿宋" w:eastAsia="仿宋" w:hAnsi="仿宋" w:cs="仿宋" w:hint="eastAsia"/>
          <w:color w:val="000000"/>
          <w:sz w:val="24"/>
          <w:szCs w:val="20"/>
          <w:lang w:eastAsia="zh-CN"/>
        </w:rPr>
        <w:t>。</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（四）技术实施方案详细要求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医院现状理解与痛点应对：投标人须深入调研采购人多院区网络拓扑，重点针对多院区跨江裸光纤专线抖动、业务系统跨网访问延迟、武汉云对接出口带宽压力以及部分老旧在役设备单点故障隐患等</w:t>
      </w:r>
      <w:r>
        <w:rPr>
          <w:rFonts w:ascii="仿宋" w:eastAsia="仿宋" w:hAnsi="仿宋" w:cs="仿宋" w:hint="eastAsia"/>
          <w:color w:val="000000"/>
          <w:sz w:val="24"/>
          <w:szCs w:val="20"/>
          <w:lang w:eastAsia="zh-CN"/>
        </w:rPr>
        <w:t>关键痛点，制定极具针对性的优化保障与故障隔离措施。</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基础支撑环境巡检与预防性维护：制定详尽的网络、主机、存储及机房物理环境巡检规范；建立网络性能与链路健康基线模型，定期检查核心交换机</w:t>
      </w:r>
      <w:r>
        <w:rPr>
          <w:rFonts w:ascii="仿宋" w:eastAsia="仿宋" w:hAnsi="仿宋" w:cs="仿宋" w:hint="eastAsia"/>
          <w:color w:val="000000"/>
          <w:sz w:val="24"/>
          <w:szCs w:val="20"/>
          <w:lang w:eastAsia="zh-CN"/>
        </w:rPr>
        <w:t>CPU/</w:t>
      </w:r>
      <w:r>
        <w:rPr>
          <w:rFonts w:ascii="仿宋" w:eastAsia="仿宋" w:hAnsi="仿宋" w:cs="仿宋" w:hint="eastAsia"/>
          <w:color w:val="000000"/>
          <w:sz w:val="24"/>
          <w:szCs w:val="20"/>
          <w:lang w:eastAsia="zh-CN"/>
        </w:rPr>
        <w:t>内存利用率、接口丢包错包率及生成树状态；对武汉云端承载的虚拟资源开展周期性运行监测。</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数据库深度技术支持服务：针对医院现役生产数据库（</w:t>
      </w:r>
      <w:r>
        <w:rPr>
          <w:rFonts w:ascii="仿宋" w:eastAsia="仿宋" w:hAnsi="仿宋" w:cs="仿宋" w:hint="eastAsia"/>
          <w:color w:val="000000"/>
          <w:sz w:val="24"/>
          <w:szCs w:val="20"/>
          <w:lang w:eastAsia="zh-CN"/>
        </w:rPr>
        <w:t>OracleRAC</w:t>
      </w:r>
      <w:r>
        <w:rPr>
          <w:rFonts w:ascii="仿宋" w:eastAsia="仿宋" w:hAnsi="仿宋" w:cs="仿宋" w:hint="eastAsia"/>
          <w:color w:val="000000"/>
          <w:sz w:val="24"/>
          <w:szCs w:val="20"/>
          <w:lang w:eastAsia="zh-CN"/>
        </w:rPr>
        <w:t>高可用集群），提供涵盖日常健康巡检、表空间与归档日志监控、性能调优及坏块修复的全方位保障；每月度出具深度</w:t>
      </w:r>
      <w:r>
        <w:rPr>
          <w:rFonts w:ascii="仿宋" w:eastAsia="仿宋" w:hAnsi="仿宋" w:cs="仿宋" w:hint="eastAsia"/>
          <w:color w:val="000000"/>
          <w:sz w:val="24"/>
          <w:szCs w:val="20"/>
          <w:lang w:eastAsia="zh-CN"/>
        </w:rPr>
        <w:t>AWR/ASH</w:t>
      </w:r>
      <w:r>
        <w:rPr>
          <w:rFonts w:ascii="仿宋" w:eastAsia="仿宋" w:hAnsi="仿宋" w:cs="仿宋" w:hint="eastAsia"/>
          <w:color w:val="000000"/>
          <w:sz w:val="24"/>
          <w:szCs w:val="20"/>
          <w:lang w:eastAsia="zh-CN"/>
        </w:rPr>
        <w:t>性能诊断报告，协助排查业务系统慢</w:t>
      </w:r>
      <w:r>
        <w:rPr>
          <w:rFonts w:ascii="仿宋" w:eastAsia="仿宋" w:hAnsi="仿宋" w:cs="仿宋" w:hint="eastAsia"/>
          <w:color w:val="000000"/>
          <w:sz w:val="24"/>
          <w:szCs w:val="20"/>
          <w:lang w:eastAsia="zh-CN"/>
        </w:rPr>
        <w:t>SQL</w:t>
      </w:r>
      <w:r>
        <w:rPr>
          <w:rFonts w:ascii="仿宋" w:eastAsia="仿宋" w:hAnsi="仿宋" w:cs="仿宋" w:hint="eastAsia"/>
          <w:color w:val="000000"/>
          <w:sz w:val="24"/>
          <w:szCs w:val="20"/>
          <w:lang w:eastAsia="zh-CN"/>
        </w:rPr>
        <w:t>，确保</w:t>
      </w:r>
      <w:r>
        <w:rPr>
          <w:rFonts w:ascii="仿宋" w:eastAsia="仿宋" w:hAnsi="仿宋" w:cs="仿宋" w:hint="eastAsia"/>
          <w:color w:val="000000"/>
          <w:sz w:val="24"/>
          <w:szCs w:val="20"/>
          <w:lang w:eastAsia="zh-CN"/>
        </w:rPr>
        <w:t>日间挂号收费、门诊就诊及电子病历业务稳定流畅。</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4.</w:t>
      </w:r>
      <w:r>
        <w:rPr>
          <w:rFonts w:ascii="仿宋" w:eastAsia="仿宋" w:hAnsi="仿宋" w:cs="仿宋" w:hint="eastAsia"/>
          <w:color w:val="000000"/>
          <w:sz w:val="24"/>
          <w:szCs w:val="20"/>
          <w:lang w:eastAsia="zh-CN"/>
        </w:rPr>
        <w:t>资产测绘与配置基线管理：全量梳理六角亭、二七及常福院区机房的所有交换机、安全网关、服务器、存储设备物理位置、</w:t>
      </w:r>
      <w:r>
        <w:rPr>
          <w:rFonts w:ascii="仿宋" w:eastAsia="仿宋" w:hAnsi="仿宋" w:cs="仿宋" w:hint="eastAsia"/>
          <w:color w:val="000000"/>
          <w:sz w:val="24"/>
          <w:szCs w:val="20"/>
          <w:lang w:eastAsia="zh-CN"/>
        </w:rPr>
        <w:t>IP</w:t>
      </w:r>
      <w:r>
        <w:rPr>
          <w:rFonts w:ascii="仿宋" w:eastAsia="仿宋" w:hAnsi="仿宋" w:cs="仿宋" w:hint="eastAsia"/>
          <w:color w:val="000000"/>
          <w:sz w:val="24"/>
          <w:szCs w:val="20"/>
          <w:lang w:eastAsia="zh-CN"/>
        </w:rPr>
        <w:t>地址、固件版本、运行状态及维保到期情况，建立动态资产台账；对全网核心配置实行统一版本备份与基线合规审查。</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lastRenderedPageBreak/>
        <w:t>（五）重保服务与应急响应体系要求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重大时期现场值守保障：在国家法定节假日、全国两会、卫健委重大活动考核期及“网络安全护网行动”期间，中标人须无条件</w:t>
      </w:r>
      <w:r>
        <w:rPr>
          <w:rFonts w:ascii="仿宋" w:eastAsia="仿宋" w:hAnsi="仿宋" w:cs="仿宋" w:hint="eastAsia"/>
          <w:color w:val="000000"/>
          <w:sz w:val="24"/>
          <w:szCs w:val="20"/>
          <w:lang w:eastAsia="zh-CN"/>
        </w:rPr>
        <w:t>根据</w:t>
      </w:r>
      <w:r>
        <w:rPr>
          <w:rFonts w:ascii="仿宋" w:eastAsia="仿宋" w:hAnsi="仿宋" w:cs="仿宋" w:hint="eastAsia"/>
          <w:color w:val="000000"/>
          <w:sz w:val="24"/>
          <w:szCs w:val="20"/>
          <w:lang w:eastAsia="zh-CN"/>
        </w:rPr>
        <w:t>采购人</w:t>
      </w:r>
      <w:r>
        <w:rPr>
          <w:rFonts w:ascii="仿宋" w:eastAsia="仿宋" w:hAnsi="仿宋" w:cs="仿宋" w:hint="eastAsia"/>
          <w:color w:val="000000"/>
          <w:sz w:val="24"/>
          <w:szCs w:val="20"/>
          <w:lang w:eastAsia="zh-CN"/>
        </w:rPr>
        <w:t>要求安排高级工程师提供</w:t>
      </w:r>
      <w:r>
        <w:rPr>
          <w:rFonts w:ascii="仿宋" w:eastAsia="仿宋" w:hAnsi="仿宋" w:cs="仿宋" w:hint="eastAsia"/>
          <w:color w:val="000000"/>
          <w:sz w:val="24"/>
          <w:szCs w:val="20"/>
          <w:lang w:eastAsia="zh-CN"/>
        </w:rPr>
        <w:t>现场联合值守，实施网络流量与安全态势实时监控。</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实战化应急演练：服务期内，针对跨院区骨干网络瘫痪、勒索病毒横向传播或数据库实例宕机等高危故障场景，组织开展不少于</w:t>
      </w: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次实战化应急演练，输出详细演练方案、推演过程及事后复盘报告。</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3.</w:t>
      </w:r>
      <w:r>
        <w:rPr>
          <w:rFonts w:ascii="仿宋" w:eastAsia="仿宋" w:hAnsi="仿宋" w:cs="仿宋" w:hint="eastAsia"/>
          <w:color w:val="000000"/>
          <w:sz w:val="24"/>
          <w:szCs w:val="20"/>
          <w:lang w:eastAsia="zh-CN"/>
        </w:rPr>
        <w:t>服务级别协议（</w:t>
      </w:r>
      <w:r>
        <w:rPr>
          <w:rFonts w:ascii="仿宋" w:eastAsia="仿宋" w:hAnsi="仿宋" w:cs="仿宋" w:hint="eastAsia"/>
          <w:color w:val="000000"/>
          <w:sz w:val="24"/>
          <w:szCs w:val="20"/>
          <w:lang w:eastAsia="zh-CN"/>
        </w:rPr>
        <w:t>SLA</w:t>
      </w:r>
      <w:r>
        <w:rPr>
          <w:rFonts w:ascii="仿宋" w:eastAsia="仿宋" w:hAnsi="仿宋" w:cs="仿宋" w:hint="eastAsia"/>
          <w:color w:val="000000"/>
          <w:sz w:val="24"/>
          <w:szCs w:val="20"/>
          <w:lang w:eastAsia="zh-CN"/>
        </w:rPr>
        <w:t>）时效要求：提供</w:t>
      </w:r>
      <w:r>
        <w:rPr>
          <w:rFonts w:ascii="仿宋" w:eastAsia="仿宋" w:hAnsi="仿宋" w:cs="仿宋" w:hint="eastAsia"/>
          <w:color w:val="000000"/>
          <w:sz w:val="24"/>
          <w:szCs w:val="20"/>
          <w:lang w:eastAsia="zh-CN"/>
        </w:rPr>
        <w:t>7</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24</w:t>
      </w:r>
      <w:r>
        <w:rPr>
          <w:rFonts w:ascii="仿宋" w:eastAsia="仿宋" w:hAnsi="仿宋" w:cs="仿宋" w:hint="eastAsia"/>
          <w:color w:val="000000"/>
          <w:sz w:val="24"/>
          <w:szCs w:val="20"/>
          <w:lang w:eastAsia="zh-CN"/>
        </w:rPr>
        <w:t>小时电话与网络支持，工作时间报修</w:t>
      </w:r>
      <w:r>
        <w:rPr>
          <w:rFonts w:ascii="仿宋" w:eastAsia="仿宋" w:hAnsi="仿宋" w:cs="仿宋" w:hint="eastAsia"/>
          <w:color w:val="000000"/>
          <w:sz w:val="24"/>
          <w:szCs w:val="20"/>
          <w:lang w:eastAsia="zh-CN"/>
        </w:rPr>
        <w:t>15</w:t>
      </w:r>
      <w:r>
        <w:rPr>
          <w:rFonts w:ascii="仿宋" w:eastAsia="仿宋" w:hAnsi="仿宋" w:cs="仿宋" w:hint="eastAsia"/>
          <w:color w:val="000000"/>
          <w:sz w:val="24"/>
          <w:szCs w:val="20"/>
          <w:lang w:eastAsia="zh-CN"/>
        </w:rPr>
        <w:t>分钟内响应；非工作时间遇紧急故障承诺</w:t>
      </w:r>
      <w:r>
        <w:rPr>
          <w:rFonts w:ascii="仿宋" w:eastAsia="仿宋" w:hAnsi="仿宋" w:cs="仿宋" w:hint="eastAsia"/>
          <w:color w:val="000000"/>
          <w:sz w:val="24"/>
          <w:szCs w:val="20"/>
          <w:lang w:eastAsia="zh-CN"/>
        </w:rPr>
        <w:t>30</w:t>
      </w:r>
      <w:r>
        <w:rPr>
          <w:rFonts w:ascii="仿宋" w:eastAsia="仿宋" w:hAnsi="仿宋" w:cs="仿宋" w:hint="eastAsia"/>
          <w:color w:val="000000"/>
          <w:sz w:val="24"/>
          <w:szCs w:val="20"/>
          <w:lang w:eastAsia="zh-CN"/>
        </w:rPr>
        <w:t>分钟内抵达现场；按照故障分级标准（</w:t>
      </w:r>
      <w:r>
        <w:rPr>
          <w:rFonts w:ascii="仿宋" w:eastAsia="仿宋" w:hAnsi="仿宋" w:cs="仿宋" w:hint="eastAsia"/>
          <w:color w:val="000000"/>
          <w:sz w:val="24"/>
          <w:szCs w:val="20"/>
          <w:lang w:eastAsia="zh-CN"/>
        </w:rPr>
        <w:t>P1~P4</w:t>
      </w:r>
      <w:r>
        <w:rPr>
          <w:rFonts w:ascii="仿宋" w:eastAsia="仿宋" w:hAnsi="仿宋" w:cs="仿宋" w:hint="eastAsia"/>
          <w:color w:val="000000"/>
          <w:sz w:val="24"/>
          <w:szCs w:val="20"/>
          <w:lang w:eastAsia="zh-CN"/>
        </w:rPr>
        <w:t>）严格执行排除时限：一级故障</w:t>
      </w:r>
      <w:r>
        <w:rPr>
          <w:rFonts w:ascii="仿宋" w:eastAsia="仿宋" w:hAnsi="仿宋" w:cs="仿宋" w:hint="eastAsia"/>
          <w:color w:val="000000"/>
          <w:sz w:val="24"/>
          <w:szCs w:val="20"/>
          <w:lang w:eastAsia="zh-CN"/>
        </w:rPr>
        <w:t>P1</w:t>
      </w:r>
      <w:r>
        <w:rPr>
          <w:rFonts w:ascii="仿宋" w:eastAsia="仿宋" w:hAnsi="仿宋" w:cs="仿宋" w:hint="eastAsia"/>
          <w:color w:val="000000"/>
          <w:sz w:val="24"/>
          <w:szCs w:val="20"/>
          <w:lang w:eastAsia="zh-CN"/>
        </w:rPr>
        <w:t>（影响核心业务运作）</w:t>
      </w:r>
      <w:r>
        <w:rPr>
          <w:rFonts w:ascii="仿宋" w:eastAsia="仿宋" w:hAnsi="仿宋" w:cs="仿宋" w:hint="eastAsia"/>
          <w:color w:val="000000"/>
          <w:sz w:val="24"/>
          <w:szCs w:val="20"/>
          <w:lang w:eastAsia="zh-CN"/>
        </w:rPr>
        <w:t>30</w:t>
      </w:r>
      <w:r>
        <w:rPr>
          <w:rFonts w:ascii="仿宋" w:eastAsia="仿宋" w:hAnsi="仿宋" w:cs="仿宋" w:hint="eastAsia"/>
          <w:color w:val="000000"/>
          <w:sz w:val="24"/>
          <w:szCs w:val="20"/>
          <w:lang w:eastAsia="zh-CN"/>
        </w:rPr>
        <w:t>分钟内恢复；二级故障</w:t>
      </w:r>
      <w:r>
        <w:rPr>
          <w:rFonts w:ascii="仿宋" w:eastAsia="仿宋" w:hAnsi="仿宋" w:cs="仿宋" w:hint="eastAsia"/>
          <w:color w:val="000000"/>
          <w:sz w:val="24"/>
          <w:szCs w:val="20"/>
          <w:lang w:eastAsia="zh-CN"/>
        </w:rPr>
        <w:t>P2</w:t>
      </w:r>
      <w:r>
        <w:rPr>
          <w:rFonts w:ascii="仿宋" w:eastAsia="仿宋" w:hAnsi="仿宋" w:cs="仿宋" w:hint="eastAsia"/>
          <w:color w:val="000000"/>
          <w:sz w:val="24"/>
          <w:szCs w:val="20"/>
          <w:lang w:eastAsia="zh-CN"/>
        </w:rPr>
        <w:t>（性能严重降级）</w:t>
      </w: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小时内恢复；三级故障</w:t>
      </w:r>
      <w:r>
        <w:rPr>
          <w:rFonts w:ascii="仿宋" w:eastAsia="仿宋" w:hAnsi="仿宋" w:cs="仿宋" w:hint="eastAsia"/>
          <w:color w:val="000000"/>
          <w:sz w:val="24"/>
          <w:szCs w:val="20"/>
          <w:lang w:eastAsia="zh-CN"/>
        </w:rPr>
        <w:t>P3</w:t>
      </w:r>
      <w:r>
        <w:rPr>
          <w:rFonts w:ascii="仿宋" w:eastAsia="仿宋" w:hAnsi="仿宋" w:cs="仿宋" w:hint="eastAsia"/>
          <w:color w:val="000000"/>
          <w:sz w:val="24"/>
          <w:szCs w:val="20"/>
          <w:lang w:eastAsia="zh-CN"/>
        </w:rPr>
        <w:t>（局部受损）</w:t>
      </w:r>
      <w:r>
        <w:rPr>
          <w:rFonts w:ascii="仿宋" w:eastAsia="仿宋" w:hAnsi="仿宋" w:cs="仿宋" w:hint="eastAsia"/>
          <w:color w:val="000000"/>
          <w:sz w:val="24"/>
          <w:szCs w:val="20"/>
          <w:lang w:eastAsia="zh-CN"/>
        </w:rPr>
        <w:t>12</w:t>
      </w:r>
      <w:r>
        <w:rPr>
          <w:rFonts w:ascii="仿宋" w:eastAsia="仿宋" w:hAnsi="仿宋" w:cs="仿宋" w:hint="eastAsia"/>
          <w:color w:val="000000"/>
          <w:sz w:val="24"/>
          <w:szCs w:val="20"/>
          <w:lang w:eastAsia="zh-CN"/>
        </w:rPr>
        <w:t>小时内恢复；四级故障</w:t>
      </w:r>
      <w:r>
        <w:rPr>
          <w:rFonts w:ascii="仿宋" w:eastAsia="仿宋" w:hAnsi="仿宋" w:cs="仿宋" w:hint="eastAsia"/>
          <w:color w:val="000000"/>
          <w:sz w:val="24"/>
          <w:szCs w:val="20"/>
          <w:lang w:eastAsia="zh-CN"/>
        </w:rPr>
        <w:t>P4</w:t>
      </w:r>
      <w:r>
        <w:rPr>
          <w:rFonts w:ascii="仿宋" w:eastAsia="仿宋" w:hAnsi="仿宋" w:cs="仿宋" w:hint="eastAsia"/>
          <w:color w:val="000000"/>
          <w:sz w:val="24"/>
          <w:szCs w:val="20"/>
          <w:lang w:eastAsia="zh-CN"/>
        </w:rPr>
        <w:t>（</w:t>
      </w:r>
      <w:r>
        <w:rPr>
          <w:rFonts w:ascii="仿宋" w:eastAsia="仿宋" w:hAnsi="仿宋" w:cs="仿宋" w:hint="eastAsia"/>
          <w:color w:val="000000"/>
          <w:sz w:val="24"/>
          <w:szCs w:val="20"/>
          <w:lang w:eastAsia="zh-CN"/>
        </w:rPr>
        <w:t>一般性问题）</w:t>
      </w:r>
      <w:r>
        <w:rPr>
          <w:rFonts w:ascii="仿宋" w:eastAsia="仿宋" w:hAnsi="仿宋" w:cs="仿宋" w:hint="eastAsia"/>
          <w:color w:val="000000"/>
          <w:sz w:val="24"/>
          <w:szCs w:val="20"/>
          <w:lang w:eastAsia="zh-CN"/>
        </w:rPr>
        <w:t>24</w:t>
      </w:r>
      <w:r>
        <w:rPr>
          <w:rFonts w:ascii="仿宋" w:eastAsia="仿宋" w:hAnsi="仿宋" w:cs="仿宋" w:hint="eastAsia"/>
          <w:color w:val="000000"/>
          <w:sz w:val="24"/>
          <w:szCs w:val="20"/>
          <w:lang w:eastAsia="zh-CN"/>
        </w:rPr>
        <w:t>小时内解决。</w:t>
      </w:r>
    </w:p>
    <w:p w:rsidR="006C6AE6" w:rsidRDefault="00813425">
      <w:pPr>
        <w:spacing w:before="160" w:after="80" w:line="560" w:lineRule="exact"/>
        <w:ind w:firstLine="640"/>
        <w:rPr>
          <w:rFonts w:ascii="仿宋" w:eastAsia="仿宋" w:hAnsi="仿宋" w:cs="仿宋"/>
          <w:sz w:val="20"/>
          <w:szCs w:val="20"/>
          <w:lang w:eastAsia="zh-CN"/>
        </w:rPr>
      </w:pPr>
      <w:r>
        <w:rPr>
          <w:rFonts w:ascii="仿宋" w:eastAsia="仿宋" w:hAnsi="仿宋" w:cs="仿宋" w:hint="eastAsia"/>
          <w:b/>
          <w:color w:val="000000"/>
          <w:sz w:val="24"/>
          <w:szCs w:val="20"/>
          <w:lang w:eastAsia="zh-CN"/>
        </w:rPr>
        <w:t>（六）保密与安全合规要求</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1.</w:t>
      </w:r>
      <w:r>
        <w:rPr>
          <w:rFonts w:ascii="仿宋" w:eastAsia="仿宋" w:hAnsi="仿宋" w:cs="仿宋" w:hint="eastAsia"/>
          <w:color w:val="000000"/>
          <w:sz w:val="24"/>
          <w:szCs w:val="20"/>
          <w:lang w:eastAsia="zh-CN"/>
        </w:rPr>
        <w:t>保密协议：中标人须与采购人签订单位级安全保密协议；所有参与项目的技术人员入场前须经采购人严格资格审定，并签署个人信息安全保密承诺书。无论合同是否终止，保密责任长期有效。</w:t>
      </w:r>
    </w:p>
    <w:p w:rsidR="006C6AE6" w:rsidRDefault="00813425">
      <w:pPr>
        <w:spacing w:after="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2.</w:t>
      </w:r>
      <w:r>
        <w:rPr>
          <w:rFonts w:ascii="仿宋" w:eastAsia="仿宋" w:hAnsi="仿宋" w:cs="仿宋" w:hint="eastAsia"/>
          <w:color w:val="000000"/>
          <w:sz w:val="24"/>
          <w:szCs w:val="20"/>
          <w:lang w:eastAsia="zh-CN"/>
        </w:rPr>
        <w:t>医疗敏感数据防泄露：严禁擅自拷贝、下载、导出或向第三方传输医院患者诊疗信息、心理健康档案及系统拓扑配置资料；运维操作严格遵循双人复核或经采购人审批授权原则，防范越权与误操作风险。</w:t>
      </w:r>
    </w:p>
    <w:p w:rsidR="006C6AE6" w:rsidRDefault="00813425">
      <w:pPr>
        <w:spacing w:before="280" w:after="120" w:line="560" w:lineRule="exact"/>
        <w:ind w:firstLine="640"/>
        <w:rPr>
          <w:rFonts w:ascii="仿宋" w:eastAsia="仿宋" w:hAnsi="仿宋" w:cs="仿宋"/>
          <w:sz w:val="20"/>
          <w:szCs w:val="20"/>
          <w:lang w:eastAsia="zh-CN"/>
        </w:rPr>
      </w:pPr>
      <w:r>
        <w:rPr>
          <w:rFonts w:ascii="仿宋" w:eastAsia="仿宋" w:hAnsi="仿宋" w:cs="仿宋" w:hint="eastAsia"/>
          <w:color w:val="000000"/>
          <w:sz w:val="24"/>
          <w:szCs w:val="20"/>
          <w:lang w:eastAsia="zh-CN"/>
        </w:rPr>
        <w:t>四、</w:t>
      </w:r>
      <w:r>
        <w:rPr>
          <w:rFonts w:ascii="仿宋" w:eastAsia="仿宋" w:hAnsi="仿宋" w:cs="仿宋" w:hint="eastAsia"/>
          <w:color w:val="000000"/>
          <w:sz w:val="24"/>
          <w:szCs w:val="20"/>
          <w:lang w:eastAsia="zh-CN"/>
        </w:rPr>
        <w:t>商务要求</w:t>
      </w:r>
    </w:p>
    <w:p w:rsidR="006C6AE6" w:rsidRDefault="00813425">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lastRenderedPageBreak/>
        <w:t>（一）报价方式：人民币总价包干报价，包含完成本项目所需的全部人员人工费、常驻驻场费、</w:t>
      </w:r>
      <w:r>
        <w:rPr>
          <w:rFonts w:ascii="仿宋" w:eastAsia="仿宋" w:hAnsi="仿宋" w:cs="仿宋" w:hint="eastAsia"/>
          <w:bCs/>
          <w:color w:val="000000"/>
          <w:sz w:val="24"/>
          <w:szCs w:val="20"/>
          <w:lang w:eastAsia="zh-CN"/>
        </w:rPr>
        <w:t>二线专家服务费、巡检调优费、交通差旅费、应急演练费、培训费、工具使用费、税费等全部费用。采购人无需为本项目的执行支付任何额外费用。</w:t>
      </w:r>
    </w:p>
    <w:p w:rsidR="006C6AE6" w:rsidRDefault="00813425">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（二）服务地点：武汉市精神卫生中心各院区（硚口区游艺路</w:t>
      </w:r>
      <w:r>
        <w:rPr>
          <w:rFonts w:ascii="仿宋" w:eastAsia="仿宋" w:hAnsi="仿宋" w:cs="仿宋" w:hint="eastAsia"/>
          <w:bCs/>
          <w:color w:val="000000"/>
          <w:sz w:val="24"/>
          <w:szCs w:val="20"/>
          <w:lang w:eastAsia="zh-CN"/>
        </w:rPr>
        <w:t>70</w:t>
      </w:r>
      <w:r>
        <w:rPr>
          <w:rFonts w:ascii="仿宋" w:eastAsia="仿宋" w:hAnsi="仿宋" w:cs="仿宋" w:hint="eastAsia"/>
          <w:bCs/>
          <w:color w:val="000000"/>
          <w:sz w:val="24"/>
          <w:szCs w:val="20"/>
          <w:lang w:eastAsia="zh-CN"/>
        </w:rPr>
        <w:t>号六角亭院区、江岸区工农兵路</w:t>
      </w:r>
      <w:r>
        <w:rPr>
          <w:rFonts w:ascii="仿宋" w:eastAsia="仿宋" w:hAnsi="仿宋" w:cs="仿宋" w:hint="eastAsia"/>
          <w:bCs/>
          <w:color w:val="000000"/>
          <w:sz w:val="24"/>
          <w:szCs w:val="20"/>
          <w:lang w:eastAsia="zh-CN"/>
        </w:rPr>
        <w:t>89</w:t>
      </w:r>
      <w:r>
        <w:rPr>
          <w:rFonts w:ascii="仿宋" w:eastAsia="仿宋" w:hAnsi="仿宋" w:cs="仿宋" w:hint="eastAsia"/>
          <w:bCs/>
          <w:color w:val="000000"/>
          <w:sz w:val="24"/>
          <w:szCs w:val="20"/>
          <w:lang w:eastAsia="zh-CN"/>
        </w:rPr>
        <w:t>号二七院区、蔡甸区常福院区等）及武汉云对接节点。</w:t>
      </w:r>
    </w:p>
    <w:p w:rsidR="006C6AE6" w:rsidRDefault="00813425">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（三）付款条件：合同签订生效且常驻运维人员进场后</w:t>
      </w:r>
      <w:r>
        <w:rPr>
          <w:rFonts w:ascii="仿宋" w:eastAsia="仿宋" w:hAnsi="仿宋" w:cs="仿宋" w:hint="eastAsia"/>
          <w:bCs/>
          <w:color w:val="000000"/>
          <w:sz w:val="24"/>
          <w:szCs w:val="20"/>
          <w:lang w:eastAsia="zh-CN"/>
        </w:rPr>
        <w:t>15</w:t>
      </w:r>
      <w:r>
        <w:rPr>
          <w:rFonts w:ascii="仿宋" w:eastAsia="仿宋" w:hAnsi="仿宋" w:cs="仿宋" w:hint="eastAsia"/>
          <w:bCs/>
          <w:color w:val="000000"/>
          <w:sz w:val="24"/>
          <w:szCs w:val="20"/>
          <w:lang w:eastAsia="zh-CN"/>
        </w:rPr>
        <w:t>个工作日内，采购人支付合同总额的</w:t>
      </w:r>
      <w:r>
        <w:rPr>
          <w:rFonts w:ascii="仿宋" w:eastAsia="仿宋" w:hAnsi="仿宋" w:cs="仿宋" w:hint="eastAsia"/>
          <w:bCs/>
          <w:color w:val="000000"/>
          <w:sz w:val="24"/>
          <w:szCs w:val="20"/>
          <w:lang w:eastAsia="zh-CN"/>
        </w:rPr>
        <w:t>70%</w:t>
      </w:r>
      <w:r>
        <w:rPr>
          <w:rFonts w:ascii="仿宋" w:eastAsia="仿宋" w:hAnsi="仿宋" w:cs="仿宋" w:hint="eastAsia"/>
          <w:bCs/>
          <w:color w:val="000000"/>
          <w:sz w:val="24"/>
          <w:szCs w:val="20"/>
          <w:lang w:eastAsia="zh-CN"/>
        </w:rPr>
        <w:t>；服务期满</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年并通过采购人年度综合履约验收合格后</w:t>
      </w:r>
      <w:r>
        <w:rPr>
          <w:rFonts w:ascii="仿宋" w:eastAsia="仿宋" w:hAnsi="仿宋" w:cs="仿宋" w:hint="eastAsia"/>
          <w:bCs/>
          <w:color w:val="000000"/>
          <w:sz w:val="24"/>
          <w:szCs w:val="20"/>
          <w:lang w:eastAsia="zh-CN"/>
        </w:rPr>
        <w:t>15</w:t>
      </w:r>
      <w:r>
        <w:rPr>
          <w:rFonts w:ascii="仿宋" w:eastAsia="仿宋" w:hAnsi="仿宋" w:cs="仿宋" w:hint="eastAsia"/>
          <w:bCs/>
          <w:color w:val="000000"/>
          <w:sz w:val="24"/>
          <w:szCs w:val="20"/>
          <w:lang w:eastAsia="zh-CN"/>
        </w:rPr>
        <w:t>个工作日内，采购人支付剩余的</w:t>
      </w:r>
      <w:r>
        <w:rPr>
          <w:rFonts w:ascii="仿宋" w:eastAsia="仿宋" w:hAnsi="仿宋" w:cs="仿宋" w:hint="eastAsia"/>
          <w:bCs/>
          <w:color w:val="000000"/>
          <w:sz w:val="24"/>
          <w:szCs w:val="20"/>
          <w:lang w:eastAsia="zh-CN"/>
        </w:rPr>
        <w:t>30%</w:t>
      </w:r>
      <w:r>
        <w:rPr>
          <w:rFonts w:ascii="仿宋" w:eastAsia="仿宋" w:hAnsi="仿宋" w:cs="仿宋" w:hint="eastAsia"/>
          <w:bCs/>
          <w:color w:val="000000"/>
          <w:sz w:val="24"/>
          <w:szCs w:val="20"/>
          <w:lang w:eastAsia="zh-CN"/>
        </w:rPr>
        <w:t>尾款。</w:t>
      </w:r>
    </w:p>
    <w:p w:rsidR="006C6AE6" w:rsidRDefault="00813425">
      <w:pPr>
        <w:spacing w:before="160" w:after="80" w:line="560" w:lineRule="exact"/>
        <w:ind w:firstLine="640"/>
        <w:rPr>
          <w:rFonts w:ascii="仿宋" w:eastAsia="仿宋" w:hAnsi="仿宋" w:cs="仿宋"/>
          <w:bCs/>
          <w:sz w:val="20"/>
          <w:szCs w:val="20"/>
          <w:lang w:eastAsia="zh-CN"/>
        </w:rPr>
      </w:pPr>
      <w:r>
        <w:rPr>
          <w:rFonts w:ascii="仿宋" w:eastAsia="仿宋" w:hAnsi="仿宋" w:cs="仿宋" w:hint="eastAsia"/>
          <w:bCs/>
          <w:color w:val="000000"/>
          <w:sz w:val="24"/>
          <w:szCs w:val="20"/>
          <w:lang w:eastAsia="zh-CN"/>
        </w:rPr>
        <w:t>（四）合同续签机制：本项目拟实行招一延二方式。首年为合同</w:t>
      </w:r>
      <w:r>
        <w:rPr>
          <w:rFonts w:ascii="仿宋" w:eastAsia="仿宋" w:hAnsi="仿宋" w:cs="仿宋" w:hint="eastAsia"/>
          <w:bCs/>
          <w:color w:val="000000"/>
          <w:sz w:val="24"/>
          <w:szCs w:val="20"/>
          <w:lang w:eastAsia="zh-CN"/>
        </w:rPr>
        <w:t>固定服务期，累计续签不超过</w:t>
      </w:r>
      <w:r>
        <w:rPr>
          <w:rFonts w:ascii="仿宋" w:eastAsia="仿宋" w:hAnsi="仿宋" w:cs="仿宋" w:hint="eastAsia"/>
          <w:bCs/>
          <w:color w:val="000000"/>
          <w:sz w:val="24"/>
          <w:szCs w:val="20"/>
          <w:lang w:eastAsia="zh-CN"/>
        </w:rPr>
        <w:t>2</w:t>
      </w:r>
      <w:r>
        <w:rPr>
          <w:rFonts w:ascii="仿宋" w:eastAsia="仿宋" w:hAnsi="仿宋" w:cs="仿宋" w:hint="eastAsia"/>
          <w:bCs/>
          <w:color w:val="000000"/>
          <w:sz w:val="24"/>
          <w:szCs w:val="20"/>
          <w:lang w:eastAsia="zh-CN"/>
        </w:rPr>
        <w:t>年，续签实行一年一签。服务期满，若中标人年度服务考核综合评分达到</w:t>
      </w:r>
      <w:r>
        <w:rPr>
          <w:rFonts w:ascii="仿宋" w:eastAsia="仿宋" w:hAnsi="仿宋" w:cs="仿宋" w:hint="eastAsia"/>
          <w:bCs/>
          <w:color w:val="000000"/>
          <w:sz w:val="24"/>
          <w:szCs w:val="20"/>
          <w:lang w:eastAsia="zh-CN"/>
        </w:rPr>
        <w:t>9</w:t>
      </w:r>
      <w:r w:rsidR="00123A8E">
        <w:rPr>
          <w:rFonts w:ascii="仿宋" w:eastAsia="仿宋" w:hAnsi="仿宋" w:cs="仿宋"/>
          <w:bCs/>
          <w:color w:val="000000"/>
          <w:sz w:val="24"/>
          <w:szCs w:val="20"/>
          <w:lang w:eastAsia="zh-CN"/>
        </w:rPr>
        <w:t>5</w:t>
      </w:r>
      <w:bookmarkStart w:id="0" w:name="_GoBack"/>
      <w:bookmarkEnd w:id="0"/>
      <w:r>
        <w:rPr>
          <w:rFonts w:ascii="仿宋" w:eastAsia="仿宋" w:hAnsi="仿宋" w:cs="仿宋" w:hint="eastAsia"/>
          <w:bCs/>
          <w:color w:val="000000"/>
          <w:sz w:val="24"/>
          <w:szCs w:val="20"/>
          <w:lang w:eastAsia="zh-CN"/>
        </w:rPr>
        <w:t>分及以上，且各项运维服务指标达到要求，在采购人预算资金落实的前提下，经双方协商一致可续签合同。续签合同服务标准与单价按本次采购成交结果执行。如供应商考核未达标或发生重大责任事故，采购人有权不再续约。</w:t>
      </w:r>
    </w:p>
    <w:p w:rsidR="006C6AE6" w:rsidRDefault="00813425">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（五）验收</w:t>
      </w:r>
      <w:r>
        <w:rPr>
          <w:rFonts w:ascii="仿宋" w:eastAsia="仿宋" w:hAnsi="仿宋" w:cs="仿宋" w:hint="eastAsia"/>
          <w:bCs/>
          <w:color w:val="000000"/>
          <w:sz w:val="24"/>
          <w:szCs w:val="20"/>
          <w:lang w:eastAsia="zh-CN"/>
        </w:rPr>
        <w:t>要求</w:t>
      </w:r>
      <w:r>
        <w:rPr>
          <w:rFonts w:ascii="仿宋" w:eastAsia="仿宋" w:hAnsi="仿宋" w:cs="仿宋" w:hint="eastAsia"/>
          <w:bCs/>
          <w:color w:val="000000"/>
          <w:sz w:val="24"/>
          <w:szCs w:val="20"/>
          <w:lang w:eastAsia="zh-CN"/>
        </w:rPr>
        <w:t>：乙方按服务期限完成服务后，向甲方提交齐全的服务交付件，经甲方服务考核后，由甲方组织验收。</w:t>
      </w:r>
    </w:p>
    <w:p w:rsidR="006C6AE6" w:rsidRDefault="00813425">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六</w:t>
      </w: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服务考核：服务期满后，</w:t>
      </w:r>
      <w:r>
        <w:rPr>
          <w:rFonts w:ascii="仿宋" w:eastAsia="仿宋" w:hAnsi="仿宋" w:cs="仿宋" w:hint="eastAsia"/>
          <w:bCs/>
          <w:color w:val="000000"/>
          <w:sz w:val="24"/>
          <w:szCs w:val="20"/>
          <w:lang w:eastAsia="zh-CN"/>
        </w:rPr>
        <w:t>甲方对乙方进行服务考核评价</w:t>
      </w: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考核得分大于等于</w:t>
      </w:r>
      <w:r>
        <w:rPr>
          <w:rFonts w:ascii="仿宋" w:eastAsia="仿宋" w:hAnsi="仿宋" w:cs="仿宋" w:hint="eastAsia"/>
          <w:bCs/>
          <w:color w:val="000000"/>
          <w:sz w:val="24"/>
          <w:szCs w:val="20"/>
          <w:lang w:eastAsia="zh-CN"/>
        </w:rPr>
        <w:t>90</w:t>
      </w:r>
      <w:r>
        <w:rPr>
          <w:rFonts w:ascii="仿宋" w:eastAsia="仿宋" w:hAnsi="仿宋" w:cs="仿宋" w:hint="eastAsia"/>
          <w:bCs/>
          <w:color w:val="000000"/>
          <w:sz w:val="24"/>
          <w:szCs w:val="20"/>
          <w:lang w:eastAsia="zh-CN"/>
        </w:rPr>
        <w:t>分为合格，费用全额支付；考核得分小于</w:t>
      </w:r>
      <w:r>
        <w:rPr>
          <w:rFonts w:ascii="仿宋" w:eastAsia="仿宋" w:hAnsi="仿宋" w:cs="仿宋" w:hint="eastAsia"/>
          <w:bCs/>
          <w:color w:val="000000"/>
          <w:sz w:val="24"/>
          <w:szCs w:val="20"/>
          <w:lang w:eastAsia="zh-CN"/>
        </w:rPr>
        <w:t>90</w:t>
      </w:r>
      <w:r>
        <w:rPr>
          <w:rFonts w:ascii="仿宋" w:eastAsia="仿宋" w:hAnsi="仿宋" w:cs="仿宋" w:hint="eastAsia"/>
          <w:bCs/>
          <w:color w:val="000000"/>
          <w:sz w:val="24"/>
          <w:szCs w:val="20"/>
          <w:lang w:eastAsia="zh-CN"/>
        </w:rPr>
        <w:t>分为基本合格，服务期费用按每低于</w:t>
      </w:r>
      <w:r>
        <w:rPr>
          <w:rFonts w:ascii="仿宋" w:eastAsia="仿宋" w:hAnsi="仿宋" w:cs="仿宋" w:hint="eastAsia"/>
          <w:bCs/>
          <w:color w:val="000000"/>
          <w:sz w:val="24"/>
          <w:szCs w:val="20"/>
          <w:lang w:eastAsia="zh-CN"/>
        </w:rPr>
        <w:t>90</w:t>
      </w:r>
      <w:r>
        <w:rPr>
          <w:rFonts w:ascii="仿宋" w:eastAsia="仿宋" w:hAnsi="仿宋" w:cs="仿宋" w:hint="eastAsia"/>
          <w:bCs/>
          <w:color w:val="000000"/>
          <w:sz w:val="24"/>
          <w:szCs w:val="20"/>
          <w:lang w:eastAsia="zh-CN"/>
        </w:rPr>
        <w:t>分</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分扣减</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；考核得分小于</w:t>
      </w:r>
      <w:r>
        <w:rPr>
          <w:rFonts w:ascii="仿宋" w:eastAsia="仿宋" w:hAnsi="仿宋" w:cs="仿宋" w:hint="eastAsia"/>
          <w:bCs/>
          <w:color w:val="000000"/>
          <w:sz w:val="24"/>
          <w:szCs w:val="20"/>
          <w:lang w:eastAsia="zh-CN"/>
        </w:rPr>
        <w:t>80</w:t>
      </w:r>
      <w:r>
        <w:rPr>
          <w:rFonts w:ascii="仿宋" w:eastAsia="仿宋" w:hAnsi="仿宋" w:cs="仿宋" w:hint="eastAsia"/>
          <w:bCs/>
          <w:color w:val="000000"/>
          <w:sz w:val="24"/>
          <w:szCs w:val="20"/>
          <w:lang w:eastAsia="zh-CN"/>
        </w:rPr>
        <w:t>分为不合格，服务期费用按每低于</w:t>
      </w:r>
      <w:r>
        <w:rPr>
          <w:rFonts w:ascii="仿宋" w:eastAsia="仿宋" w:hAnsi="仿宋" w:cs="仿宋" w:hint="eastAsia"/>
          <w:bCs/>
          <w:color w:val="000000"/>
          <w:sz w:val="24"/>
          <w:szCs w:val="20"/>
          <w:lang w:eastAsia="zh-CN"/>
        </w:rPr>
        <w:t>90</w:t>
      </w:r>
      <w:r>
        <w:rPr>
          <w:rFonts w:ascii="仿宋" w:eastAsia="仿宋" w:hAnsi="仿宋" w:cs="仿宋" w:hint="eastAsia"/>
          <w:bCs/>
          <w:color w:val="000000"/>
          <w:sz w:val="24"/>
          <w:szCs w:val="20"/>
          <w:lang w:eastAsia="zh-CN"/>
        </w:rPr>
        <w:t>分</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分扣减</w:t>
      </w:r>
      <w:r>
        <w:rPr>
          <w:rFonts w:ascii="仿宋" w:eastAsia="仿宋" w:hAnsi="仿宋" w:cs="仿宋" w:hint="eastAsia"/>
          <w:bCs/>
          <w:color w:val="000000"/>
          <w:sz w:val="24"/>
          <w:szCs w:val="20"/>
          <w:lang w:eastAsia="zh-CN"/>
        </w:rPr>
        <w:t>1%</w:t>
      </w:r>
      <w:r>
        <w:rPr>
          <w:rFonts w:ascii="仿宋" w:eastAsia="仿宋" w:hAnsi="仿宋" w:cs="仿宋" w:hint="eastAsia"/>
          <w:bCs/>
          <w:color w:val="000000"/>
          <w:sz w:val="24"/>
          <w:szCs w:val="20"/>
          <w:lang w:eastAsia="zh-CN"/>
        </w:rPr>
        <w:t>，且甲方有权解除服务合同</w:t>
      </w:r>
      <w:r>
        <w:rPr>
          <w:rFonts w:ascii="仿宋" w:eastAsia="仿宋" w:hAnsi="仿宋" w:cs="仿宋" w:hint="eastAsia"/>
          <w:bCs/>
          <w:color w:val="000000"/>
          <w:sz w:val="24"/>
          <w:szCs w:val="20"/>
          <w:lang w:eastAsia="zh-CN"/>
        </w:rPr>
        <w:t>。</w:t>
      </w:r>
    </w:p>
    <w:p w:rsidR="006C6AE6" w:rsidRDefault="00813425">
      <w:pPr>
        <w:spacing w:before="160" w:after="80" w:line="560" w:lineRule="exact"/>
        <w:ind w:firstLine="640"/>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t>（</w:t>
      </w:r>
      <w:r>
        <w:rPr>
          <w:rFonts w:ascii="仿宋" w:eastAsia="仿宋" w:hAnsi="仿宋" w:cs="仿宋" w:hint="eastAsia"/>
          <w:bCs/>
          <w:color w:val="000000"/>
          <w:sz w:val="24"/>
          <w:szCs w:val="20"/>
          <w:lang w:eastAsia="zh-CN"/>
        </w:rPr>
        <w:t>七</w:t>
      </w:r>
      <w:r>
        <w:rPr>
          <w:rFonts w:ascii="仿宋" w:eastAsia="仿宋" w:hAnsi="仿宋" w:cs="仿宋" w:hint="eastAsia"/>
          <w:bCs/>
          <w:color w:val="000000"/>
          <w:sz w:val="24"/>
          <w:szCs w:val="20"/>
          <w:lang w:eastAsia="zh-CN"/>
        </w:rPr>
        <w:t>）违约责任：因中标人派驻人员技术能力不足、未能按</w:t>
      </w:r>
      <w:r>
        <w:rPr>
          <w:rFonts w:ascii="仿宋" w:eastAsia="仿宋" w:hAnsi="仿宋" w:cs="仿宋" w:hint="eastAsia"/>
          <w:bCs/>
          <w:color w:val="000000"/>
          <w:sz w:val="24"/>
          <w:szCs w:val="20"/>
          <w:lang w:eastAsia="zh-CN"/>
        </w:rPr>
        <w:t>SLA</w:t>
      </w:r>
      <w:r>
        <w:rPr>
          <w:rFonts w:ascii="仿宋" w:eastAsia="仿宋" w:hAnsi="仿宋" w:cs="仿宋" w:hint="eastAsia"/>
          <w:bCs/>
          <w:color w:val="000000"/>
          <w:sz w:val="24"/>
          <w:szCs w:val="20"/>
          <w:lang w:eastAsia="zh-CN"/>
        </w:rPr>
        <w:t>规定时效排除故障或发生脱岗旷工的，采购人有权按考核细则扣减相应服务费；因中标人运维不</w:t>
      </w:r>
      <w:r>
        <w:rPr>
          <w:rFonts w:ascii="仿宋" w:eastAsia="仿宋" w:hAnsi="仿宋" w:cs="仿宋" w:hint="eastAsia"/>
          <w:bCs/>
          <w:color w:val="000000"/>
          <w:sz w:val="24"/>
          <w:szCs w:val="20"/>
          <w:lang w:eastAsia="zh-CN"/>
        </w:rPr>
        <w:lastRenderedPageBreak/>
        <w:t>当导致网络中断、数据丢失或发生严重信息安全责任事故的，采购人有权单方解除合同，没收履约保证金，并依法追究中标人法律赔偿责任。</w:t>
      </w:r>
    </w:p>
    <w:p w:rsidR="006C6AE6" w:rsidRDefault="00813425">
      <w:pPr>
        <w:rPr>
          <w:rFonts w:ascii="仿宋" w:eastAsia="仿宋" w:hAnsi="仿宋" w:cs="仿宋"/>
          <w:bCs/>
          <w:color w:val="000000"/>
          <w:sz w:val="24"/>
          <w:szCs w:val="20"/>
          <w:lang w:eastAsia="zh-CN"/>
        </w:rPr>
      </w:pPr>
      <w:r>
        <w:rPr>
          <w:rFonts w:ascii="仿宋" w:eastAsia="仿宋" w:hAnsi="仿宋" w:cs="仿宋" w:hint="eastAsia"/>
          <w:bCs/>
          <w:color w:val="000000"/>
          <w:sz w:val="24"/>
          <w:szCs w:val="20"/>
          <w:lang w:eastAsia="zh-CN"/>
        </w:rPr>
        <w:br w:type="page"/>
      </w:r>
    </w:p>
    <w:p w:rsidR="006C6AE6" w:rsidRDefault="00813425">
      <w:pPr>
        <w:spacing w:line="360" w:lineRule="auto"/>
        <w:rPr>
          <w:rFonts w:ascii="仿宋" w:eastAsia="仿宋" w:hAnsi="仿宋" w:cs="仿宋"/>
          <w:b/>
        </w:rPr>
      </w:pPr>
      <w:r>
        <w:rPr>
          <w:rFonts w:ascii="仿宋" w:eastAsia="仿宋" w:hAnsi="仿宋" w:cs="仿宋" w:hint="eastAsia"/>
          <w:b/>
        </w:rPr>
        <w:lastRenderedPageBreak/>
        <w:t>附件一：工作考核表</w:t>
      </w:r>
    </w:p>
    <w:tbl>
      <w:tblPr>
        <w:tblW w:w="4997" w:type="pct"/>
        <w:tblCellMar>
          <w:top w:w="15" w:type="dxa"/>
        </w:tblCellMar>
        <w:tblLook w:val="04A0" w:firstRow="1" w:lastRow="0" w:firstColumn="1" w:lastColumn="0" w:noHBand="0" w:noVBand="1"/>
      </w:tblPr>
      <w:tblGrid>
        <w:gridCol w:w="1627"/>
        <w:gridCol w:w="1480"/>
        <w:gridCol w:w="654"/>
        <w:gridCol w:w="3385"/>
        <w:gridCol w:w="721"/>
        <w:gridCol w:w="1188"/>
      </w:tblGrid>
      <w:tr w:rsidR="006C6AE6">
        <w:trPr>
          <w:trHeight w:val="23"/>
        </w:trPr>
        <w:tc>
          <w:tcPr>
            <w:tcW w:w="899" w:type="pct"/>
            <w:tcBorders>
              <w:top w:val="single" w:sz="4" w:space="0" w:color="auto"/>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项目名称</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6C6AE6">
            <w:pPr>
              <w:spacing w:after="0" w:line="240" w:lineRule="auto"/>
              <w:jc w:val="center"/>
              <w:rPr>
                <w:rFonts w:ascii="仿宋" w:eastAsia="仿宋" w:hAnsi="仿宋" w:cs="仿宋"/>
                <w:b/>
                <w:bCs/>
                <w:color w:val="000000"/>
                <w:sz w:val="21"/>
                <w:szCs w:val="21"/>
              </w:rPr>
            </w:pP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服务内容</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6C6AE6">
            <w:pPr>
              <w:spacing w:after="0" w:line="240" w:lineRule="auto"/>
              <w:jc w:val="center"/>
              <w:rPr>
                <w:rFonts w:ascii="仿宋" w:eastAsia="仿宋" w:hAnsi="仿宋" w:cs="仿宋"/>
                <w:color w:val="000000"/>
                <w:sz w:val="21"/>
                <w:szCs w:val="21"/>
              </w:rPr>
            </w:pP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承建单位名称</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考核时间</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医院项目负责人</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承建单位项目负责人</w:t>
            </w:r>
          </w:p>
        </w:tc>
        <w:tc>
          <w:tcPr>
            <w:tcW w:w="4100" w:type="pct"/>
            <w:gridSpan w:val="5"/>
            <w:tcBorders>
              <w:top w:val="single" w:sz="4" w:space="0" w:color="auto"/>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类别</w:t>
            </w:r>
          </w:p>
        </w:tc>
        <w:tc>
          <w:tcPr>
            <w:tcW w:w="817" w:type="pct"/>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考核项目</w:t>
            </w:r>
          </w:p>
        </w:tc>
        <w:tc>
          <w:tcPr>
            <w:tcW w:w="361" w:type="pct"/>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分值</w:t>
            </w:r>
          </w:p>
        </w:tc>
        <w:tc>
          <w:tcPr>
            <w:tcW w:w="1869" w:type="pct"/>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lang w:eastAsia="zh-CN"/>
              </w:rPr>
            </w:pPr>
            <w:r>
              <w:rPr>
                <w:rFonts w:ascii="仿宋" w:eastAsia="仿宋" w:hAnsi="仿宋" w:cs="仿宋" w:hint="eastAsia"/>
                <w:b/>
                <w:bCs/>
                <w:color w:val="000000"/>
                <w:sz w:val="21"/>
                <w:szCs w:val="21"/>
                <w:lang w:eastAsia="zh-CN"/>
              </w:rPr>
              <w:t>考核标准</w:t>
            </w:r>
            <w:r>
              <w:rPr>
                <w:rFonts w:ascii="仿宋" w:eastAsia="仿宋" w:hAnsi="仿宋" w:cs="仿宋" w:hint="eastAsia"/>
                <w:b/>
                <w:bCs/>
                <w:color w:val="000000"/>
                <w:sz w:val="21"/>
                <w:szCs w:val="21"/>
                <w:lang w:eastAsia="zh-CN"/>
              </w:rPr>
              <w:t>(</w:t>
            </w:r>
            <w:r>
              <w:rPr>
                <w:rFonts w:ascii="仿宋" w:eastAsia="仿宋" w:hAnsi="仿宋" w:cs="仿宋" w:hint="eastAsia"/>
                <w:b/>
                <w:bCs/>
                <w:color w:val="000000"/>
                <w:sz w:val="21"/>
                <w:szCs w:val="21"/>
                <w:lang w:eastAsia="zh-CN"/>
              </w:rPr>
              <w:t>若项目不涉及，则不扣分</w:t>
            </w:r>
            <w:r>
              <w:rPr>
                <w:rFonts w:ascii="仿宋" w:eastAsia="仿宋" w:hAnsi="仿宋" w:cs="仿宋" w:hint="eastAsia"/>
                <w:b/>
                <w:bCs/>
                <w:color w:val="000000"/>
                <w:sz w:val="21"/>
                <w:szCs w:val="21"/>
                <w:lang w:eastAsia="zh-CN"/>
              </w:rPr>
              <w:t>)</w:t>
            </w:r>
          </w:p>
        </w:tc>
        <w:tc>
          <w:tcPr>
            <w:tcW w:w="398" w:type="pct"/>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得分</w:t>
            </w:r>
          </w:p>
        </w:tc>
        <w:tc>
          <w:tcPr>
            <w:tcW w:w="654" w:type="pct"/>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问题及整改要求</w:t>
            </w:r>
          </w:p>
        </w:tc>
      </w:tr>
      <w:tr w:rsidR="006C6AE6">
        <w:trPr>
          <w:trHeight w:val="23"/>
        </w:trPr>
        <w:tc>
          <w:tcPr>
            <w:tcW w:w="899" w:type="pct"/>
            <w:vMerge w:val="restart"/>
            <w:tcBorders>
              <w:top w:val="nil"/>
              <w:left w:val="single" w:sz="4" w:space="0" w:color="auto"/>
              <w:bottom w:val="single" w:sz="4" w:space="0" w:color="000000"/>
              <w:right w:val="single" w:sz="4" w:space="0" w:color="auto"/>
            </w:tcBorders>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服务能力</w:t>
            </w:r>
          </w:p>
        </w:tc>
        <w:tc>
          <w:tcPr>
            <w:tcW w:w="817"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运维单位应具备运维服务技术能力。</w:t>
            </w:r>
          </w:p>
        </w:tc>
        <w:tc>
          <w:tcPr>
            <w:tcW w:w="361"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运维单位未解决实际技术问题得，每次扣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遇重大故障，运维单位未提供二线技术支撑得，每次扣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关键人员流失。</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每发生一人次人员流动</w:t>
            </w:r>
            <w:r>
              <w:rPr>
                <w:rFonts w:ascii="仿宋" w:eastAsia="仿宋" w:hAnsi="仿宋" w:cs="仿宋" w:hint="eastAsia"/>
                <w:color w:val="000000"/>
                <w:sz w:val="21"/>
                <w:szCs w:val="21"/>
                <w:lang w:eastAsia="zh-CN"/>
              </w:rPr>
              <w:t>(</w:t>
            </w:r>
            <w:r>
              <w:rPr>
                <w:rFonts w:ascii="仿宋" w:eastAsia="仿宋" w:hAnsi="仿宋" w:cs="仿宋" w:hint="eastAsia"/>
                <w:color w:val="000000"/>
                <w:sz w:val="21"/>
                <w:szCs w:val="21"/>
                <w:lang w:eastAsia="zh-CN"/>
              </w:rPr>
              <w:t>变更</w:t>
            </w:r>
            <w:r>
              <w:rPr>
                <w:rFonts w:ascii="仿宋" w:eastAsia="仿宋" w:hAnsi="仿宋" w:cs="仿宋" w:hint="eastAsia"/>
                <w:color w:val="000000"/>
                <w:sz w:val="21"/>
                <w:szCs w:val="21"/>
                <w:lang w:eastAsia="zh-CN"/>
              </w:rPr>
              <w:t>)</w:t>
            </w:r>
            <w:r>
              <w:rPr>
                <w:rFonts w:ascii="仿宋" w:eastAsia="仿宋" w:hAnsi="仿宋" w:cs="仿宋" w:hint="eastAsia"/>
                <w:color w:val="000000"/>
                <w:sz w:val="21"/>
                <w:szCs w:val="21"/>
                <w:lang w:eastAsia="zh-CN"/>
              </w:rPr>
              <w:t>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维保期间不得发生重大安全事故。</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出现重大安全事故的，扣</w:t>
            </w:r>
            <w:r>
              <w:rPr>
                <w:rFonts w:ascii="仿宋" w:eastAsia="仿宋" w:hAnsi="仿宋" w:cs="仿宋" w:hint="eastAsia"/>
                <w:color w:val="000000"/>
                <w:sz w:val="21"/>
                <w:szCs w:val="21"/>
                <w:lang w:eastAsia="zh-CN"/>
              </w:rPr>
              <w:t>10</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val="restart"/>
            <w:tcBorders>
              <w:top w:val="nil"/>
              <w:left w:val="single" w:sz="4" w:space="0" w:color="auto"/>
              <w:bottom w:val="single" w:sz="4" w:space="0" w:color="000000"/>
              <w:right w:val="single" w:sz="4" w:space="0" w:color="auto"/>
            </w:tcBorders>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服务质量</w:t>
            </w: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在医院迎接重大检查或重大生产保障期间提供运维保障。</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重要保障时期，未配合开展运维保障工作的，每次扣</w:t>
            </w:r>
            <w:r>
              <w:rPr>
                <w:rFonts w:ascii="仿宋" w:eastAsia="仿宋" w:hAnsi="仿宋" w:cs="仿宋" w:hint="eastAsia"/>
                <w:color w:val="000000"/>
                <w:sz w:val="21"/>
                <w:szCs w:val="21"/>
                <w:lang w:eastAsia="zh-CN"/>
              </w:rPr>
              <w:t>10</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发生故障事件或紧急事故时，维保单位应有处置记录或故障处置报告。</w:t>
            </w:r>
          </w:p>
        </w:tc>
        <w:tc>
          <w:tcPr>
            <w:tcW w:w="361"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13</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未如实填写记录或记录填写不全的，一次扣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发现无法处理的问题不及时上报甲方的，每次扣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3.</w:t>
            </w:r>
            <w:r>
              <w:rPr>
                <w:rFonts w:ascii="仿宋" w:eastAsia="仿宋" w:hAnsi="仿宋" w:cs="仿宋" w:hint="eastAsia"/>
                <w:color w:val="000000"/>
                <w:sz w:val="21"/>
                <w:szCs w:val="21"/>
                <w:lang w:eastAsia="zh-CN"/>
              </w:rPr>
              <w:t>发生重大事故未及时上报管理人员的，每次扣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定期巡检</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12</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lang w:eastAsia="zh-CN"/>
              </w:rPr>
              <w:t>完成每日的信息设备、预防性维护、配置变更管理、信息资产清理等任务，合同期内出具</w:t>
            </w:r>
            <w:r>
              <w:rPr>
                <w:rFonts w:ascii="仿宋" w:eastAsia="仿宋" w:hAnsi="仿宋" w:cs="仿宋" w:hint="eastAsia"/>
                <w:color w:val="000000"/>
                <w:sz w:val="21"/>
                <w:szCs w:val="21"/>
                <w:lang w:eastAsia="zh-CN"/>
              </w:rPr>
              <w:t>12</w:t>
            </w:r>
            <w:r>
              <w:rPr>
                <w:rFonts w:ascii="仿宋" w:eastAsia="仿宋" w:hAnsi="仿宋" w:cs="仿宋" w:hint="eastAsia"/>
                <w:color w:val="000000"/>
                <w:sz w:val="21"/>
                <w:szCs w:val="21"/>
                <w:lang w:eastAsia="zh-CN"/>
              </w:rPr>
              <w:t>份月度巡检报告。</w:t>
            </w:r>
            <w:r>
              <w:rPr>
                <w:rFonts w:ascii="仿宋" w:eastAsia="仿宋" w:hAnsi="仿宋" w:cs="仿宋" w:hint="eastAsia"/>
                <w:color w:val="000000"/>
                <w:sz w:val="21"/>
                <w:szCs w:val="21"/>
              </w:rPr>
              <w:t>每少一份扣</w:t>
            </w:r>
            <w:r>
              <w:rPr>
                <w:rFonts w:ascii="仿宋" w:eastAsia="仿宋" w:hAnsi="仿宋" w:cs="仿宋" w:hint="eastAsia"/>
                <w:color w:val="000000"/>
                <w:sz w:val="21"/>
                <w:szCs w:val="21"/>
              </w:rPr>
              <w:t>1</w:t>
            </w:r>
            <w:r>
              <w:rPr>
                <w:rFonts w:ascii="仿宋" w:eastAsia="仿宋" w:hAnsi="仿宋" w:cs="仿宋" w:hint="eastAsia"/>
                <w:color w:val="000000"/>
                <w:sz w:val="21"/>
                <w:szCs w:val="21"/>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 xml:space="preserve">　</w:t>
            </w:r>
          </w:p>
        </w:tc>
      </w:tr>
      <w:tr w:rsidR="006C6AE6">
        <w:trPr>
          <w:trHeight w:val="23"/>
        </w:trPr>
        <w:tc>
          <w:tcPr>
            <w:tcW w:w="899" w:type="pct"/>
            <w:vMerge w:val="restart"/>
            <w:tcBorders>
              <w:top w:val="nil"/>
              <w:left w:val="single" w:sz="4" w:space="0" w:color="auto"/>
              <w:bottom w:val="single" w:sz="4" w:space="0" w:color="000000"/>
              <w:right w:val="single" w:sz="4" w:space="0" w:color="auto"/>
            </w:tcBorders>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服务态度</w:t>
            </w: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与管理人员和报修人员积极沟通。</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反馈不及时，态度较差，每次扣</w:t>
            </w:r>
            <w:r>
              <w:rPr>
                <w:rFonts w:ascii="仿宋" w:eastAsia="仿宋" w:hAnsi="仿宋" w:cs="仿宋" w:hint="eastAsia"/>
                <w:color w:val="000000"/>
                <w:sz w:val="21"/>
                <w:szCs w:val="21"/>
                <w:lang w:eastAsia="zh-CN"/>
              </w:rPr>
              <w:t>2.5</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000000"/>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rPr>
            </w:pPr>
            <w:r>
              <w:rPr>
                <w:rFonts w:ascii="仿宋" w:eastAsia="仿宋" w:hAnsi="仿宋" w:cs="仿宋" w:hint="eastAsia"/>
                <w:color w:val="000000"/>
                <w:sz w:val="21"/>
                <w:szCs w:val="21"/>
              </w:rPr>
              <w:t>值班室干净整洁。</w:t>
            </w:r>
          </w:p>
        </w:tc>
        <w:tc>
          <w:tcPr>
            <w:tcW w:w="361" w:type="pct"/>
            <w:tcBorders>
              <w:top w:val="nil"/>
              <w:left w:val="nil"/>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5</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值班室不整洁的，每发现一次扣</w:t>
            </w: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分。</w:t>
            </w:r>
          </w:p>
        </w:tc>
        <w:tc>
          <w:tcPr>
            <w:tcW w:w="398"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t>服务效率</w:t>
            </w:r>
          </w:p>
        </w:tc>
        <w:tc>
          <w:tcPr>
            <w:tcW w:w="817"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在合同约定响应时间内提供运维服务。</w:t>
            </w:r>
          </w:p>
        </w:tc>
        <w:tc>
          <w:tcPr>
            <w:tcW w:w="361"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20</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未按甲方规定时间响应运维需求的，每次扣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未按甲方规定时间响应运维需求的且出现事故，每次扣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b/>
                <w:bCs/>
                <w:color w:val="000000"/>
                <w:sz w:val="21"/>
                <w:szCs w:val="21"/>
              </w:rPr>
            </w:pPr>
            <w:r>
              <w:rPr>
                <w:rFonts w:ascii="仿宋" w:eastAsia="仿宋" w:hAnsi="仿宋" w:cs="仿宋" w:hint="eastAsia"/>
                <w:b/>
                <w:bCs/>
                <w:color w:val="000000"/>
                <w:sz w:val="21"/>
                <w:szCs w:val="21"/>
              </w:rPr>
              <w:lastRenderedPageBreak/>
              <w:t>服务纪律</w:t>
            </w:r>
          </w:p>
        </w:tc>
        <w:tc>
          <w:tcPr>
            <w:tcW w:w="817"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严格确保值守、维修的时间响应要求。</w:t>
            </w:r>
          </w:p>
        </w:tc>
        <w:tc>
          <w:tcPr>
            <w:tcW w:w="361"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jc w:val="center"/>
              <w:rPr>
                <w:rFonts w:ascii="仿宋" w:eastAsia="仿宋" w:hAnsi="仿宋" w:cs="仿宋"/>
                <w:color w:val="000000"/>
                <w:sz w:val="21"/>
                <w:szCs w:val="21"/>
              </w:rPr>
            </w:pPr>
            <w:r>
              <w:rPr>
                <w:rFonts w:ascii="仿宋" w:eastAsia="仿宋" w:hAnsi="仿宋" w:cs="仿宋" w:hint="eastAsia"/>
                <w:color w:val="000000"/>
                <w:sz w:val="21"/>
                <w:szCs w:val="21"/>
              </w:rPr>
              <w:t>10</w:t>
            </w: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1.</w:t>
            </w:r>
            <w:r>
              <w:rPr>
                <w:rFonts w:ascii="仿宋" w:eastAsia="仿宋" w:hAnsi="仿宋" w:cs="仿宋" w:hint="eastAsia"/>
                <w:color w:val="000000"/>
                <w:sz w:val="21"/>
                <w:szCs w:val="21"/>
                <w:lang w:eastAsia="zh-CN"/>
              </w:rPr>
              <w:t>遇机房大型检修，未及时清理或要求检修方清理机房卫生的，每次扣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c>
          <w:tcPr>
            <w:tcW w:w="654" w:type="pct"/>
            <w:vMerge w:val="restart"/>
            <w:tcBorders>
              <w:top w:val="nil"/>
              <w:left w:val="single" w:sz="4" w:space="0" w:color="auto"/>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 xml:space="preserve">　</w:t>
            </w:r>
          </w:p>
        </w:tc>
      </w:tr>
      <w:tr w:rsidR="006C6AE6">
        <w:trPr>
          <w:trHeight w:val="23"/>
        </w:trPr>
        <w:tc>
          <w:tcPr>
            <w:tcW w:w="899"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驻场人员未经甲方许可，擅自脱离岗位的，每次扣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b/>
                <w:bCs/>
                <w:color w:val="000000"/>
                <w:sz w:val="21"/>
                <w:szCs w:val="21"/>
                <w:lang w:eastAsia="zh-CN"/>
              </w:rPr>
            </w:pPr>
          </w:p>
        </w:tc>
        <w:tc>
          <w:tcPr>
            <w:tcW w:w="817"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361"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1869" w:type="pct"/>
            <w:tcBorders>
              <w:top w:val="nil"/>
              <w:left w:val="nil"/>
              <w:bottom w:val="single" w:sz="4" w:space="0" w:color="auto"/>
              <w:right w:val="single" w:sz="4" w:space="0" w:color="auto"/>
            </w:tcBorders>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3.</w:t>
            </w:r>
            <w:r>
              <w:rPr>
                <w:rFonts w:ascii="仿宋" w:eastAsia="仿宋" w:hAnsi="仿宋" w:cs="仿宋" w:hint="eastAsia"/>
                <w:color w:val="000000"/>
                <w:sz w:val="21"/>
                <w:szCs w:val="21"/>
                <w:lang w:eastAsia="zh-CN"/>
              </w:rPr>
              <w:t>运维团队未保持手机畅通，甲方无法联系时，每次扣</w:t>
            </w:r>
            <w:r>
              <w:rPr>
                <w:rFonts w:ascii="仿宋" w:eastAsia="仿宋" w:hAnsi="仿宋" w:cs="仿宋" w:hint="eastAsia"/>
                <w:color w:val="000000"/>
                <w:sz w:val="21"/>
                <w:szCs w:val="21"/>
                <w:lang w:eastAsia="zh-CN"/>
              </w:rPr>
              <w:t>2</w:t>
            </w:r>
            <w:r>
              <w:rPr>
                <w:rFonts w:ascii="仿宋" w:eastAsia="仿宋" w:hAnsi="仿宋" w:cs="仿宋" w:hint="eastAsia"/>
                <w:color w:val="000000"/>
                <w:sz w:val="21"/>
                <w:szCs w:val="21"/>
                <w:lang w:eastAsia="zh-CN"/>
              </w:rPr>
              <w:t>分。</w:t>
            </w:r>
          </w:p>
        </w:tc>
        <w:tc>
          <w:tcPr>
            <w:tcW w:w="398"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c>
          <w:tcPr>
            <w:tcW w:w="654" w:type="pct"/>
            <w:vMerge/>
            <w:tcBorders>
              <w:top w:val="nil"/>
              <w:left w:val="single" w:sz="4" w:space="0" w:color="auto"/>
              <w:bottom w:val="single" w:sz="4" w:space="0" w:color="auto"/>
              <w:right w:val="single" w:sz="4" w:space="0" w:color="auto"/>
            </w:tcBorders>
            <w:vAlign w:val="center"/>
          </w:tcPr>
          <w:p w:rsidR="006C6AE6" w:rsidRDefault="006C6AE6">
            <w:pPr>
              <w:spacing w:after="0" w:line="240" w:lineRule="auto"/>
              <w:rPr>
                <w:rFonts w:ascii="仿宋" w:eastAsia="仿宋" w:hAnsi="仿宋" w:cs="仿宋"/>
                <w:color w:val="000000"/>
                <w:sz w:val="21"/>
                <w:szCs w:val="21"/>
                <w:lang w:eastAsia="zh-CN"/>
              </w:rPr>
            </w:pPr>
          </w:p>
        </w:tc>
      </w:tr>
      <w:tr w:rsidR="006C6AE6">
        <w:trPr>
          <w:trHeight w:val="23"/>
        </w:trPr>
        <w:tc>
          <w:tcPr>
            <w:tcW w:w="899" w:type="pct"/>
            <w:tcBorders>
              <w:top w:val="nil"/>
              <w:left w:val="single" w:sz="4" w:space="0" w:color="auto"/>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b/>
                <w:bCs/>
                <w:color w:val="43436B"/>
                <w:sz w:val="21"/>
                <w:szCs w:val="21"/>
              </w:rPr>
            </w:pPr>
            <w:r>
              <w:rPr>
                <w:rFonts w:ascii="仿宋" w:eastAsia="仿宋" w:hAnsi="仿宋" w:cs="仿宋" w:hint="eastAsia"/>
                <w:b/>
                <w:bCs/>
                <w:color w:val="43436B"/>
                <w:sz w:val="21"/>
                <w:szCs w:val="21"/>
              </w:rPr>
              <w:t>总分</w:t>
            </w:r>
          </w:p>
        </w:tc>
        <w:tc>
          <w:tcPr>
            <w:tcW w:w="4100" w:type="pct"/>
            <w:gridSpan w:val="5"/>
            <w:tcBorders>
              <w:top w:val="nil"/>
              <w:left w:val="nil"/>
              <w:bottom w:val="single" w:sz="4" w:space="0" w:color="auto"/>
              <w:right w:val="single" w:sz="4" w:space="0" w:color="auto"/>
            </w:tcBorders>
            <w:shd w:val="clear" w:color="000000" w:fill="FFFFFF"/>
            <w:vAlign w:val="center"/>
          </w:tcPr>
          <w:p w:rsidR="006C6AE6" w:rsidRDefault="00813425">
            <w:pPr>
              <w:spacing w:after="0" w:line="240" w:lineRule="auto"/>
              <w:jc w:val="center"/>
              <w:rPr>
                <w:rFonts w:ascii="仿宋" w:eastAsia="仿宋" w:hAnsi="仿宋" w:cs="仿宋"/>
                <w:color w:val="43436B"/>
                <w:sz w:val="21"/>
                <w:szCs w:val="21"/>
              </w:rPr>
            </w:pPr>
            <w:r>
              <w:rPr>
                <w:rFonts w:ascii="仿宋" w:eastAsia="仿宋" w:hAnsi="仿宋" w:cs="仿宋" w:hint="eastAsia"/>
                <w:color w:val="43436B"/>
                <w:sz w:val="21"/>
                <w:szCs w:val="21"/>
              </w:rPr>
              <w:t xml:space="preserve">　</w:t>
            </w:r>
          </w:p>
          <w:p w:rsidR="006C6AE6" w:rsidRDefault="006C6AE6">
            <w:pPr>
              <w:spacing w:after="0" w:line="240" w:lineRule="auto"/>
              <w:jc w:val="center"/>
              <w:rPr>
                <w:rFonts w:ascii="仿宋" w:eastAsia="仿宋" w:hAnsi="仿宋" w:cs="仿宋"/>
                <w:color w:val="43436B"/>
                <w:sz w:val="21"/>
                <w:szCs w:val="21"/>
              </w:rPr>
            </w:pPr>
          </w:p>
        </w:tc>
      </w:tr>
      <w:tr w:rsidR="006C6AE6">
        <w:trPr>
          <w:trHeight w:val="23"/>
        </w:trPr>
        <w:tc>
          <w:tcPr>
            <w:tcW w:w="5000" w:type="pct"/>
            <w:gridSpan w:val="6"/>
            <w:tcBorders>
              <w:top w:val="single" w:sz="4" w:space="0" w:color="auto"/>
              <w:left w:val="single" w:sz="4" w:space="0" w:color="auto"/>
              <w:bottom w:val="single" w:sz="4" w:space="0" w:color="auto"/>
              <w:right w:val="single" w:sz="4" w:space="0" w:color="auto"/>
            </w:tcBorders>
            <w:noWrap/>
            <w:vAlign w:val="center"/>
          </w:tcPr>
          <w:p w:rsidR="006C6AE6" w:rsidRDefault="00813425">
            <w:pPr>
              <w:spacing w:after="0" w:line="240" w:lineRule="auto"/>
              <w:rPr>
                <w:rFonts w:ascii="仿宋" w:eastAsia="仿宋" w:hAnsi="仿宋" w:cs="仿宋"/>
                <w:color w:val="000000"/>
                <w:sz w:val="21"/>
                <w:szCs w:val="21"/>
                <w:lang w:eastAsia="zh-CN"/>
              </w:rPr>
            </w:pPr>
            <w:r>
              <w:rPr>
                <w:rFonts w:ascii="仿宋" w:eastAsia="仿宋" w:hAnsi="仿宋" w:cs="仿宋" w:hint="eastAsia"/>
                <w:color w:val="000000"/>
                <w:sz w:val="21"/>
                <w:szCs w:val="21"/>
                <w:lang w:eastAsia="zh-CN"/>
              </w:rPr>
              <w:t>甲方主管部门签字（盖章）：</w:t>
            </w:r>
            <w:r>
              <w:rPr>
                <w:rFonts w:ascii="仿宋" w:eastAsia="仿宋" w:hAnsi="仿宋" w:cs="仿宋" w:hint="eastAsia"/>
                <w:color w:val="000000"/>
                <w:sz w:val="21"/>
                <w:szCs w:val="21"/>
                <w:lang w:eastAsia="zh-CN"/>
              </w:rPr>
              <w:t xml:space="preserve">                                    </w:t>
            </w:r>
            <w:r>
              <w:rPr>
                <w:rFonts w:ascii="仿宋" w:eastAsia="仿宋" w:hAnsi="仿宋" w:cs="仿宋" w:hint="eastAsia"/>
                <w:color w:val="000000"/>
                <w:sz w:val="21"/>
                <w:szCs w:val="21"/>
                <w:lang w:eastAsia="zh-CN"/>
              </w:rPr>
              <w:t>乙方签字（盖章）：</w:t>
            </w:r>
          </w:p>
        </w:tc>
      </w:tr>
    </w:tbl>
    <w:p w:rsidR="006C6AE6" w:rsidRDefault="006C6AE6">
      <w:pPr>
        <w:spacing w:before="160" w:after="80" w:line="560" w:lineRule="exact"/>
        <w:ind w:firstLine="640"/>
        <w:rPr>
          <w:rFonts w:ascii="仿宋" w:eastAsia="仿宋" w:hAnsi="仿宋" w:cs="仿宋"/>
          <w:bCs/>
          <w:color w:val="000000"/>
          <w:sz w:val="24"/>
          <w:szCs w:val="20"/>
          <w:lang w:eastAsia="zh-CN"/>
        </w:rPr>
      </w:pPr>
    </w:p>
    <w:sectPr w:rsidR="006C6AE6">
      <w:pgSz w:w="11906" w:h="16838"/>
      <w:pgMar w:top="2098" w:right="1474" w:bottom="1985"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425" w:rsidRDefault="00813425">
      <w:pPr>
        <w:spacing w:line="240" w:lineRule="auto"/>
      </w:pPr>
      <w:r>
        <w:separator/>
      </w:r>
    </w:p>
  </w:endnote>
  <w:endnote w:type="continuationSeparator" w:id="0">
    <w:p w:rsidR="00813425" w:rsidRDefault="00813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00"/>
    <w:family w:val="auto"/>
    <w:pitch w:val="default"/>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方正小标宋简体">
    <w:altName w:val="黑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425" w:rsidRDefault="00813425">
      <w:pPr>
        <w:spacing w:after="0"/>
      </w:pPr>
      <w:r>
        <w:separator/>
      </w:r>
    </w:p>
  </w:footnote>
  <w:footnote w:type="continuationSeparator" w:id="0">
    <w:p w:rsidR="00813425" w:rsidRDefault="0081342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FFFFFF7E"/>
    <w:lvl w:ilvl="0">
      <w:start w:val="1"/>
      <w:numFmt w:val="decimal"/>
      <w:pStyle w:val="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30"/>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20"/>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Symbol" w:hAnsi="Symbol" w:hint="default"/>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23A8E"/>
    <w:rsid w:val="0015074B"/>
    <w:rsid w:val="0029639D"/>
    <w:rsid w:val="00326F90"/>
    <w:rsid w:val="006C6AE6"/>
    <w:rsid w:val="00813425"/>
    <w:rsid w:val="00AA1D8D"/>
    <w:rsid w:val="00B47730"/>
    <w:rsid w:val="00CB0664"/>
    <w:rsid w:val="00F627DC"/>
    <w:rsid w:val="00FC693F"/>
    <w:rsid w:val="0A0B6A79"/>
    <w:rsid w:val="0EA40DBD"/>
    <w:rsid w:val="136364E6"/>
    <w:rsid w:val="15285481"/>
    <w:rsid w:val="15376287"/>
    <w:rsid w:val="1734328A"/>
    <w:rsid w:val="18A62A00"/>
    <w:rsid w:val="18E86D07"/>
    <w:rsid w:val="19281AE2"/>
    <w:rsid w:val="2331054B"/>
    <w:rsid w:val="26303256"/>
    <w:rsid w:val="28A34ED1"/>
    <w:rsid w:val="2A0D7668"/>
    <w:rsid w:val="2ACC7E8A"/>
    <w:rsid w:val="2C31690F"/>
    <w:rsid w:val="2C5724E3"/>
    <w:rsid w:val="2DF20824"/>
    <w:rsid w:val="30E67B79"/>
    <w:rsid w:val="37314E29"/>
    <w:rsid w:val="38DE5291"/>
    <w:rsid w:val="391858B6"/>
    <w:rsid w:val="39E81604"/>
    <w:rsid w:val="40A97E53"/>
    <w:rsid w:val="494A7DC8"/>
    <w:rsid w:val="5CB56F03"/>
    <w:rsid w:val="606D2C19"/>
    <w:rsid w:val="64C74A05"/>
    <w:rsid w:val="678B43E3"/>
    <w:rsid w:val="699A0A87"/>
    <w:rsid w:val="6CE4549A"/>
    <w:rsid w:val="6D0E4172"/>
    <w:rsid w:val="77000835"/>
    <w:rsid w:val="7EFE79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2B7DB4"/>
  <w14:defaultImageDpi w14:val="300"/>
  <w15:docId w15:val="{0DBDBF66-7DC1-40A7-8EE1-5B38EB6D9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qFormat="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qFormat="1"/>
    <w:lsdException w:name="Table Theme" w:semiHidden="1" w:unhideWhenUsed="1"/>
    <w:lsdException w:name="Placeholder Text" w:semiHidden="1"/>
    <w:lsdException w:name="No Spacing" w:uiPriority="1" w:qFormat="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spacing w:after="200" w:line="276" w:lineRule="auto"/>
    </w:pPr>
    <w:rPr>
      <w:sz w:val="22"/>
      <w:szCs w:val="22"/>
      <w:lang w:eastAsia="en-US"/>
    </w:rPr>
  </w:style>
  <w:style w:type="paragraph" w:styleId="1">
    <w:name w:val="heading 1"/>
    <w:basedOn w:val="a1"/>
    <w:next w:val="a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1"/>
    <w:next w:val="a1"/>
    <w:link w:val="60"/>
    <w:uiPriority w:val="9"/>
    <w:semiHidden/>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1"/>
    <w:next w:val="a1"/>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hAnsi="Courier"/>
      <w:lang w:eastAsia="en-US"/>
    </w:rPr>
  </w:style>
  <w:style w:type="paragraph" w:styleId="33">
    <w:name w:val="List 3"/>
    <w:basedOn w:val="a1"/>
    <w:uiPriority w:val="99"/>
    <w:unhideWhenUsed/>
    <w:qFormat/>
    <w:pPr>
      <w:ind w:left="1080" w:hanging="360"/>
      <w:contextualSpacing/>
    </w:pPr>
  </w:style>
  <w:style w:type="paragraph" w:styleId="2">
    <w:name w:val="List Number 2"/>
    <w:basedOn w:val="a1"/>
    <w:uiPriority w:val="99"/>
    <w:unhideWhenUsed/>
    <w:qFormat/>
    <w:pPr>
      <w:numPr>
        <w:numId w:val="1"/>
      </w:numPr>
      <w:contextualSpacing/>
    </w:pPr>
  </w:style>
  <w:style w:type="paragraph" w:styleId="a">
    <w:name w:val="List Number"/>
    <w:basedOn w:val="a1"/>
    <w:uiPriority w:val="99"/>
    <w:unhideWhenUsed/>
    <w:qFormat/>
    <w:pPr>
      <w:numPr>
        <w:numId w:val="2"/>
      </w:numPr>
      <w:contextualSpacing/>
    </w:pPr>
  </w:style>
  <w:style w:type="paragraph" w:styleId="a7">
    <w:name w:val="caption"/>
    <w:basedOn w:val="a1"/>
    <w:next w:val="a1"/>
    <w:uiPriority w:val="35"/>
    <w:semiHidden/>
    <w:unhideWhenUsed/>
    <w:qFormat/>
    <w:pPr>
      <w:spacing w:line="240" w:lineRule="auto"/>
    </w:pPr>
    <w:rPr>
      <w:b/>
      <w:bCs/>
      <w:color w:val="4F81BD" w:themeColor="accent1"/>
      <w:sz w:val="18"/>
      <w:szCs w:val="18"/>
    </w:rPr>
  </w:style>
  <w:style w:type="paragraph" w:styleId="a0">
    <w:name w:val="List Bullet"/>
    <w:basedOn w:val="a1"/>
    <w:uiPriority w:val="99"/>
    <w:unhideWhenUsed/>
    <w:qFormat/>
    <w:pPr>
      <w:numPr>
        <w:numId w:val="3"/>
      </w:numPr>
      <w:contextualSpacing/>
    </w:pPr>
  </w:style>
  <w:style w:type="paragraph" w:styleId="34">
    <w:name w:val="Body Text 3"/>
    <w:basedOn w:val="a1"/>
    <w:link w:val="35"/>
    <w:uiPriority w:val="99"/>
    <w:unhideWhenUsed/>
    <w:qFormat/>
    <w:pPr>
      <w:spacing w:after="120"/>
    </w:pPr>
    <w:rPr>
      <w:sz w:val="16"/>
      <w:szCs w:val="16"/>
    </w:rPr>
  </w:style>
  <w:style w:type="paragraph" w:styleId="30">
    <w:name w:val="List Bullet 3"/>
    <w:basedOn w:val="a1"/>
    <w:uiPriority w:val="99"/>
    <w:unhideWhenUsed/>
    <w:qFormat/>
    <w:pPr>
      <w:numPr>
        <w:numId w:val="4"/>
      </w:numPr>
      <w:contextualSpacing/>
    </w:pPr>
  </w:style>
  <w:style w:type="paragraph" w:styleId="a8">
    <w:name w:val="Body Text"/>
    <w:basedOn w:val="a1"/>
    <w:link w:val="a9"/>
    <w:uiPriority w:val="99"/>
    <w:unhideWhenUsed/>
    <w:qFormat/>
    <w:pPr>
      <w:spacing w:after="120"/>
    </w:pPr>
  </w:style>
  <w:style w:type="paragraph" w:styleId="3">
    <w:name w:val="List Number 3"/>
    <w:basedOn w:val="a1"/>
    <w:uiPriority w:val="99"/>
    <w:unhideWhenUsed/>
    <w:qFormat/>
    <w:pPr>
      <w:numPr>
        <w:numId w:val="5"/>
      </w:numPr>
      <w:contextualSpacing/>
    </w:pPr>
  </w:style>
  <w:style w:type="paragraph" w:styleId="23">
    <w:name w:val="List 2"/>
    <w:basedOn w:val="a1"/>
    <w:uiPriority w:val="99"/>
    <w:unhideWhenUsed/>
    <w:qFormat/>
    <w:pPr>
      <w:ind w:left="720" w:hanging="360"/>
      <w:contextualSpacing/>
    </w:pPr>
  </w:style>
  <w:style w:type="paragraph" w:styleId="aa">
    <w:name w:val="List Continue"/>
    <w:basedOn w:val="a1"/>
    <w:uiPriority w:val="99"/>
    <w:unhideWhenUsed/>
    <w:qFormat/>
    <w:pPr>
      <w:spacing w:after="120"/>
      <w:ind w:left="360"/>
      <w:contextualSpacing/>
    </w:pPr>
  </w:style>
  <w:style w:type="paragraph" w:styleId="20">
    <w:name w:val="List Bullet 2"/>
    <w:basedOn w:val="a1"/>
    <w:uiPriority w:val="99"/>
    <w:unhideWhenUsed/>
    <w:qFormat/>
    <w:pPr>
      <w:numPr>
        <w:numId w:val="6"/>
      </w:numPr>
      <w:contextualSpacing/>
    </w:pPr>
  </w:style>
  <w:style w:type="paragraph" w:styleId="ab">
    <w:name w:val="footer"/>
    <w:basedOn w:val="a1"/>
    <w:link w:val="ac"/>
    <w:uiPriority w:val="99"/>
    <w:unhideWhenUsed/>
    <w:qFormat/>
    <w:pPr>
      <w:tabs>
        <w:tab w:val="center" w:pos="4680"/>
        <w:tab w:val="right" w:pos="9360"/>
      </w:tabs>
      <w:spacing w:after="0" w:line="240" w:lineRule="auto"/>
    </w:pPr>
  </w:style>
  <w:style w:type="paragraph" w:styleId="ad">
    <w:name w:val="header"/>
    <w:basedOn w:val="a1"/>
    <w:link w:val="ae"/>
    <w:uiPriority w:val="99"/>
    <w:unhideWhenUsed/>
    <w:qFormat/>
    <w:pPr>
      <w:tabs>
        <w:tab w:val="center" w:pos="4680"/>
        <w:tab w:val="right" w:pos="9360"/>
      </w:tabs>
      <w:spacing w:after="0" w:line="240" w:lineRule="auto"/>
    </w:pPr>
  </w:style>
  <w:style w:type="paragraph" w:styleId="af">
    <w:name w:val="Subtitle"/>
    <w:basedOn w:val="a1"/>
    <w:next w:val="a1"/>
    <w:link w:val="af0"/>
    <w:uiPriority w:val="11"/>
    <w:qFormat/>
    <w:rPr>
      <w:rFonts w:asciiTheme="majorHAnsi" w:eastAsiaTheme="majorEastAsia" w:hAnsiTheme="majorHAnsi" w:cstheme="majorBidi"/>
      <w:i/>
      <w:iCs/>
      <w:color w:val="4F81BD" w:themeColor="accent1"/>
      <w:spacing w:val="15"/>
      <w:sz w:val="24"/>
      <w:szCs w:val="24"/>
    </w:rPr>
  </w:style>
  <w:style w:type="paragraph" w:styleId="af1">
    <w:name w:val="List"/>
    <w:basedOn w:val="a1"/>
    <w:uiPriority w:val="99"/>
    <w:unhideWhenUsed/>
    <w:qFormat/>
    <w:pPr>
      <w:ind w:left="360" w:hanging="360"/>
      <w:contextualSpacing/>
    </w:pPr>
  </w:style>
  <w:style w:type="paragraph" w:styleId="24">
    <w:name w:val="Body Text 2"/>
    <w:basedOn w:val="a1"/>
    <w:link w:val="25"/>
    <w:uiPriority w:val="99"/>
    <w:unhideWhenUsed/>
    <w:qFormat/>
    <w:pPr>
      <w:spacing w:after="120" w:line="480" w:lineRule="auto"/>
    </w:pPr>
  </w:style>
  <w:style w:type="paragraph" w:styleId="26">
    <w:name w:val="List Continue 2"/>
    <w:basedOn w:val="a1"/>
    <w:uiPriority w:val="99"/>
    <w:unhideWhenUsed/>
    <w:qFormat/>
    <w:pPr>
      <w:spacing w:after="120"/>
      <w:ind w:left="720"/>
      <w:contextualSpacing/>
    </w:pPr>
  </w:style>
  <w:style w:type="paragraph" w:styleId="36">
    <w:name w:val="List Continue 3"/>
    <w:basedOn w:val="a1"/>
    <w:uiPriority w:val="99"/>
    <w:unhideWhenUsed/>
    <w:qFormat/>
    <w:pPr>
      <w:spacing w:after="120"/>
      <w:ind w:left="1080"/>
      <w:contextualSpacing/>
    </w:pPr>
  </w:style>
  <w:style w:type="paragraph" w:styleId="af2">
    <w:name w:val="Title"/>
    <w:basedOn w:val="a1"/>
    <w:next w:val="a1"/>
    <w:link w:val="af3"/>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af4">
    <w:name w:val="Table Grid"/>
    <w:basedOn w:val="a3"/>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Light Shading"/>
    <w:basedOn w:val="a3"/>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qFormat/>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a3"/>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a3"/>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1">
    <w:name w:val="Light Grid Accent 1"/>
    <w:basedOn w:val="a3"/>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1">
    <w:name w:val="Light Grid Accent 2"/>
    <w:basedOn w:val="a3"/>
    <w:uiPriority w:val="62"/>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1">
    <w:name w:val="Light Grid Accent 3"/>
    <w:basedOn w:val="a3"/>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1">
    <w:name w:val="Light Grid Accent 4"/>
    <w:basedOn w:val="a3"/>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1">
    <w:name w:val="Light Grid Accent 5"/>
    <w:basedOn w:val="a3"/>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1">
    <w:name w:val="Light Grid Accent 6"/>
    <w:basedOn w:val="a3"/>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1">
    <w:name w:val="Medium Shading 1"/>
    <w:basedOn w:val="a3"/>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qFormat/>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qFormat/>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
    <w:name w:val="Medium Grid 3 Accent 1"/>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
    <w:name w:val="Medium Grid 3 Accent 2"/>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
    <w:name w:val="Medium Grid 3 Accent 3"/>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
    <w:name w:val="Medium Grid 3 Accent 4"/>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
    <w:name w:val="Medium Grid 3 Accent 5"/>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
    <w:name w:val="Medium Grid 3 Accent 6"/>
    <w:basedOn w:val="a3"/>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a3"/>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a3"/>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a3"/>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a3"/>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c">
    <w:name w:val="Strong"/>
    <w:basedOn w:val="a2"/>
    <w:uiPriority w:val="22"/>
    <w:qFormat/>
    <w:rPr>
      <w:b/>
      <w:bCs/>
    </w:rPr>
  </w:style>
  <w:style w:type="character" w:styleId="afd">
    <w:name w:val="Emphasis"/>
    <w:basedOn w:val="a2"/>
    <w:uiPriority w:val="20"/>
    <w:qFormat/>
    <w:rPr>
      <w:i/>
      <w:iCs/>
    </w:rPr>
  </w:style>
  <w:style w:type="character" w:customStyle="1" w:styleId="ae">
    <w:name w:val="页眉 字符"/>
    <w:basedOn w:val="a2"/>
    <w:link w:val="ad"/>
    <w:uiPriority w:val="99"/>
    <w:qFormat/>
  </w:style>
  <w:style w:type="character" w:customStyle="1" w:styleId="ac">
    <w:name w:val="页脚 字符"/>
    <w:basedOn w:val="a2"/>
    <w:link w:val="ab"/>
    <w:uiPriority w:val="99"/>
    <w:qFormat/>
  </w:style>
  <w:style w:type="paragraph" w:styleId="afe">
    <w:name w:val="No Spacing"/>
    <w:uiPriority w:val="1"/>
    <w:qFormat/>
    <w:rPr>
      <w:sz w:val="22"/>
      <w:szCs w:val="22"/>
      <w:lang w:eastAsia="en-US"/>
    </w:rPr>
  </w:style>
  <w:style w:type="character" w:customStyle="1" w:styleId="10">
    <w:name w:val="标题 1 字符"/>
    <w:basedOn w:val="a2"/>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qFormat/>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qFormat/>
    <w:rPr>
      <w:rFonts w:asciiTheme="majorHAnsi" w:eastAsiaTheme="majorEastAsia" w:hAnsiTheme="majorHAnsi" w:cstheme="majorBidi"/>
      <w:b/>
      <w:bCs/>
      <w:color w:val="4F81BD" w:themeColor="accent1"/>
    </w:rPr>
  </w:style>
  <w:style w:type="character" w:customStyle="1" w:styleId="af3">
    <w:name w:val="标题 字符"/>
    <w:basedOn w:val="a2"/>
    <w:link w:val="af2"/>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af0">
    <w:name w:val="副标题 字符"/>
    <w:basedOn w:val="a2"/>
    <w:link w:val="af"/>
    <w:uiPriority w:val="11"/>
    <w:qFormat/>
    <w:rPr>
      <w:rFonts w:asciiTheme="majorHAnsi" w:eastAsiaTheme="majorEastAsia" w:hAnsiTheme="majorHAnsi" w:cstheme="majorBidi"/>
      <w:i/>
      <w:iCs/>
      <w:color w:val="4F81BD" w:themeColor="accent1"/>
      <w:spacing w:val="15"/>
      <w:sz w:val="24"/>
      <w:szCs w:val="24"/>
    </w:rPr>
  </w:style>
  <w:style w:type="paragraph" w:styleId="aff">
    <w:name w:val="List Paragraph"/>
    <w:basedOn w:val="a1"/>
    <w:uiPriority w:val="34"/>
    <w:qFormat/>
    <w:pPr>
      <w:ind w:left="720"/>
      <w:contextualSpacing/>
    </w:pPr>
  </w:style>
  <w:style w:type="character" w:customStyle="1" w:styleId="a9">
    <w:name w:val="正文文本 字符"/>
    <w:basedOn w:val="a2"/>
    <w:link w:val="a8"/>
    <w:uiPriority w:val="99"/>
    <w:qFormat/>
  </w:style>
  <w:style w:type="character" w:customStyle="1" w:styleId="25">
    <w:name w:val="正文文本 2 字符"/>
    <w:basedOn w:val="a2"/>
    <w:link w:val="24"/>
    <w:uiPriority w:val="99"/>
    <w:qFormat/>
  </w:style>
  <w:style w:type="character" w:customStyle="1" w:styleId="35">
    <w:name w:val="正文文本 3 字符"/>
    <w:basedOn w:val="a2"/>
    <w:link w:val="34"/>
    <w:uiPriority w:val="99"/>
    <w:qFormat/>
    <w:rPr>
      <w:sz w:val="16"/>
      <w:szCs w:val="16"/>
    </w:rPr>
  </w:style>
  <w:style w:type="character" w:customStyle="1" w:styleId="a6">
    <w:name w:val="宏文本 字符"/>
    <w:basedOn w:val="a2"/>
    <w:link w:val="a5"/>
    <w:uiPriority w:val="99"/>
    <w:qFormat/>
    <w:rPr>
      <w:rFonts w:ascii="Courier" w:hAnsi="Courier"/>
      <w:sz w:val="20"/>
      <w:szCs w:val="20"/>
    </w:rPr>
  </w:style>
  <w:style w:type="paragraph" w:styleId="aff0">
    <w:name w:val="Quote"/>
    <w:basedOn w:val="a1"/>
    <w:next w:val="a1"/>
    <w:link w:val="aff1"/>
    <w:uiPriority w:val="29"/>
    <w:qFormat/>
    <w:rPr>
      <w:i/>
      <w:iCs/>
      <w:color w:val="000000" w:themeColor="text1"/>
    </w:rPr>
  </w:style>
  <w:style w:type="character" w:customStyle="1" w:styleId="aff1">
    <w:name w:val="引用 字符"/>
    <w:basedOn w:val="a2"/>
    <w:link w:val="aff0"/>
    <w:uiPriority w:val="29"/>
    <w:qFormat/>
    <w:rPr>
      <w:i/>
      <w:iCs/>
      <w:color w:val="000000" w:themeColor="text1"/>
    </w:rPr>
  </w:style>
  <w:style w:type="character" w:customStyle="1" w:styleId="40">
    <w:name w:val="标题 4 字符"/>
    <w:basedOn w:val="a2"/>
    <w:link w:val="4"/>
    <w:uiPriority w:val="9"/>
    <w:semiHidden/>
    <w:qFormat/>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qFormat/>
    <w:rPr>
      <w:rFonts w:asciiTheme="majorHAnsi" w:eastAsiaTheme="majorEastAsia" w:hAnsiTheme="majorHAnsi" w:cstheme="majorBidi"/>
      <w:color w:val="244061" w:themeColor="accent1" w:themeShade="80"/>
    </w:rPr>
  </w:style>
  <w:style w:type="character" w:customStyle="1" w:styleId="60">
    <w:name w:val="标题 6 字符"/>
    <w:basedOn w:val="a2"/>
    <w:link w:val="6"/>
    <w:uiPriority w:val="9"/>
    <w:semiHidden/>
    <w:qFormat/>
    <w:rPr>
      <w:rFonts w:asciiTheme="majorHAnsi" w:eastAsiaTheme="majorEastAsia" w:hAnsiTheme="majorHAnsi" w:cstheme="majorBidi"/>
      <w:i/>
      <w:iCs/>
      <w:color w:val="244061" w:themeColor="accent1" w:themeShade="80"/>
    </w:rPr>
  </w:style>
  <w:style w:type="character" w:customStyle="1" w:styleId="70">
    <w:name w:val="标题 7 字符"/>
    <w:basedOn w:val="a2"/>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2">
    <w:name w:val="Intense Quote"/>
    <w:basedOn w:val="a1"/>
    <w:next w:val="a1"/>
    <w:link w:val="aff3"/>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f3">
    <w:name w:val="明显引用 字符"/>
    <w:basedOn w:val="a2"/>
    <w:link w:val="aff2"/>
    <w:uiPriority w:val="30"/>
    <w:qFormat/>
    <w:rPr>
      <w:b/>
      <w:bCs/>
      <w:i/>
      <w:iCs/>
      <w:color w:val="4F81BD" w:themeColor="accent1"/>
    </w:rPr>
  </w:style>
  <w:style w:type="character" w:customStyle="1" w:styleId="14">
    <w:name w:val="不明显强调1"/>
    <w:basedOn w:val="a2"/>
    <w:uiPriority w:val="19"/>
    <w:qFormat/>
    <w:rPr>
      <w:i/>
      <w:iCs/>
      <w:color w:val="7F7F7F" w:themeColor="text1" w:themeTint="80"/>
    </w:rPr>
  </w:style>
  <w:style w:type="character" w:customStyle="1" w:styleId="15">
    <w:name w:val="明显强调1"/>
    <w:basedOn w:val="a2"/>
    <w:uiPriority w:val="21"/>
    <w:qFormat/>
    <w:rPr>
      <w:b/>
      <w:bCs/>
      <w:i/>
      <w:iCs/>
      <w:color w:val="4F81BD" w:themeColor="accent1"/>
    </w:rPr>
  </w:style>
  <w:style w:type="character" w:customStyle="1" w:styleId="16">
    <w:name w:val="不明显参考1"/>
    <w:basedOn w:val="a2"/>
    <w:uiPriority w:val="31"/>
    <w:qFormat/>
    <w:rPr>
      <w:smallCaps/>
      <w:color w:val="C0504D" w:themeColor="accent2"/>
      <w:u w:val="single"/>
    </w:rPr>
  </w:style>
  <w:style w:type="character" w:customStyle="1" w:styleId="17">
    <w:name w:val="明显参考1"/>
    <w:basedOn w:val="a2"/>
    <w:uiPriority w:val="32"/>
    <w:qFormat/>
    <w:rPr>
      <w:b/>
      <w:bCs/>
      <w:smallCaps/>
      <w:color w:val="C0504D" w:themeColor="accent2"/>
      <w:spacing w:val="5"/>
      <w:u w:val="single"/>
    </w:rPr>
  </w:style>
  <w:style w:type="character" w:customStyle="1" w:styleId="18">
    <w:name w:val="书籍标题1"/>
    <w:basedOn w:val="a2"/>
    <w:uiPriority w:val="33"/>
    <w:qFormat/>
    <w:rPr>
      <w:b/>
      <w:bCs/>
      <w:smallCaps/>
      <w:spacing w:val="5"/>
    </w:rPr>
  </w:style>
  <w:style w:type="paragraph" w:customStyle="1" w:styleId="TOC1">
    <w:name w:val="TOC 标题1"/>
    <w:basedOn w:val="1"/>
    <w:next w:val="a1"/>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361F41-2DF4-40C9-A1AB-6E7A74BDD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712</Words>
  <Characters>4065</Characters>
  <Application>Microsoft Office Word</Application>
  <DocSecurity>0</DocSecurity>
  <Lines>33</Lines>
  <Paragraphs>9</Paragraphs>
  <ScaleCrop>false</ScaleCrop>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Administrator</cp:lastModifiedBy>
  <cp:revision>3</cp:revision>
  <dcterms:created xsi:type="dcterms:W3CDTF">2013-12-23T23:15:00Z</dcterms:created>
  <dcterms:modified xsi:type="dcterms:W3CDTF">2026-10-25T23:59:00Z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eyJoZGlkIjoiZDlkYTFiZTc3MTg0ZDNkZDIxMWQwNTI1OWNmZDA5N2QiLCJ1c2VySWQiOiI1ODA3MTAxNzIifQ==</vt:lpwstr>
  </property>
  <property fmtid="{D5CDD505-2E9C-101B-9397-08002B2CF9AE}" pid="3" name="KSOProductBuildVer">
    <vt:lpwstr>2052-12.1.0.29161</vt:lpwstr>
  </property>
  <property fmtid="{D5CDD505-2E9C-101B-9397-08002B2CF9AE}" pid="4" name="ICV">
    <vt:lpwstr>1BF780F608B9409797486BE3068790AD_12</vt:lpwstr>
  </property>
</Properties>
</file>