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6FE9BA">
      <w:pPr>
        <w:rPr>
          <w:rFonts w:asciiTheme="minorEastAsia" w:hAnsiTheme="minorEastAsia" w:eastAsiaTheme="minorEastAsia"/>
          <w:color w:val="000000" w:themeColor="text1"/>
          <w:sz w:val="21"/>
          <w:szCs w:val="21"/>
          <w14:textFill>
            <w14:solidFill>
              <w14:schemeClr w14:val="tx1"/>
            </w14:solidFill>
          </w14:textFill>
        </w:rPr>
      </w:pPr>
    </w:p>
    <w:p w14:paraId="6781558D">
      <w:pPr>
        <w:jc w:val="center"/>
        <w:rPr>
          <w:rFonts w:asciiTheme="minorEastAsia" w:hAnsiTheme="minorEastAsia" w:eastAsiaTheme="minorEastAsia"/>
          <w:b/>
          <w:bCs/>
          <w:color w:val="000000" w:themeColor="text1"/>
          <w:sz w:val="40"/>
          <w:szCs w:val="32"/>
          <w14:textFill>
            <w14:solidFill>
              <w14:schemeClr w14:val="tx1"/>
            </w14:solidFill>
          </w14:textFill>
        </w:rPr>
      </w:pPr>
      <w:r>
        <w:rPr>
          <w:rFonts w:hint="eastAsia" w:asciiTheme="minorEastAsia" w:hAnsiTheme="minorEastAsia" w:eastAsiaTheme="minorEastAsia"/>
          <w:b/>
          <w:bCs/>
          <w:color w:val="000000" w:themeColor="text1"/>
          <w:sz w:val="40"/>
          <w:szCs w:val="32"/>
          <w14:textFill>
            <w14:solidFill>
              <w14:schemeClr w14:val="tx1"/>
            </w14:solidFill>
          </w14:textFill>
        </w:rPr>
        <w:t>2026年光缆</w:t>
      </w:r>
      <w:r>
        <w:rPr>
          <w:rFonts w:hint="eastAsia" w:asciiTheme="minorEastAsia" w:hAnsiTheme="minorEastAsia" w:eastAsiaTheme="minorEastAsia"/>
          <w:b/>
          <w:bCs/>
          <w:color w:val="000000" w:themeColor="text1"/>
          <w:sz w:val="40"/>
          <w:szCs w:val="32"/>
          <w:lang w:eastAsia="zh-Hans"/>
          <w14:textFill>
            <w14:solidFill>
              <w14:schemeClr w14:val="tx1"/>
            </w14:solidFill>
          </w14:textFill>
        </w:rPr>
        <w:t>布线</w:t>
      </w:r>
      <w:r>
        <w:rPr>
          <w:rFonts w:hint="eastAsia" w:asciiTheme="minorEastAsia" w:hAnsiTheme="minorEastAsia" w:eastAsiaTheme="minorEastAsia"/>
          <w:b/>
          <w:bCs/>
          <w:color w:val="000000" w:themeColor="text1"/>
          <w:sz w:val="40"/>
          <w:szCs w:val="32"/>
          <w14:textFill>
            <w14:solidFill>
              <w14:schemeClr w14:val="tx1"/>
            </w14:solidFill>
          </w14:textFill>
        </w:rPr>
        <w:t>服务</w:t>
      </w:r>
      <w:r>
        <w:rPr>
          <w:rFonts w:hint="eastAsia" w:asciiTheme="minorEastAsia" w:hAnsiTheme="minorEastAsia" w:eastAsiaTheme="minorEastAsia"/>
          <w:b/>
          <w:bCs/>
          <w:color w:val="000000" w:themeColor="text1"/>
          <w:sz w:val="40"/>
          <w:szCs w:val="32"/>
          <w:lang w:eastAsia="zh-Hans"/>
          <w14:textFill>
            <w14:solidFill>
              <w14:schemeClr w14:val="tx1"/>
            </w14:solidFill>
          </w14:textFill>
        </w:rPr>
        <w:t>采购</w:t>
      </w:r>
      <w:r>
        <w:rPr>
          <w:rFonts w:hint="eastAsia" w:asciiTheme="minorEastAsia" w:hAnsiTheme="minorEastAsia" w:eastAsiaTheme="minorEastAsia"/>
          <w:b/>
          <w:bCs/>
          <w:color w:val="000000" w:themeColor="text1"/>
          <w:sz w:val="40"/>
          <w:szCs w:val="32"/>
          <w14:textFill>
            <w14:solidFill>
              <w14:schemeClr w14:val="tx1"/>
            </w14:solidFill>
          </w14:textFill>
        </w:rPr>
        <w:t>项目</w:t>
      </w:r>
    </w:p>
    <w:p w14:paraId="5FA11F22">
      <w:pPr>
        <w:jc w:val="center"/>
        <w:rPr>
          <w:rFonts w:asciiTheme="minorEastAsia" w:hAnsiTheme="minorEastAsia" w:eastAsiaTheme="minorEastAsia"/>
          <w:b/>
          <w:bCs/>
          <w:color w:val="000000" w:themeColor="text1"/>
          <w:sz w:val="40"/>
          <w:szCs w:val="32"/>
          <w14:textFill>
            <w14:solidFill>
              <w14:schemeClr w14:val="tx1"/>
            </w14:solidFill>
          </w14:textFill>
        </w:rPr>
      </w:pPr>
    </w:p>
    <w:p w14:paraId="54A766A2">
      <w:pPr>
        <w:pStyle w:val="2"/>
        <w:rPr>
          <w:rFonts w:asciiTheme="minorEastAsia" w:hAnsiTheme="minorEastAsia" w:eastAsiaTheme="minorEastAsia" w:cstheme="minorEastAsia"/>
          <w:color w:val="000000" w:themeColor="text1"/>
          <w:sz w:val="32"/>
          <w:szCs w:val="21"/>
          <w14:textFill>
            <w14:solidFill>
              <w14:schemeClr w14:val="tx1"/>
            </w14:solidFill>
          </w14:textFill>
        </w:rPr>
      </w:pPr>
      <w:r>
        <w:rPr>
          <w:rFonts w:hint="eastAsia" w:asciiTheme="minorEastAsia" w:hAnsiTheme="minorEastAsia" w:eastAsiaTheme="minorEastAsia" w:cstheme="minorEastAsia"/>
          <w:color w:val="000000" w:themeColor="text1"/>
          <w:sz w:val="32"/>
          <w:szCs w:val="21"/>
          <w14:textFill>
            <w14:solidFill>
              <w14:schemeClr w14:val="tx1"/>
            </w14:solidFill>
          </w14:textFill>
        </w:rPr>
        <w:t>项目概况</w:t>
      </w:r>
    </w:p>
    <w:tbl>
      <w:tblPr>
        <w:tblStyle w:val="20"/>
        <w:tblW w:w="4998" w:type="pct"/>
        <w:tblInd w:w="0" w:type="dxa"/>
        <w:tblLayout w:type="autofit"/>
        <w:tblCellMar>
          <w:top w:w="15" w:type="dxa"/>
          <w:left w:w="15" w:type="dxa"/>
          <w:bottom w:w="15" w:type="dxa"/>
          <w:right w:w="15" w:type="dxa"/>
        </w:tblCellMar>
      </w:tblPr>
      <w:tblGrid>
        <w:gridCol w:w="847"/>
        <w:gridCol w:w="2650"/>
        <w:gridCol w:w="1242"/>
        <w:gridCol w:w="1322"/>
        <w:gridCol w:w="2242"/>
      </w:tblGrid>
      <w:tr w14:paraId="5F3D2BDF">
        <w:trPr>
          <w:trHeight w:val="195"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400F78">
            <w:pPr>
              <w:widowControl/>
              <w:jc w:val="center"/>
              <w:textAlignment w:val="center"/>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lang w:bidi="ar"/>
                <w14:textFill>
                  <w14:solidFill>
                    <w14:schemeClr w14:val="tx1"/>
                  </w14:solidFill>
                </w14:textFill>
              </w:rPr>
              <w:t>序号</w:t>
            </w:r>
          </w:p>
        </w:tc>
        <w:tc>
          <w:tcPr>
            <w:tcW w:w="15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C7E15C">
            <w:pPr>
              <w:widowControl/>
              <w:jc w:val="center"/>
              <w:textAlignment w:val="center"/>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lang w:bidi="ar"/>
                <w14:textFill>
                  <w14:solidFill>
                    <w14:schemeClr w14:val="tx1"/>
                  </w14:solidFill>
                </w14:textFill>
              </w:rPr>
              <w:t>品名</w:t>
            </w:r>
          </w:p>
        </w:tc>
        <w:tc>
          <w:tcPr>
            <w:tcW w:w="7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CB816D">
            <w:pPr>
              <w:widowControl/>
              <w:jc w:val="center"/>
              <w:textAlignment w:val="center"/>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lang w:bidi="ar"/>
                <w14:textFill>
                  <w14:solidFill>
                    <w14:schemeClr w14:val="tx1"/>
                  </w14:solidFill>
                </w14:textFill>
              </w:rPr>
              <w:t>单位</w:t>
            </w:r>
          </w:p>
        </w:tc>
        <w:tc>
          <w:tcPr>
            <w:tcW w:w="7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0C121">
            <w:pPr>
              <w:widowControl/>
              <w:jc w:val="center"/>
              <w:textAlignment w:val="center"/>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lang w:bidi="ar"/>
                <w14:textFill>
                  <w14:solidFill>
                    <w14:schemeClr w14:val="tx1"/>
                  </w14:solidFill>
                </w14:textFill>
              </w:rPr>
              <w:t>数量</w:t>
            </w:r>
          </w:p>
        </w:tc>
        <w:tc>
          <w:tcPr>
            <w:tcW w:w="13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F15BF5">
            <w:pPr>
              <w:widowControl/>
              <w:jc w:val="center"/>
              <w:textAlignment w:val="center"/>
              <w:rPr>
                <w:rFonts w:asciiTheme="minorEastAsia" w:hAnsiTheme="minorEastAsia" w:eastAsiaTheme="minorEastAsia" w:cstheme="minorEastAsia"/>
                <w:color w:val="000000" w:themeColor="text1"/>
                <w:kern w:val="0"/>
                <w:sz w:val="21"/>
                <w:szCs w:val="21"/>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lang w:bidi="ar"/>
                <w14:textFill>
                  <w14:solidFill>
                    <w14:schemeClr w14:val="tx1"/>
                  </w14:solidFill>
                </w14:textFill>
              </w:rPr>
              <w:t>预算金额</w:t>
            </w:r>
          </w:p>
        </w:tc>
      </w:tr>
      <w:tr w14:paraId="08F4D82F">
        <w:tblPrEx>
          <w:tblCellMar>
            <w:top w:w="15" w:type="dxa"/>
            <w:left w:w="15" w:type="dxa"/>
            <w:bottom w:w="15" w:type="dxa"/>
            <w:right w:w="15" w:type="dxa"/>
          </w:tblCellMar>
        </w:tblPrEx>
        <w:trPr>
          <w:trHeight w:val="195" w:hRule="atLeast"/>
        </w:trPr>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C34180">
            <w:pPr>
              <w:widowControl/>
              <w:jc w:val="center"/>
              <w:textAlignment w:val="center"/>
              <w:rPr>
                <w:rFonts w:asciiTheme="minorEastAsia" w:hAnsiTheme="minorEastAsia" w:eastAsiaTheme="minorEastAsia" w:cstheme="minorEastAsia"/>
                <w:color w:val="000000" w:themeColor="text1"/>
                <w:kern w:val="0"/>
                <w:sz w:val="21"/>
                <w:szCs w:val="21"/>
                <w:lang w:bidi="ar"/>
                <w14:textFill>
                  <w14:solidFill>
                    <w14:schemeClr w14:val="tx1"/>
                  </w14:solidFill>
                </w14:textFill>
              </w:rPr>
            </w:pPr>
            <w:r>
              <w:rPr>
                <w:rFonts w:asciiTheme="minorEastAsia" w:hAnsiTheme="minorEastAsia" w:eastAsiaTheme="minorEastAsia" w:cstheme="minorEastAsia"/>
                <w:color w:val="000000" w:themeColor="text1"/>
                <w:kern w:val="0"/>
                <w:sz w:val="21"/>
                <w:szCs w:val="21"/>
                <w:lang w:bidi="ar"/>
                <w14:textFill>
                  <w14:solidFill>
                    <w14:schemeClr w14:val="tx1"/>
                  </w14:solidFill>
                </w14:textFill>
              </w:rPr>
              <w:t>1</w:t>
            </w:r>
          </w:p>
        </w:tc>
        <w:tc>
          <w:tcPr>
            <w:tcW w:w="15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33D753">
            <w:pPr>
              <w:widowControl/>
              <w:jc w:val="center"/>
              <w:textAlignment w:val="center"/>
              <w:rPr>
                <w:rFonts w:asciiTheme="minorEastAsia" w:hAnsiTheme="minorEastAsia" w:eastAsiaTheme="minorEastAsia" w:cstheme="minorEastAsia"/>
                <w:color w:val="000000" w:themeColor="text1"/>
                <w:kern w:val="0"/>
                <w:sz w:val="21"/>
                <w:szCs w:val="21"/>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lang w:bidi="ar"/>
                <w14:textFill>
                  <w14:solidFill>
                    <w14:schemeClr w14:val="tx1"/>
                  </w14:solidFill>
                </w14:textFill>
              </w:rPr>
              <w:t>光缆布线服务</w:t>
            </w:r>
            <w:bookmarkStart w:id="0" w:name="_GoBack"/>
            <w:bookmarkEnd w:id="0"/>
          </w:p>
        </w:tc>
        <w:tc>
          <w:tcPr>
            <w:tcW w:w="74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3EFE84">
            <w:pPr>
              <w:widowControl/>
              <w:jc w:val="center"/>
              <w:textAlignment w:val="center"/>
              <w:rPr>
                <w:rFonts w:asciiTheme="minorEastAsia" w:hAnsiTheme="minorEastAsia" w:eastAsiaTheme="minorEastAsia" w:cstheme="minorEastAsia"/>
                <w:color w:val="000000" w:themeColor="text1"/>
                <w:sz w:val="21"/>
                <w:szCs w:val="21"/>
                <w:lang w:eastAsia="zh-Hans"/>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Hans"/>
                <w14:textFill>
                  <w14:solidFill>
                    <w14:schemeClr w14:val="tx1"/>
                  </w14:solidFill>
                </w14:textFill>
              </w:rPr>
              <w:t>米</w:t>
            </w:r>
          </w:p>
        </w:tc>
        <w:tc>
          <w:tcPr>
            <w:tcW w:w="79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A74D81">
            <w:pPr>
              <w:widowControl/>
              <w:jc w:val="center"/>
              <w:textAlignment w:val="center"/>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asciiTheme="minorEastAsia" w:hAnsiTheme="minorEastAsia" w:eastAsiaTheme="minorEastAsia" w:cstheme="minorEastAsia"/>
                <w:color w:val="000000" w:themeColor="text1"/>
                <w:sz w:val="21"/>
                <w:szCs w:val="21"/>
                <w14:textFill>
                  <w14:solidFill>
                    <w14:schemeClr w14:val="tx1"/>
                  </w14:solidFill>
                </w14:textFill>
              </w:rPr>
              <w:t>3000</w:t>
            </w:r>
          </w:p>
        </w:tc>
        <w:tc>
          <w:tcPr>
            <w:tcW w:w="1350" w:type="pct"/>
            <w:tcBorders>
              <w:left w:val="single" w:color="000000" w:sz="4" w:space="0"/>
              <w:bottom w:val="single" w:color="000000" w:sz="4" w:space="0"/>
              <w:right w:val="single" w:color="000000" w:sz="4" w:space="0"/>
            </w:tcBorders>
            <w:shd w:val="clear" w:color="auto" w:fill="FFFFFF"/>
            <w:vAlign w:val="center"/>
          </w:tcPr>
          <w:p w14:paraId="0E0F13F7">
            <w:pPr>
              <w:widowControl/>
              <w:jc w:val="center"/>
              <w:textAlignment w:val="center"/>
              <w:rPr>
                <w:rFonts w:asciiTheme="minorEastAsia" w:hAnsiTheme="minorEastAsia" w:eastAsiaTheme="minorEastAsia" w:cstheme="minorEastAsia"/>
                <w:color w:val="000000" w:themeColor="text1"/>
                <w:sz w:val="21"/>
                <w:szCs w:val="21"/>
                <w:highlight w:val="yellow"/>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w:t>
            </w:r>
            <w:r>
              <w:rPr>
                <w:rFonts w:asciiTheme="minorEastAsia" w:hAnsiTheme="minorEastAsia" w:eastAsiaTheme="minorEastAsia" w:cstheme="minorEastAsia"/>
                <w:color w:val="000000" w:themeColor="text1"/>
                <w:sz w:val="21"/>
                <w:szCs w:val="21"/>
                <w:highlight w:val="none"/>
                <w14:textFill>
                  <w14:solidFill>
                    <w14:schemeClr w14:val="tx1"/>
                  </w14:solidFill>
                </w14:textFill>
              </w:rPr>
              <w:t>7.3万元</w:t>
            </w:r>
          </w:p>
        </w:tc>
      </w:tr>
    </w:tbl>
    <w:p w14:paraId="49F7031F">
      <w:pPr>
        <w:pStyle w:val="41"/>
        <w:numPr>
          <w:ilvl w:val="0"/>
          <w:numId w:val="3"/>
        </w:numPr>
        <w:ind w:firstLineChars="0"/>
        <w:rPr>
          <w:rFonts w:asciiTheme="minorEastAsia" w:hAnsiTheme="minorEastAsia" w:eastAsiaTheme="minorEastAsia" w:cstheme="minorEastAsia"/>
          <w:color w:val="000000" w:themeColor="text1"/>
          <w:sz w:val="21"/>
          <w:szCs w:val="21"/>
          <w14:textFill>
            <w14:solidFill>
              <w14:schemeClr w14:val="tx1"/>
            </w14:solidFill>
          </w14:textFill>
        </w:rPr>
      </w:pPr>
      <w:r>
        <w:rPr>
          <w:rFonts w:asciiTheme="minorEastAsia" w:hAnsiTheme="minorEastAsia" w:eastAsiaTheme="minorEastAsia" w:cstheme="minorEastAsia"/>
          <w:color w:val="000000" w:themeColor="text1"/>
          <w:sz w:val="21"/>
          <w:szCs w:val="21"/>
          <w14:textFill>
            <w14:solidFill>
              <w14:schemeClr w14:val="tx1"/>
            </w14:solidFill>
          </w14:textFill>
        </w:rPr>
        <w:t>项目名称：光缆布线服务项目。</w:t>
      </w:r>
    </w:p>
    <w:p w14:paraId="7D2693C2">
      <w:pPr>
        <w:pStyle w:val="41"/>
        <w:numPr>
          <w:ilvl w:val="0"/>
          <w:numId w:val="3"/>
        </w:numPr>
        <w:ind w:firstLineChars="0"/>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服务期限：一年（合同签订之日起）。</w:t>
      </w:r>
    </w:p>
    <w:p w14:paraId="2812F8E5">
      <w:pPr>
        <w:pStyle w:val="41"/>
        <w:numPr>
          <w:ilvl w:val="0"/>
          <w:numId w:val="3"/>
        </w:numPr>
        <w:ind w:firstLineChars="0"/>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预算金额：人民币</w:t>
      </w:r>
      <w:r>
        <w:rPr>
          <w:rFonts w:asciiTheme="minorEastAsia" w:hAnsiTheme="minorEastAsia" w:eastAsiaTheme="minorEastAsia" w:cstheme="minorEastAsia"/>
          <w:color w:val="000000" w:themeColor="text1"/>
          <w:sz w:val="21"/>
          <w:szCs w:val="21"/>
          <w14:textFill>
            <w14:solidFill>
              <w14:schemeClr w14:val="tx1"/>
            </w14:solidFill>
          </w14:textFill>
        </w:rPr>
        <w:t>27.3万元（</w:t>
      </w:r>
      <w:r>
        <w:rPr>
          <w:rFonts w:hint="eastAsia" w:asciiTheme="minorEastAsia" w:hAnsiTheme="minorEastAsia" w:eastAsiaTheme="minorEastAsia" w:cstheme="minorEastAsia"/>
          <w:color w:val="000000" w:themeColor="text1"/>
          <w:sz w:val="21"/>
          <w:szCs w:val="21"/>
          <w14:textFill>
            <w14:solidFill>
              <w14:schemeClr w14:val="tx1"/>
            </w14:solidFill>
          </w14:textFill>
        </w:rPr>
        <w:t>含税全包价，最高限价 27.3 万元）。</w:t>
      </w:r>
    </w:p>
    <w:p w14:paraId="63BAF80D">
      <w:pPr>
        <w:pStyle w:val="41"/>
        <w:numPr>
          <w:ilvl w:val="0"/>
          <w:numId w:val="3"/>
        </w:numPr>
        <w:ind w:firstLineChars="0"/>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服务地点：采购人指定区域（含室内外、管道、架空、弱电井、园区道路等零星点位）。</w:t>
      </w:r>
    </w:p>
    <w:p w14:paraId="1E100E2F">
      <w:pPr>
        <w:pStyle w:val="41"/>
        <w:numPr>
          <w:ilvl w:val="0"/>
          <w:numId w:val="3"/>
        </w:numPr>
        <w:ind w:firstLineChars="0"/>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服务模式：按工单响应、按需施工、全年常态化保障。</w:t>
      </w:r>
    </w:p>
    <w:p w14:paraId="13A03C5A">
      <w:pPr>
        <w:pStyle w:val="41"/>
        <w:numPr>
          <w:ilvl w:val="0"/>
          <w:numId w:val="3"/>
        </w:numPr>
        <w:ind w:firstLineChars="0"/>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结算方式：乙方按照合同约定和甲方光缆布线要求交付实施成果，经信息中心项目负责人验收合格和审计科工程审计后，甲方依据审计报告给乙方结算每期价款。甲方按季度结算，结算日为每季度结束后的30个日历日，乙方持经信息中心项目负责人签字的光缆布线验收单和审计科审计报告办理结算事宜，乙方未在结算日前提交办理结算的相关资料的，款项顺延至下个结算季度进行结算，以此类推。</w:t>
      </w:r>
    </w:p>
    <w:p w14:paraId="41D13D90">
      <w:pPr>
        <w:pStyle w:val="2"/>
        <w:rPr>
          <w:rFonts w:asciiTheme="minorEastAsia" w:hAnsiTheme="minorEastAsia" w:eastAsiaTheme="minorEastAsia" w:cstheme="minorEastAsia"/>
          <w:color w:val="000000" w:themeColor="text1"/>
          <w:sz w:val="32"/>
          <w:szCs w:val="21"/>
          <w14:textFill>
            <w14:solidFill>
              <w14:schemeClr w14:val="tx1"/>
            </w14:solidFill>
          </w14:textFill>
        </w:rPr>
      </w:pPr>
      <w:r>
        <w:rPr>
          <w:rFonts w:asciiTheme="minorEastAsia" w:hAnsiTheme="minorEastAsia" w:eastAsiaTheme="minorEastAsia" w:cstheme="minorEastAsia"/>
          <w:color w:val="000000" w:themeColor="text1"/>
          <w:sz w:val="32"/>
          <w:szCs w:val="21"/>
          <w14:textFill>
            <w14:solidFill>
              <w14:schemeClr w14:val="tx1"/>
            </w14:solidFill>
          </w14:textFill>
        </w:rPr>
        <w:t>服务内容及范围</w:t>
      </w:r>
    </w:p>
    <w:p w14:paraId="124D3B09">
      <w:pPr>
        <w:rPr>
          <w:sz w:val="21"/>
          <w:szCs w:val="21"/>
        </w:rPr>
      </w:pPr>
      <w:r>
        <w:rPr>
          <w:rFonts w:hint="eastAsia"/>
          <w:sz w:val="21"/>
          <w:szCs w:val="21"/>
        </w:rPr>
        <w:t>服务商负责采购人年度内所有零星、应急、分散的光缆铺设及配套服务，包含但不限于：</w:t>
      </w:r>
    </w:p>
    <w:p w14:paraId="3A85AC5D">
      <w:pPr>
        <w:rPr>
          <w:sz w:val="21"/>
          <w:szCs w:val="21"/>
        </w:rPr>
      </w:pPr>
      <w:r>
        <w:rPr>
          <w:rFonts w:hint="eastAsia"/>
          <w:sz w:val="21"/>
          <w:szCs w:val="21"/>
        </w:rPr>
        <w:t>1.</w:t>
      </w:r>
      <w:r>
        <w:rPr>
          <w:rFonts w:hint="eastAsia"/>
          <w:sz w:val="21"/>
          <w:szCs w:val="21"/>
        </w:rPr>
        <w:tab/>
      </w:r>
      <w:r>
        <w:rPr>
          <w:rFonts w:hint="eastAsia"/>
          <w:sz w:val="21"/>
          <w:szCs w:val="21"/>
        </w:rPr>
        <w:t>光缆铺设：管道布放、架空挂设、沿墙固定、穿线牵引等；</w:t>
      </w:r>
    </w:p>
    <w:p w14:paraId="69C19432">
      <w:pPr>
        <w:rPr>
          <w:sz w:val="21"/>
          <w:szCs w:val="21"/>
        </w:rPr>
      </w:pPr>
      <w:r>
        <w:rPr>
          <w:rFonts w:hint="eastAsia"/>
          <w:sz w:val="21"/>
          <w:szCs w:val="21"/>
        </w:rPr>
        <w:t>2.</w:t>
      </w:r>
      <w:r>
        <w:rPr>
          <w:rFonts w:hint="eastAsia"/>
          <w:sz w:val="21"/>
          <w:szCs w:val="21"/>
        </w:rPr>
        <w:tab/>
      </w:r>
      <w:r>
        <w:rPr>
          <w:rFonts w:hint="eastAsia"/>
          <w:sz w:val="21"/>
          <w:szCs w:val="21"/>
        </w:rPr>
        <w:t>光纤熔接：光缆熔接、尾纤成端、ODF/DDF 架整理、标签制作与粘贴；</w:t>
      </w:r>
    </w:p>
    <w:p w14:paraId="23F9FFCD">
      <w:pPr>
        <w:rPr>
          <w:sz w:val="21"/>
          <w:szCs w:val="21"/>
        </w:rPr>
      </w:pPr>
      <w:r>
        <w:rPr>
          <w:rFonts w:hint="eastAsia"/>
          <w:sz w:val="21"/>
          <w:szCs w:val="21"/>
        </w:rPr>
        <w:t>3.</w:t>
      </w:r>
      <w:r>
        <w:rPr>
          <w:rFonts w:hint="eastAsia"/>
          <w:sz w:val="21"/>
          <w:szCs w:val="21"/>
        </w:rPr>
        <w:tab/>
      </w:r>
      <w:r>
        <w:rPr>
          <w:rFonts w:hint="eastAsia"/>
          <w:sz w:val="21"/>
          <w:szCs w:val="21"/>
        </w:rPr>
        <w:t>测试验收：光衰测试、通断测试、链路核对、点位标识、资料登记；</w:t>
      </w:r>
    </w:p>
    <w:p w14:paraId="025C4709">
      <w:pPr>
        <w:rPr>
          <w:sz w:val="21"/>
          <w:szCs w:val="21"/>
        </w:rPr>
      </w:pPr>
      <w:r>
        <w:rPr>
          <w:rFonts w:hint="eastAsia"/>
          <w:sz w:val="21"/>
          <w:szCs w:val="21"/>
        </w:rPr>
        <w:t>4.</w:t>
      </w:r>
      <w:r>
        <w:rPr>
          <w:rFonts w:hint="eastAsia"/>
          <w:sz w:val="21"/>
          <w:szCs w:val="21"/>
        </w:rPr>
        <w:tab/>
      </w:r>
      <w:r>
        <w:rPr>
          <w:rFonts w:hint="eastAsia"/>
          <w:sz w:val="21"/>
          <w:szCs w:val="21"/>
        </w:rPr>
        <w:t>故障抢修：光缆断点排查、破损修复、线路整改、废旧光缆清理；</w:t>
      </w:r>
    </w:p>
    <w:p w14:paraId="29E13AB1">
      <w:pPr>
        <w:rPr>
          <w:sz w:val="21"/>
          <w:szCs w:val="21"/>
        </w:rPr>
      </w:pPr>
      <w:r>
        <w:rPr>
          <w:rFonts w:hint="eastAsia"/>
          <w:sz w:val="21"/>
          <w:szCs w:val="21"/>
        </w:rPr>
        <w:t>5.</w:t>
      </w:r>
      <w:r>
        <w:rPr>
          <w:rFonts w:hint="eastAsia"/>
          <w:sz w:val="21"/>
          <w:szCs w:val="21"/>
        </w:rPr>
        <w:tab/>
      </w:r>
      <w:r>
        <w:rPr>
          <w:rFonts w:hint="eastAsia"/>
          <w:sz w:val="21"/>
          <w:szCs w:val="21"/>
        </w:rPr>
        <w:t>辅助施工：挂钩、扎带、波纹管、固定件、标识牌等辅材安装及施工配合；</w:t>
      </w:r>
    </w:p>
    <w:p w14:paraId="195205FA">
      <w:pPr>
        <w:rPr>
          <w:sz w:val="21"/>
          <w:szCs w:val="21"/>
        </w:rPr>
      </w:pPr>
      <w:r>
        <w:rPr>
          <w:rFonts w:hint="eastAsia"/>
          <w:sz w:val="21"/>
          <w:szCs w:val="21"/>
        </w:rPr>
        <w:t>6.</w:t>
      </w:r>
      <w:r>
        <w:rPr>
          <w:rFonts w:hint="eastAsia"/>
          <w:sz w:val="21"/>
          <w:szCs w:val="21"/>
        </w:rPr>
        <w:tab/>
      </w:r>
      <w:r>
        <w:rPr>
          <w:rFonts w:hint="eastAsia"/>
          <w:sz w:val="21"/>
          <w:szCs w:val="21"/>
        </w:rPr>
        <w:t>台账管理：每次服务工单记录资料归档。</w:t>
      </w:r>
    </w:p>
    <w:p w14:paraId="23837692"/>
    <w:p w14:paraId="167FA2EE">
      <w:pPr>
        <w:rPr>
          <w:color w:val="000000" w:themeColor="text1"/>
          <w14:textFill>
            <w14:solidFill>
              <w14:schemeClr w14:val="tx1"/>
            </w14:solidFill>
          </w14:textFill>
        </w:rPr>
      </w:pPr>
    </w:p>
    <w:p w14:paraId="49828CEF">
      <w:pPr>
        <w:pStyle w:val="2"/>
        <w:rPr>
          <w:rFonts w:asciiTheme="minorEastAsia" w:hAnsiTheme="minorEastAsia" w:eastAsiaTheme="minorEastAsia" w:cstheme="minorEastAsia"/>
          <w:color w:val="000000" w:themeColor="text1"/>
          <w:sz w:val="32"/>
          <w:szCs w:val="21"/>
          <w14:textFill>
            <w14:solidFill>
              <w14:schemeClr w14:val="tx1"/>
            </w14:solidFill>
          </w14:textFill>
        </w:rPr>
      </w:pPr>
      <w:r>
        <w:rPr>
          <w:rFonts w:hint="eastAsia" w:asciiTheme="minorEastAsia" w:hAnsiTheme="minorEastAsia" w:eastAsiaTheme="minorEastAsia" w:cstheme="minorEastAsia"/>
          <w:color w:val="000000" w:themeColor="text1"/>
          <w:sz w:val="32"/>
          <w:szCs w:val="21"/>
          <w14:textFill>
            <w14:solidFill>
              <w14:schemeClr w14:val="tx1"/>
            </w14:solidFill>
          </w14:textFill>
        </w:rPr>
        <w:t>服务要求</w:t>
      </w:r>
    </w:p>
    <w:p w14:paraId="393042DD">
      <w:pPr>
        <w:keepNext/>
        <w:keepLines/>
        <w:numPr>
          <w:ilvl w:val="1"/>
          <w:numId w:val="1"/>
        </w:numPr>
        <w:outlineLvl w:val="1"/>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光缆布线服务要求</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116"/>
        <w:gridCol w:w="6437"/>
      </w:tblGrid>
      <w:tr w14:paraId="5EFA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46" w:type="pct"/>
            <w:vAlign w:val="center"/>
          </w:tcPr>
          <w:p w14:paraId="414F1B5B">
            <w:pPr>
              <w:widowControl/>
              <w:ind w:left="425" w:hanging="425"/>
              <w:jc w:val="left"/>
              <w:rPr>
                <w:rFonts w:cs="宋体" w:asciiTheme="minorEastAsia" w:hAnsiTheme="minorEastAsia" w:eastAsiaTheme="minorEastAsia"/>
                <w:color w:val="000000" w:themeColor="text1"/>
                <w:kern w:val="0"/>
                <w:szCs w:val="24"/>
                <w14:textFill>
                  <w14:solidFill>
                    <w14:schemeClr w14:val="tx1"/>
                  </w14:solidFill>
                </w14:textFill>
              </w:rPr>
            </w:pPr>
            <w:r>
              <w:rPr>
                <w:rFonts w:hint="eastAsia" w:cs="宋体" w:asciiTheme="minorEastAsia" w:hAnsiTheme="minorEastAsia" w:eastAsiaTheme="minorEastAsia"/>
                <w:color w:val="000000" w:themeColor="text1"/>
                <w:kern w:val="0"/>
                <w:szCs w:val="24"/>
                <w14:textFill>
                  <w14:solidFill>
                    <w14:schemeClr w14:val="tx1"/>
                  </w14:solidFill>
                </w14:textFill>
              </w:rPr>
              <w:t>1.</w:t>
            </w:r>
          </w:p>
        </w:tc>
        <w:tc>
          <w:tcPr>
            <w:tcW w:w="673" w:type="pct"/>
            <w:vAlign w:val="center"/>
          </w:tcPr>
          <w:p w14:paraId="3ED79DE3">
            <w:pPr>
              <w:widowControl/>
              <w:jc w:val="left"/>
              <w:rPr>
                <w:rFonts w:cs="宋体" w:asciiTheme="minorEastAsia" w:hAnsiTheme="minorEastAsia" w:eastAsiaTheme="minorEastAsia"/>
                <w:color w:val="000000" w:themeColor="text1"/>
                <w:kern w:val="0"/>
                <w:szCs w:val="24"/>
                <w14:textFill>
                  <w14:solidFill>
                    <w14:schemeClr w14:val="tx1"/>
                  </w14:solidFill>
                </w14:textFill>
              </w:rPr>
            </w:pPr>
            <w:r>
              <w:rPr>
                <w:rFonts w:hint="eastAsia" w:cs="宋体" w:asciiTheme="minorEastAsia" w:hAnsiTheme="minorEastAsia" w:eastAsiaTheme="minorEastAsia"/>
                <w:color w:val="000000" w:themeColor="text1"/>
                <w:kern w:val="0"/>
                <w:szCs w:val="24"/>
                <w14:textFill>
                  <w14:solidFill>
                    <w14:schemeClr w14:val="tx1"/>
                  </w14:solidFill>
                </w14:textFill>
              </w:rPr>
              <w:t>服务内容</w:t>
            </w:r>
          </w:p>
        </w:tc>
        <w:tc>
          <w:tcPr>
            <w:tcW w:w="3881" w:type="pct"/>
            <w:vAlign w:val="center"/>
          </w:tcPr>
          <w:p w14:paraId="4EB0B58F">
            <w:pPr>
              <w:rPr>
                <w:rFonts w:ascii="宋体" w:hAnsi="宋体" w:cs="宋体"/>
                <w:color w:val="000000"/>
                <w:szCs w:val="24"/>
              </w:rPr>
            </w:pPr>
            <w:r>
              <w:rPr>
                <w:rFonts w:hint="eastAsia" w:ascii="宋体" w:hAnsi="宋体" w:cs="宋体"/>
                <w:color w:val="000000"/>
                <w:szCs w:val="24"/>
              </w:rPr>
              <w:t>1.负责医院服务期内，包含总量13000米光缆零星布线服务，覆盖医院院区网络布线相关的现场勘查、实施、检测验收、故障维保等全流程工作。</w:t>
            </w:r>
          </w:p>
          <w:p w14:paraId="251CF9EF">
            <w:pPr>
              <w:rPr>
                <w:rFonts w:ascii="宋体" w:hAnsi="宋体" w:cs="宋体"/>
                <w:color w:val="000000"/>
                <w:szCs w:val="24"/>
              </w:rPr>
            </w:pPr>
            <w:r>
              <w:rPr>
                <w:rFonts w:hint="eastAsia" w:ascii="宋体" w:hAnsi="宋体" w:cs="宋体"/>
                <w:color w:val="000000"/>
                <w:szCs w:val="24"/>
              </w:rPr>
              <w:t xml:space="preserve">2.服务范围涵盖人工、材料及运输、熔纤、检测等相关费用。 </w:t>
            </w:r>
          </w:p>
          <w:p w14:paraId="12385F3E">
            <w:pPr>
              <w:rPr>
                <w:rFonts w:ascii="宋体" w:hAnsi="宋体" w:cs="宋体"/>
                <w:color w:val="000000"/>
                <w:szCs w:val="24"/>
              </w:rPr>
            </w:pPr>
            <w:r>
              <w:rPr>
                <w:rFonts w:hint="eastAsia" w:ascii="宋体" w:hAnsi="宋体" w:cs="宋体"/>
                <w:color w:val="000000"/>
                <w:szCs w:val="24"/>
              </w:rPr>
              <w:t>3.自医院各汇聚间至皮综大楼新核心机房，每个汇聚机房至核心机房的光纤芯数和长度根据实际情况确定。</w:t>
            </w:r>
          </w:p>
          <w:p w14:paraId="3C3F0706">
            <w:pPr>
              <w:rPr>
                <w:rFonts w:ascii="宋体" w:hAnsi="宋体" w:cs="宋体"/>
                <w:color w:val="000000"/>
                <w:szCs w:val="24"/>
              </w:rPr>
            </w:pPr>
            <w:r>
              <w:rPr>
                <w:rFonts w:hint="eastAsia" w:ascii="宋体" w:hAnsi="宋体" w:cs="宋体"/>
                <w:color w:val="000000"/>
                <w:szCs w:val="24"/>
              </w:rPr>
              <w:t>4.光缆布设后，光纤光衰值必须在-28dBm以内。</w:t>
            </w:r>
          </w:p>
          <w:p w14:paraId="6EEC4262">
            <w:pPr>
              <w:rPr>
                <w:rFonts w:ascii="宋体" w:hAnsi="宋体" w:cs="宋体"/>
                <w:color w:val="000000"/>
                <w:szCs w:val="24"/>
              </w:rPr>
            </w:pPr>
            <w:r>
              <w:rPr>
                <w:rFonts w:hint="eastAsia" w:ascii="宋体" w:hAnsi="宋体" w:cs="宋体"/>
                <w:color w:val="000000"/>
                <w:szCs w:val="24"/>
              </w:rPr>
              <w:t>5．布线材料（光缆、配线架、熔纤盘，跳线等）需严格按照对应的技术标准和品牌性能对标要求。</w:t>
            </w:r>
          </w:p>
          <w:p w14:paraId="71CEC3FD">
            <w:pPr>
              <w:rPr>
                <w:rFonts w:ascii="宋体" w:hAnsi="宋体" w:cs="宋体"/>
                <w:color w:val="000000"/>
                <w:szCs w:val="24"/>
              </w:rPr>
            </w:pPr>
            <w:r>
              <w:rPr>
                <w:rFonts w:hint="eastAsia" w:ascii="宋体" w:hAnsi="宋体" w:cs="宋体"/>
                <w:color w:val="000000"/>
                <w:szCs w:val="24"/>
              </w:rPr>
              <w:t>6．对布线施工工艺、响应时效、质量检测、标签标识等环节按规范化执行。</w:t>
            </w:r>
          </w:p>
          <w:p w14:paraId="1401797D">
            <w:pPr>
              <w:rPr>
                <w:rFonts w:ascii="宋体" w:hAnsi="宋体" w:cs="宋体"/>
                <w:color w:val="000000"/>
                <w:szCs w:val="24"/>
              </w:rPr>
            </w:pPr>
            <w:r>
              <w:rPr>
                <w:rFonts w:hint="eastAsia" w:ascii="宋体" w:hAnsi="宋体" w:cs="宋体"/>
                <w:color w:val="000000"/>
                <w:szCs w:val="24"/>
              </w:rPr>
              <w:t>7</w:t>
            </w:r>
            <w:r>
              <w:rPr>
                <w:rFonts w:ascii="宋体" w:hAnsi="宋体" w:cs="宋体"/>
                <w:color w:val="000000"/>
                <w:szCs w:val="24"/>
              </w:rPr>
              <w:t>.</w:t>
            </w:r>
            <w:r>
              <w:rPr>
                <w:rFonts w:hint="eastAsia" w:ascii="宋体" w:hAnsi="宋体" w:cs="宋体"/>
                <w:color w:val="000000"/>
                <w:szCs w:val="24"/>
              </w:rPr>
              <w:t>同时提供 3 年的质保期限及对应的售后服务响应标准。</w:t>
            </w:r>
          </w:p>
          <w:p w14:paraId="270BD042">
            <w:pPr>
              <w:rPr>
                <w:rFonts w:ascii="宋体" w:hAnsi="宋体" w:cs="宋体"/>
                <w:color w:val="000000"/>
                <w:szCs w:val="24"/>
              </w:rPr>
            </w:pPr>
            <w:r>
              <w:rPr>
                <w:rFonts w:ascii="宋体" w:hAnsi="宋体" w:cs="宋体"/>
                <w:color w:val="000000"/>
                <w:szCs w:val="24"/>
              </w:rPr>
              <w:t>8</w:t>
            </w:r>
            <w:r>
              <w:rPr>
                <w:rFonts w:hint="eastAsia" w:ascii="宋体" w:hAnsi="宋体" w:cs="宋体"/>
                <w:color w:val="000000"/>
                <w:szCs w:val="24"/>
              </w:rPr>
              <w:t>.光缆性能要求不低于烽火、长飞或其他同等品牌的性能指标。</w:t>
            </w:r>
          </w:p>
          <w:p w14:paraId="7F920B89">
            <w:pPr>
              <w:rPr>
                <w:rFonts w:ascii="宋体" w:hAnsi="宋体" w:cs="宋体"/>
                <w:color w:val="000000"/>
                <w:szCs w:val="24"/>
              </w:rPr>
            </w:pPr>
            <w:r>
              <w:rPr>
                <w:rFonts w:ascii="宋体" w:hAnsi="宋体" w:cs="宋体"/>
                <w:color w:val="000000"/>
                <w:szCs w:val="24"/>
              </w:rPr>
              <w:t>9</w:t>
            </w:r>
            <w:r>
              <w:rPr>
                <w:rFonts w:hint="eastAsia" w:ascii="宋体" w:hAnsi="宋体" w:cs="宋体"/>
                <w:color w:val="000000"/>
                <w:szCs w:val="24"/>
              </w:rPr>
              <w:t>.布线要求横平竖直，墙面走线槽，吊顶穿线管，地面使用耐用线槽。</w:t>
            </w:r>
          </w:p>
          <w:p w14:paraId="3CA02792">
            <w:pPr>
              <w:rPr>
                <w:rFonts w:ascii="宋体" w:hAnsi="宋体" w:cs="宋体"/>
                <w:color w:val="000000"/>
                <w:szCs w:val="24"/>
              </w:rPr>
            </w:pPr>
            <w:r>
              <w:rPr>
                <w:rFonts w:ascii="宋体" w:hAnsi="宋体" w:cs="宋体"/>
                <w:color w:val="000000"/>
                <w:szCs w:val="24"/>
              </w:rPr>
              <w:t>10</w:t>
            </w:r>
            <w:r>
              <w:rPr>
                <w:rFonts w:hint="eastAsia" w:ascii="宋体" w:hAnsi="宋体" w:cs="宋体"/>
                <w:color w:val="000000"/>
                <w:szCs w:val="24"/>
              </w:rPr>
              <w:t>.提供完成布线的全部产品，包括光缆、配线架、熔纤盘，跳线等。</w:t>
            </w:r>
          </w:p>
          <w:p w14:paraId="037D89F6">
            <w:pPr>
              <w:rPr>
                <w:rFonts w:ascii="宋体" w:hAnsi="宋体" w:cs="宋体"/>
                <w:color w:val="000000"/>
                <w:szCs w:val="24"/>
              </w:rPr>
            </w:pPr>
            <w:r>
              <w:rPr>
                <w:rFonts w:ascii="宋体" w:hAnsi="宋体" w:cs="宋体"/>
                <w:color w:val="000000"/>
                <w:szCs w:val="24"/>
              </w:rPr>
              <w:t>11</w:t>
            </w:r>
            <w:r>
              <w:rPr>
                <w:rFonts w:hint="eastAsia" w:ascii="宋体" w:hAnsi="宋体" w:cs="宋体"/>
                <w:color w:val="000000"/>
                <w:szCs w:val="24"/>
              </w:rPr>
              <w:t>.按照医院要求完成线缆、跳线、配线架等标签标识工作， 要求机打标签，不易脱落。</w:t>
            </w:r>
          </w:p>
          <w:p w14:paraId="4544188C">
            <w:pPr>
              <w:rPr>
                <w:rFonts w:ascii="宋体" w:hAnsi="宋体" w:cs="宋体"/>
                <w:color w:val="000000"/>
                <w:szCs w:val="24"/>
              </w:rPr>
            </w:pPr>
            <w:r>
              <w:rPr>
                <w:rFonts w:ascii="宋体" w:hAnsi="宋体" w:cs="宋体"/>
                <w:color w:val="000000"/>
                <w:szCs w:val="24"/>
              </w:rPr>
              <w:t>12</w:t>
            </w:r>
            <w:r>
              <w:rPr>
                <w:rFonts w:hint="eastAsia" w:ascii="宋体" w:hAnsi="宋体" w:cs="宋体"/>
                <w:color w:val="000000"/>
                <w:szCs w:val="24"/>
              </w:rPr>
              <w:t>.光缆布设完成后医院对布线质量进行检测，出现故障需要及时更换。</w:t>
            </w:r>
          </w:p>
          <w:p w14:paraId="47350E6F">
            <w:pPr>
              <w:rPr>
                <w:rFonts w:ascii="宋体" w:hAnsi="宋体" w:cs="宋体"/>
                <w:color w:val="000000"/>
                <w:szCs w:val="24"/>
              </w:rPr>
            </w:pPr>
            <w:r>
              <w:rPr>
                <w:rFonts w:hint="eastAsia" w:ascii="宋体" w:hAnsi="宋体" w:cs="宋体"/>
                <w:color w:val="000000"/>
                <w:szCs w:val="24"/>
              </w:rPr>
              <w:t>1</w:t>
            </w:r>
            <w:r>
              <w:rPr>
                <w:rFonts w:ascii="宋体" w:hAnsi="宋体" w:cs="宋体"/>
                <w:color w:val="000000"/>
                <w:szCs w:val="24"/>
              </w:rPr>
              <w:t>3</w:t>
            </w:r>
            <w:r>
              <w:rPr>
                <w:rFonts w:hint="eastAsia" w:ascii="宋体" w:hAnsi="宋体" w:cs="宋体"/>
                <w:color w:val="000000"/>
                <w:szCs w:val="24"/>
              </w:rPr>
              <w:t>.新增线缆和原有线缆要统一捆扎，避免新增线缆和和原有线缆混乱。</w:t>
            </w:r>
          </w:p>
          <w:p w14:paraId="454F4F28">
            <w:pPr>
              <w:rPr>
                <w:rFonts w:ascii="宋体" w:hAnsi="宋体" w:cs="宋体"/>
                <w:color w:val="000000"/>
                <w:szCs w:val="24"/>
              </w:rPr>
            </w:pPr>
            <w:r>
              <w:rPr>
                <w:rFonts w:hint="eastAsia" w:ascii="宋体" w:hAnsi="宋体" w:cs="宋体"/>
                <w:color w:val="000000"/>
                <w:szCs w:val="24"/>
              </w:rPr>
              <w:t>1</w:t>
            </w:r>
            <w:r>
              <w:rPr>
                <w:rFonts w:ascii="宋体" w:hAnsi="宋体" w:cs="宋体"/>
                <w:color w:val="000000"/>
                <w:szCs w:val="24"/>
              </w:rPr>
              <w:t>4</w:t>
            </w:r>
            <w:r>
              <w:rPr>
                <w:rFonts w:hint="eastAsia" w:ascii="宋体" w:hAnsi="宋体" w:cs="宋体"/>
                <w:color w:val="000000"/>
                <w:szCs w:val="24"/>
              </w:rPr>
              <w:t>.按照医院时间要求完成布线现场勘查，实施和检测工作。</w:t>
            </w:r>
          </w:p>
          <w:p w14:paraId="2157122D">
            <w:pPr>
              <w:rPr>
                <w:rFonts w:ascii="宋体" w:hAnsi="宋体" w:cs="宋体"/>
                <w:color w:val="000000"/>
                <w:szCs w:val="24"/>
              </w:rPr>
            </w:pPr>
            <w:r>
              <w:rPr>
                <w:rFonts w:hint="eastAsia" w:ascii="宋体" w:hAnsi="宋体" w:cs="宋体"/>
                <w:color w:val="000000"/>
                <w:szCs w:val="24"/>
              </w:rPr>
              <w:t>1</w:t>
            </w:r>
            <w:r>
              <w:rPr>
                <w:rFonts w:ascii="宋体" w:hAnsi="宋体" w:cs="宋体"/>
                <w:color w:val="000000"/>
                <w:szCs w:val="24"/>
              </w:rPr>
              <w:t>5.</w:t>
            </w:r>
            <w:r>
              <w:rPr>
                <w:rFonts w:hint="eastAsia" w:ascii="宋体" w:hAnsi="宋体" w:cs="宋体"/>
                <w:color w:val="000000"/>
                <w:szCs w:val="24"/>
              </w:rPr>
              <w:t xml:space="preserve"> 提供与熔接数量一致的接口匹配的光纤跳线。</w:t>
            </w:r>
          </w:p>
          <w:p w14:paraId="12195113">
            <w:pPr>
              <w:rPr>
                <w:rFonts w:ascii="宋体" w:hAnsi="宋体" w:cs="宋体"/>
                <w:color w:val="000000"/>
                <w:szCs w:val="24"/>
              </w:rPr>
            </w:pPr>
            <w:r>
              <w:rPr>
                <w:rFonts w:ascii="宋体" w:hAnsi="宋体" w:cs="宋体"/>
                <w:color w:val="000000"/>
                <w:szCs w:val="24"/>
              </w:rPr>
              <w:t>16.</w:t>
            </w:r>
            <w:r>
              <w:rPr>
                <w:rFonts w:hint="eastAsia" w:ascii="宋体" w:hAnsi="宋体" w:cs="宋体"/>
                <w:color w:val="000000"/>
                <w:szCs w:val="24"/>
              </w:rPr>
              <w:t>医院将不定期进行服务质量抽查工作， 投标人需在接到整改通知后，一周内完成整改，特殊情况与医院商量后决定。</w:t>
            </w:r>
          </w:p>
          <w:p w14:paraId="569A80CF">
            <w:pPr>
              <w:rPr>
                <w:rFonts w:ascii="宋体" w:hAnsi="宋体" w:cs="宋体"/>
                <w:color w:val="000000"/>
                <w:szCs w:val="24"/>
              </w:rPr>
            </w:pPr>
            <w:r>
              <w:rPr>
                <w:rFonts w:hint="eastAsia" w:ascii="宋体" w:hAnsi="宋体" w:cs="宋体"/>
                <w:color w:val="000000"/>
                <w:szCs w:val="24"/>
              </w:rPr>
              <w:t>1</w:t>
            </w:r>
            <w:r>
              <w:rPr>
                <w:rFonts w:ascii="宋体" w:hAnsi="宋体" w:cs="宋体"/>
                <w:color w:val="000000"/>
                <w:szCs w:val="24"/>
              </w:rPr>
              <w:t>7.</w:t>
            </w:r>
            <w:r>
              <w:rPr>
                <w:rFonts w:hint="eastAsia" w:ascii="宋体" w:hAnsi="宋体" w:cs="宋体"/>
                <w:color w:val="000000"/>
                <w:szCs w:val="24"/>
              </w:rPr>
              <w:t xml:space="preserve"> 服务要求包含不限于如下情况：</w:t>
            </w:r>
            <w:r>
              <w:rPr>
                <w:rFonts w:hint="eastAsia" w:ascii="宋体" w:hAnsi="宋体" w:cs="宋体"/>
                <w:color w:val="000000"/>
                <w:szCs w:val="24"/>
              </w:rPr>
              <w:sym w:font="Wingdings" w:char="F081"/>
            </w:r>
            <w:r>
              <w:rPr>
                <w:rFonts w:hint="eastAsia" w:ascii="宋体" w:hAnsi="宋体" w:cs="宋体"/>
                <w:color w:val="000000"/>
                <w:szCs w:val="24"/>
              </w:rPr>
              <w:t>当医院进行地下管廊、楼宇建设等改造时，需要在开挖前敷设临时光缆，将所有业务线路“绕行”，确保施工期间网络不中断。</w:t>
            </w:r>
            <w:r>
              <w:rPr>
                <w:rFonts w:hint="eastAsia" w:ascii="宋体" w:hAnsi="宋体" w:cs="宋体"/>
                <w:color w:val="000000"/>
                <w:szCs w:val="24"/>
              </w:rPr>
              <w:sym w:font="Wingdings" w:char="F082"/>
            </w:r>
            <w:r>
              <w:rPr>
                <w:rFonts w:hint="eastAsia" w:ascii="宋体" w:hAnsi="宋体" w:cs="宋体"/>
                <w:color w:val="000000"/>
                <w:szCs w:val="24"/>
              </w:rPr>
              <w:t>在改造机房或整栋楼宇时，也需要搭建临时光纤链路，来承载原有业务。</w:t>
            </w:r>
            <w:r>
              <w:rPr>
                <w:rFonts w:hint="eastAsia" w:ascii="宋体" w:hAnsi="宋体" w:cs="宋体"/>
                <w:color w:val="000000"/>
                <w:szCs w:val="24"/>
              </w:rPr>
              <w:sym w:font="Wingdings" w:char="F083"/>
            </w:r>
            <w:r>
              <w:rPr>
                <w:rFonts w:hint="eastAsia" w:ascii="宋体" w:hAnsi="宋体" w:cs="宋体"/>
                <w:color w:val="000000"/>
                <w:szCs w:val="24"/>
              </w:rPr>
              <w:t>外部施工挖断光缆是导致医院网络中断。</w:t>
            </w:r>
            <w:r>
              <w:rPr>
                <w:rFonts w:hint="eastAsia" w:ascii="宋体" w:hAnsi="宋体" w:cs="宋体"/>
                <w:color w:val="000000"/>
                <w:szCs w:val="24"/>
              </w:rPr>
              <w:sym w:font="Wingdings" w:char="F084"/>
            </w:r>
            <w:r>
              <w:rPr>
                <w:rFonts w:hint="eastAsia" w:ascii="宋体" w:hAnsi="宋体" w:cs="宋体"/>
                <w:color w:val="000000"/>
                <w:szCs w:val="24"/>
              </w:rPr>
              <w:t>现有信息点位维修。</w:t>
            </w:r>
            <w:r>
              <w:rPr>
                <w:rFonts w:hint="eastAsia" w:ascii="宋体" w:hAnsi="宋体" w:cs="宋体"/>
                <w:color w:val="000000"/>
                <w:szCs w:val="24"/>
              </w:rPr>
              <w:sym w:font="Wingdings" w:char="F085"/>
            </w:r>
            <w:r>
              <w:rPr>
                <w:rFonts w:hint="eastAsia" w:ascii="宋体" w:hAnsi="宋体" w:cs="宋体"/>
                <w:color w:val="000000"/>
                <w:szCs w:val="24"/>
              </w:rPr>
              <w:t xml:space="preserve">紧急情况下，为新建或改造的隔离病区、方舱医院快速建立网络覆盖，必须第一时间临时敷设光缆。 </w:t>
            </w:r>
            <w:r>
              <w:rPr>
                <w:rFonts w:hint="eastAsia" w:ascii="宋体" w:hAnsi="宋体" w:cs="宋体"/>
                <w:color w:val="000000"/>
                <w:szCs w:val="24"/>
              </w:rPr>
              <w:sym w:font="Wingdings" w:char="F086"/>
            </w:r>
            <w:r>
              <w:rPr>
                <w:rFonts w:hint="eastAsia" w:ascii="宋体" w:hAnsi="宋体" w:cs="宋体"/>
                <w:color w:val="000000"/>
                <w:szCs w:val="24"/>
              </w:rPr>
              <w:t xml:space="preserve">当医院既有线路因老化、损坏等原因发生故障，光纤熔接也可能失败，导致业务中断。  </w:t>
            </w:r>
            <w:r>
              <w:rPr>
                <w:rFonts w:hint="eastAsia" w:ascii="宋体" w:hAnsi="宋体" w:cs="宋体"/>
                <w:color w:val="000000"/>
                <w:szCs w:val="24"/>
              </w:rPr>
              <w:sym w:font="Wingdings" w:char="F087"/>
            </w:r>
            <w:r>
              <w:rPr>
                <w:rFonts w:hint="eastAsia" w:ascii="宋体" w:hAnsi="宋体" w:cs="宋体"/>
                <w:color w:val="000000"/>
                <w:szCs w:val="24"/>
              </w:rPr>
              <w:t>在举办大型学术会议、突发公共卫生事件等网络需求激增时，医院需要临时增加带宽或信息点位，临时光缆是实现快速扩容的最佳选择。</w:t>
            </w:r>
            <w:r>
              <w:rPr>
                <w:rFonts w:hint="eastAsia" w:ascii="宋体" w:hAnsi="宋体" w:cs="宋体"/>
                <w:color w:val="000000"/>
                <w:szCs w:val="24"/>
              </w:rPr>
              <w:sym w:font="Wingdings" w:char="F088"/>
            </w:r>
            <w:r>
              <w:rPr>
                <w:rFonts w:hint="eastAsia" w:ascii="宋体" w:hAnsi="宋体" w:cs="宋体"/>
                <w:color w:val="000000"/>
                <w:szCs w:val="24"/>
              </w:rPr>
              <w:t>当某个科室因装修等原因临时搬迁到其他楼栋，为保证其信息系统能快速、无缝地接入医院主干网络，通常会选择敷设临时光缆。</w:t>
            </w:r>
          </w:p>
          <w:p w14:paraId="77EE4F42">
            <w:pPr>
              <w:rPr>
                <w:rFonts w:ascii="宋体" w:hAnsi="宋体" w:cs="宋体"/>
                <w:color w:val="000000"/>
                <w:szCs w:val="24"/>
              </w:rPr>
            </w:pPr>
            <w:r>
              <w:rPr>
                <w:rFonts w:ascii="宋体" w:hAnsi="宋体" w:cs="宋体"/>
                <w:color w:val="000000"/>
                <w:szCs w:val="24"/>
              </w:rPr>
              <w:t>18</w:t>
            </w:r>
            <w:r>
              <w:rPr>
                <w:rFonts w:hint="eastAsia" w:ascii="宋体" w:hAnsi="宋体" w:cs="宋体"/>
                <w:color w:val="000000"/>
                <w:szCs w:val="24"/>
              </w:rPr>
              <w:t>、严格执行《通信线路工程设计规范》《通信线路工程施工及验收技术规范》等国家及行业现行标准；</w:t>
            </w:r>
          </w:p>
          <w:p w14:paraId="47DA8E7A">
            <w:pPr>
              <w:rPr>
                <w:rFonts w:ascii="宋体" w:hAnsi="宋体" w:cs="宋体"/>
                <w:color w:val="000000"/>
                <w:szCs w:val="24"/>
              </w:rPr>
            </w:pPr>
            <w:r>
              <w:rPr>
                <w:rFonts w:ascii="宋体" w:hAnsi="宋体" w:cs="宋体"/>
                <w:color w:val="000000"/>
                <w:szCs w:val="24"/>
              </w:rPr>
              <w:t>19</w:t>
            </w:r>
            <w:r>
              <w:rPr>
                <w:rFonts w:hint="eastAsia" w:ascii="宋体" w:hAnsi="宋体" w:cs="宋体"/>
                <w:color w:val="000000"/>
                <w:szCs w:val="24"/>
              </w:rPr>
              <w:t>、光缆铺设路由合理、弯曲半径符合规范，不得出现硬折、挤压、拉伸受损等情况；</w:t>
            </w:r>
          </w:p>
          <w:p w14:paraId="7B9C791B">
            <w:pPr>
              <w:rPr>
                <w:rFonts w:ascii="宋体" w:hAnsi="宋体" w:cs="宋体"/>
                <w:color w:val="000000"/>
                <w:szCs w:val="24"/>
              </w:rPr>
            </w:pPr>
            <w:r>
              <w:rPr>
                <w:rFonts w:ascii="宋体" w:hAnsi="宋体" w:cs="宋体"/>
                <w:color w:val="000000"/>
                <w:szCs w:val="24"/>
              </w:rPr>
              <w:t>20</w:t>
            </w:r>
            <w:r>
              <w:rPr>
                <w:rFonts w:hint="eastAsia" w:ascii="宋体" w:hAnsi="宋体" w:cs="宋体"/>
                <w:color w:val="000000"/>
                <w:szCs w:val="24"/>
              </w:rPr>
              <w:t>、熔接工艺满足光纤传输要求，单芯熔接损耗≤0.03dB，整体链路衰耗符合设备开通标准。</w:t>
            </w:r>
          </w:p>
          <w:p w14:paraId="3F94A7BA">
            <w:pPr>
              <w:rPr>
                <w:rFonts w:ascii="宋体" w:hAnsi="宋体" w:cs="宋体"/>
                <w:color w:val="000000"/>
                <w:szCs w:val="24"/>
              </w:rPr>
            </w:pPr>
            <w:r>
              <w:rPr>
                <w:rFonts w:ascii="宋体" w:hAnsi="宋体" w:cs="宋体"/>
                <w:color w:val="000000"/>
                <w:szCs w:val="24"/>
              </w:rPr>
              <w:t>21</w:t>
            </w:r>
            <w:r>
              <w:rPr>
                <w:rFonts w:hint="eastAsia" w:ascii="宋体" w:hAnsi="宋体" w:cs="宋体"/>
                <w:color w:val="000000"/>
                <w:szCs w:val="24"/>
              </w:rPr>
              <w:t>、</w:t>
            </w:r>
            <w:r>
              <w:rPr>
                <w:rFonts w:ascii="宋体" w:hAnsi="宋体" w:cs="宋体"/>
                <w:color w:val="000000"/>
                <w:szCs w:val="24"/>
              </w:rPr>
              <w:t>必须使用全自动光纤熔接机、光功率计、OTDR（光时域反射仪）等专业仪器设备；</w:t>
            </w:r>
          </w:p>
          <w:p w14:paraId="467531F1">
            <w:pPr>
              <w:tabs>
                <w:tab w:val="left" w:pos="720"/>
              </w:tabs>
              <w:rPr>
                <w:rFonts w:ascii="宋体" w:hAnsi="宋体" w:cs="宋体"/>
                <w:color w:val="000000"/>
                <w:szCs w:val="24"/>
              </w:rPr>
            </w:pPr>
            <w:r>
              <w:rPr>
                <w:rFonts w:ascii="宋体" w:hAnsi="宋体" w:cs="宋体"/>
                <w:color w:val="000000"/>
                <w:szCs w:val="24"/>
              </w:rPr>
              <w:t>22、施工仪器定期校验合格，具备有效检定 / 校准证明，确保测试数据准确可靠；</w:t>
            </w:r>
          </w:p>
          <w:p w14:paraId="5A8AB41A">
            <w:pPr>
              <w:tabs>
                <w:tab w:val="left" w:pos="720"/>
              </w:tabs>
              <w:rPr>
                <w:rFonts w:ascii="宋体" w:hAnsi="宋体" w:cs="宋体"/>
                <w:color w:val="000000"/>
                <w:szCs w:val="24"/>
              </w:rPr>
            </w:pPr>
            <w:r>
              <w:rPr>
                <w:rFonts w:ascii="宋体" w:hAnsi="宋体" w:cs="宋体"/>
                <w:color w:val="000000"/>
                <w:szCs w:val="24"/>
              </w:rPr>
              <w:t>23、配备管道穿线器、高空作业工具、安全防护设备、应急抢修装备。</w:t>
            </w:r>
          </w:p>
          <w:p w14:paraId="1580152F">
            <w:pPr>
              <w:tabs>
                <w:tab w:val="left" w:pos="720"/>
              </w:tabs>
              <w:rPr>
                <w:rFonts w:ascii="宋体" w:hAnsi="宋体" w:cs="宋体"/>
                <w:color w:val="000000"/>
                <w:szCs w:val="24"/>
              </w:rPr>
            </w:pPr>
            <w:r>
              <w:rPr>
                <w:rFonts w:ascii="宋体" w:hAnsi="宋体" w:cs="宋体"/>
                <w:color w:val="000000"/>
                <w:szCs w:val="24"/>
              </w:rPr>
              <w:t>24</w:t>
            </w:r>
            <w:r>
              <w:rPr>
                <w:rFonts w:hint="eastAsia" w:ascii="宋体" w:hAnsi="宋体" w:cs="宋体"/>
                <w:color w:val="000000"/>
                <w:szCs w:val="24"/>
              </w:rPr>
              <w:t>、辅材（波纹管、扎带、挂钩、固定件、标识牌等）须采用阻燃、环保、耐用型合格产品；</w:t>
            </w:r>
          </w:p>
          <w:p w14:paraId="3B296608">
            <w:pPr>
              <w:tabs>
                <w:tab w:val="left" w:pos="720"/>
              </w:tabs>
              <w:rPr>
                <w:rFonts w:ascii="宋体" w:hAnsi="宋体" w:cs="宋体"/>
                <w:color w:val="000000"/>
                <w:szCs w:val="24"/>
              </w:rPr>
            </w:pPr>
            <w:r>
              <w:rPr>
                <w:rFonts w:ascii="宋体" w:hAnsi="宋体" w:cs="宋体"/>
                <w:color w:val="000000"/>
                <w:szCs w:val="24"/>
              </w:rPr>
              <w:t>25</w:t>
            </w:r>
            <w:r>
              <w:rPr>
                <w:rFonts w:hint="eastAsia" w:ascii="宋体" w:hAnsi="宋体" w:cs="宋体"/>
                <w:color w:val="000000"/>
                <w:szCs w:val="24"/>
              </w:rPr>
              <w:t>、铺设、熔接、成端、标识统一规范，做到 “横平竖直、绑扎牢固、走向清晰、标签准确”。</w:t>
            </w:r>
          </w:p>
          <w:p w14:paraId="76029C25">
            <w:pPr>
              <w:tabs>
                <w:tab w:val="left" w:pos="720"/>
              </w:tabs>
              <w:rPr>
                <w:rFonts w:ascii="宋体" w:hAnsi="宋体" w:cs="宋体"/>
                <w:color w:val="000000"/>
                <w:szCs w:val="24"/>
              </w:rPr>
            </w:pPr>
            <w:r>
              <w:rPr>
                <w:rFonts w:ascii="宋体" w:hAnsi="宋体" w:cs="宋体"/>
                <w:color w:val="000000"/>
                <w:szCs w:val="24"/>
              </w:rPr>
              <w:t>26</w:t>
            </w:r>
            <w:r>
              <w:rPr>
                <w:rFonts w:hint="eastAsia" w:ascii="宋体" w:hAnsi="宋体" w:cs="宋体"/>
                <w:color w:val="000000"/>
                <w:szCs w:val="24"/>
              </w:rPr>
              <w:t>、施工前对现有线路、设备、端口进行核查确认，不得擅自中断、错接、误操作在用业务；</w:t>
            </w:r>
          </w:p>
          <w:p w14:paraId="5E269F90">
            <w:pPr>
              <w:tabs>
                <w:tab w:val="left" w:pos="720"/>
              </w:tabs>
              <w:rPr>
                <w:rFonts w:ascii="宋体" w:hAnsi="宋体" w:cs="宋体"/>
                <w:color w:val="000000"/>
                <w:szCs w:val="24"/>
              </w:rPr>
            </w:pPr>
            <w:r>
              <w:rPr>
                <w:rFonts w:ascii="宋体" w:hAnsi="宋体" w:cs="宋体"/>
                <w:color w:val="000000"/>
                <w:szCs w:val="24"/>
              </w:rPr>
              <w:t>27、</w:t>
            </w:r>
            <w:r>
              <w:rPr>
                <w:rFonts w:hint="eastAsia" w:ascii="宋体" w:hAnsi="宋体" w:cs="宋体"/>
                <w:color w:val="000000"/>
                <w:szCs w:val="24"/>
              </w:rPr>
              <w:t>严格遵守网络安全、数据安全、机房安全管理规定，施工不影响在用系统稳定运行；</w:t>
            </w:r>
          </w:p>
          <w:p w14:paraId="2C1A2AC9">
            <w:pPr>
              <w:tabs>
                <w:tab w:val="left" w:pos="720"/>
              </w:tabs>
              <w:rPr>
                <w:rFonts w:ascii="宋体" w:hAnsi="宋体" w:cs="宋体"/>
                <w:color w:val="000000"/>
                <w:szCs w:val="24"/>
              </w:rPr>
            </w:pPr>
            <w:r>
              <w:rPr>
                <w:rFonts w:ascii="宋体" w:hAnsi="宋体" w:cs="宋体"/>
                <w:color w:val="000000"/>
                <w:szCs w:val="24"/>
              </w:rPr>
              <w:t>28、</w:t>
            </w:r>
            <w:r>
              <w:rPr>
                <w:rFonts w:hint="eastAsia" w:ascii="宋体" w:hAnsi="宋体" w:cs="宋体"/>
                <w:color w:val="000000"/>
                <w:szCs w:val="24"/>
              </w:rPr>
              <w:t>抢修作业须具备快速定位、断点处理、恢复开通的技术能力。</w:t>
            </w:r>
          </w:p>
          <w:p w14:paraId="6D5201E8">
            <w:pPr>
              <w:tabs>
                <w:tab w:val="left" w:pos="720"/>
              </w:tabs>
              <w:rPr>
                <w:rFonts w:ascii="宋体" w:hAnsi="宋体" w:cs="宋体"/>
                <w:color w:val="000000"/>
                <w:szCs w:val="24"/>
              </w:rPr>
            </w:pPr>
            <w:r>
              <w:rPr>
                <w:rFonts w:ascii="宋体" w:hAnsi="宋体" w:cs="宋体"/>
                <w:color w:val="000000"/>
                <w:szCs w:val="24"/>
              </w:rPr>
              <w:t>29、</w:t>
            </w:r>
            <w:r>
              <w:rPr>
                <w:rFonts w:hint="eastAsia" w:ascii="宋体" w:hAnsi="宋体" w:cs="宋体"/>
                <w:color w:val="000000"/>
                <w:szCs w:val="24"/>
              </w:rPr>
              <w:t>施工完成后提供准确的链路图、点位表、测试数据、熔接记录表；</w:t>
            </w:r>
          </w:p>
          <w:p w14:paraId="1DCBEB8F">
            <w:pPr>
              <w:tabs>
                <w:tab w:val="left" w:pos="720"/>
              </w:tabs>
              <w:rPr>
                <w:rFonts w:ascii="宋体" w:hAnsi="宋体" w:cs="宋体"/>
                <w:color w:val="000000"/>
                <w:szCs w:val="24"/>
              </w:rPr>
            </w:pPr>
            <w:r>
              <w:rPr>
                <w:rFonts w:ascii="宋体" w:hAnsi="宋体" w:cs="宋体"/>
                <w:color w:val="000000"/>
                <w:szCs w:val="24"/>
              </w:rPr>
              <w:t>30、</w:t>
            </w:r>
            <w:r>
              <w:rPr>
                <w:rFonts w:hint="eastAsia" w:ascii="宋体" w:hAnsi="宋体" w:cs="宋体"/>
                <w:color w:val="000000"/>
                <w:szCs w:val="24"/>
              </w:rPr>
              <w:t>资料格式规范、数据真实可追溯，满足采购人信息化台账及审计要求。</w:t>
            </w:r>
          </w:p>
          <w:p w14:paraId="03CEE5B7">
            <w:pPr>
              <w:tabs>
                <w:tab w:val="left" w:pos="720"/>
              </w:tabs>
              <w:rPr>
                <w:rFonts w:ascii="宋体" w:hAnsi="宋体" w:cs="宋体"/>
                <w:color w:val="000000"/>
                <w:szCs w:val="24"/>
              </w:rPr>
            </w:pPr>
            <w:r>
              <w:rPr>
                <w:rFonts w:ascii="宋体" w:hAnsi="宋体" w:cs="宋体"/>
                <w:color w:val="000000"/>
                <w:szCs w:val="24"/>
              </w:rPr>
              <w:t>31、</w:t>
            </w:r>
            <w:r>
              <w:rPr>
                <w:rFonts w:hint="eastAsia" w:ascii="宋体" w:hAnsi="宋体" w:cs="宋体"/>
                <w:color w:val="000000"/>
                <w:szCs w:val="24"/>
              </w:rPr>
              <w:t>一般零星工单：4 小时内响应，24 小时内到场完成；</w:t>
            </w:r>
          </w:p>
          <w:p w14:paraId="18D9FA9A">
            <w:pPr>
              <w:tabs>
                <w:tab w:val="left" w:pos="720"/>
              </w:tabs>
              <w:rPr>
                <w:rFonts w:ascii="宋体" w:hAnsi="宋体" w:cs="宋体"/>
                <w:color w:val="000000"/>
                <w:szCs w:val="24"/>
              </w:rPr>
            </w:pPr>
            <w:r>
              <w:rPr>
                <w:rFonts w:ascii="宋体" w:hAnsi="宋体" w:cs="宋体"/>
                <w:color w:val="000000"/>
                <w:szCs w:val="24"/>
              </w:rPr>
              <w:t>32、</w:t>
            </w:r>
            <w:r>
              <w:rPr>
                <w:rFonts w:hint="eastAsia" w:ascii="宋体" w:hAnsi="宋体" w:cs="宋体"/>
                <w:color w:val="000000"/>
                <w:szCs w:val="24"/>
              </w:rPr>
              <w:t>紧急故障 / 断网抢修：1 小时内响应，4 小时内到场处置。</w:t>
            </w:r>
          </w:p>
          <w:p w14:paraId="07969E83">
            <w:pPr>
              <w:tabs>
                <w:tab w:val="left" w:pos="720"/>
              </w:tabs>
              <w:rPr>
                <w:rFonts w:ascii="宋体" w:hAnsi="宋体" w:cs="宋体"/>
                <w:color w:val="000000"/>
                <w:szCs w:val="24"/>
              </w:rPr>
            </w:pPr>
            <w:r>
              <w:rPr>
                <w:rFonts w:ascii="宋体" w:hAnsi="宋体" w:cs="宋体"/>
                <w:color w:val="000000"/>
                <w:szCs w:val="24"/>
              </w:rPr>
              <w:t>33、</w:t>
            </w:r>
            <w:r>
              <w:rPr>
                <w:rFonts w:hint="eastAsia" w:ascii="宋体" w:hAnsi="宋体" w:cs="宋体"/>
                <w:color w:val="000000"/>
                <w:szCs w:val="24"/>
              </w:rPr>
              <w:t>符合国家通信线路施工标准，强弱电分离、布线整齐、防护到位、不破坏现有设施；</w:t>
            </w:r>
          </w:p>
          <w:p w14:paraId="3E8F0205">
            <w:pPr>
              <w:tabs>
                <w:tab w:val="left" w:pos="720"/>
              </w:tabs>
              <w:rPr>
                <w:rFonts w:ascii="宋体" w:hAnsi="宋体" w:cs="宋体"/>
                <w:color w:val="000000"/>
                <w:szCs w:val="24"/>
              </w:rPr>
            </w:pPr>
            <w:r>
              <w:rPr>
                <w:rFonts w:ascii="宋体" w:hAnsi="宋体" w:cs="宋体"/>
                <w:color w:val="000000"/>
                <w:szCs w:val="24"/>
              </w:rPr>
              <w:t>34、</w:t>
            </w:r>
            <w:r>
              <w:rPr>
                <w:rFonts w:hint="eastAsia" w:ascii="宋体" w:hAnsi="宋体" w:cs="宋体"/>
                <w:color w:val="000000"/>
                <w:szCs w:val="24"/>
              </w:rPr>
              <w:t>熔接损耗达标、链路通畅，标识清晰可追溯。</w:t>
            </w:r>
          </w:p>
          <w:p w14:paraId="56C716B0">
            <w:pPr>
              <w:tabs>
                <w:tab w:val="left" w:pos="720"/>
              </w:tabs>
              <w:rPr>
                <w:rFonts w:ascii="宋体" w:hAnsi="宋体" w:cs="宋体"/>
                <w:color w:val="000000"/>
                <w:szCs w:val="24"/>
              </w:rPr>
            </w:pPr>
            <w:r>
              <w:rPr>
                <w:rFonts w:ascii="宋体" w:hAnsi="宋体" w:cs="宋体"/>
                <w:color w:val="000000"/>
                <w:szCs w:val="24"/>
              </w:rPr>
              <w:t>35、因施工质量问题导致返工，供应商无偿整改并承担全部费用。</w:t>
            </w:r>
          </w:p>
          <w:p w14:paraId="10ABE6C3">
            <w:pPr>
              <w:tabs>
                <w:tab w:val="left" w:pos="720"/>
              </w:tabs>
              <w:rPr>
                <w:rFonts w:hint="eastAsia" w:ascii="宋体" w:hAnsi="宋体" w:cs="宋体"/>
                <w:color w:val="000000"/>
                <w:szCs w:val="24"/>
              </w:rPr>
            </w:pPr>
            <w:r>
              <w:rPr>
                <w:rFonts w:ascii="宋体" w:hAnsi="宋体" w:cs="宋体"/>
                <w:color w:val="000000"/>
                <w:szCs w:val="24"/>
              </w:rPr>
              <w:t>36、严格遵守采购人现场安全管理规定，做好高空、用电、动火等安全防护；</w:t>
            </w:r>
          </w:p>
        </w:tc>
      </w:tr>
      <w:tr w14:paraId="7BC1E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46" w:type="pct"/>
            <w:shd w:val="clear" w:color="auto" w:fill="auto"/>
            <w:vAlign w:val="center"/>
          </w:tcPr>
          <w:p w14:paraId="742C0899">
            <w:pPr>
              <w:widowControl/>
              <w:ind w:left="425" w:hanging="425"/>
              <w:jc w:val="left"/>
              <w:rPr>
                <w:rFonts w:cs="宋体" w:asciiTheme="minorEastAsia" w:hAnsiTheme="minorEastAsia" w:eastAsiaTheme="minorEastAsia"/>
                <w:color w:val="000000" w:themeColor="text1"/>
                <w:kern w:val="0"/>
                <w:szCs w:val="24"/>
                <w14:textFill>
                  <w14:solidFill>
                    <w14:schemeClr w14:val="tx1"/>
                  </w14:solidFill>
                </w14:textFill>
              </w:rPr>
            </w:pPr>
            <w:r>
              <w:rPr>
                <w:rFonts w:cs="宋体" w:asciiTheme="minorEastAsia" w:hAnsiTheme="minorEastAsia" w:eastAsiaTheme="minorEastAsia"/>
                <w:color w:val="000000" w:themeColor="text1"/>
                <w:kern w:val="0"/>
                <w:szCs w:val="24"/>
                <w14:textFill>
                  <w14:solidFill>
                    <w14:schemeClr w14:val="tx1"/>
                  </w14:solidFill>
                </w14:textFill>
              </w:rPr>
              <w:t>2</w:t>
            </w:r>
            <w:r>
              <w:rPr>
                <w:rFonts w:hint="eastAsia" w:cs="宋体" w:asciiTheme="minorEastAsia" w:hAnsiTheme="minorEastAsia" w:eastAsiaTheme="minorEastAsia"/>
                <w:color w:val="000000" w:themeColor="text1"/>
                <w:kern w:val="0"/>
                <w:szCs w:val="24"/>
                <w14:textFill>
                  <w14:solidFill>
                    <w14:schemeClr w14:val="tx1"/>
                  </w14:solidFill>
                </w14:textFill>
              </w:rPr>
              <w:t>.</w:t>
            </w:r>
          </w:p>
        </w:tc>
        <w:tc>
          <w:tcPr>
            <w:tcW w:w="673" w:type="pct"/>
            <w:shd w:val="clear" w:color="auto" w:fill="auto"/>
            <w:vAlign w:val="center"/>
          </w:tcPr>
          <w:p w14:paraId="18D506AE">
            <w:pPr>
              <w:widowControl/>
              <w:jc w:val="left"/>
              <w:rPr>
                <w:rFonts w:cs="宋体" w:asciiTheme="minorEastAsia" w:hAnsiTheme="minorEastAsia" w:eastAsiaTheme="minorEastAsia"/>
                <w:color w:val="000000" w:themeColor="text1"/>
                <w:kern w:val="0"/>
                <w:szCs w:val="24"/>
                <w14:textFill>
                  <w14:solidFill>
                    <w14:schemeClr w14:val="tx1"/>
                  </w14:solidFill>
                </w14:textFill>
              </w:rPr>
            </w:pPr>
            <w:r>
              <w:rPr>
                <w:rFonts w:hint="eastAsia" w:cs="宋体" w:asciiTheme="minorEastAsia" w:hAnsiTheme="minorEastAsia" w:eastAsiaTheme="minorEastAsia"/>
                <w:color w:val="000000" w:themeColor="text1"/>
                <w:kern w:val="0"/>
                <w:szCs w:val="24"/>
                <w14:textFill>
                  <w14:solidFill>
                    <w14:schemeClr w14:val="tx1"/>
                  </w14:solidFill>
                </w14:textFill>
              </w:rPr>
              <w:t>应急处理要求</w:t>
            </w:r>
          </w:p>
        </w:tc>
        <w:tc>
          <w:tcPr>
            <w:tcW w:w="3881" w:type="pct"/>
            <w:shd w:val="clear" w:color="auto" w:fill="auto"/>
            <w:vAlign w:val="center"/>
          </w:tcPr>
          <w:p w14:paraId="68A53565">
            <w:pPr>
              <w:rPr>
                <w:rFonts w:cs="宋体" w:asciiTheme="minorEastAsia" w:hAnsiTheme="minorEastAsia" w:eastAsiaTheme="minorEastAsia"/>
                <w:color w:val="000000" w:themeColor="text1"/>
                <w:szCs w:val="24"/>
                <w14:textFill>
                  <w14:solidFill>
                    <w14:schemeClr w14:val="tx1"/>
                  </w14:solidFill>
                </w14:textFill>
              </w:rPr>
            </w:pPr>
            <w:r>
              <w:rPr>
                <w:rFonts w:hint="eastAsia" w:cs="宋体" w:asciiTheme="minorEastAsia" w:hAnsiTheme="minorEastAsia" w:eastAsiaTheme="minorEastAsia"/>
                <w:color w:val="000000" w:themeColor="text1"/>
                <w:szCs w:val="24"/>
                <w14:textFill>
                  <w14:solidFill>
                    <w14:schemeClr w14:val="tx1"/>
                  </w14:solidFill>
                </w14:textFill>
              </w:rPr>
              <w:t>乙方需要根据运维内容制定应急处置计划，如应急服务流程、服务机制、应急预案等。若光缆临时被破坏导致通讯故障，需立即启动应急机制，服务台需协调资源并升级至部门经理，调配公司全部材料和人力资源，及时恢复光缆通讯。</w:t>
            </w:r>
          </w:p>
        </w:tc>
      </w:tr>
    </w:tbl>
    <w:p w14:paraId="15E3C9FC">
      <w:pPr>
        <w:keepNext/>
        <w:keepLines/>
        <w:numPr>
          <w:ilvl w:val="1"/>
          <w:numId w:val="1"/>
        </w:numPr>
        <w:outlineLvl w:val="1"/>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光缆布线服务交付物要求</w:t>
      </w:r>
    </w:p>
    <w:p w14:paraId="507FD380">
      <w:pPr>
        <w:pStyle w:val="39"/>
        <w:ind w:firstLine="0"/>
      </w:pPr>
      <w:r>
        <w:rPr>
          <w:rFonts w:hint="eastAsia"/>
        </w:rPr>
        <w:t>1、每次施工完成后提交《服务工单回执》（采购人签字确认）；</w:t>
      </w:r>
    </w:p>
    <w:p w14:paraId="62CC9C92">
      <w:pPr>
        <w:pStyle w:val="39"/>
        <w:ind w:firstLine="0"/>
      </w:pPr>
      <w:r>
        <w:rPr>
          <w:rFonts w:hint="eastAsia"/>
        </w:rPr>
        <w:t>2、提交光缆测试记录、熔接记录、现场照片、点位简图；</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ejaVu Sans">
    <w:altName w:val="Segoe Print"/>
    <w:panose1 w:val="00000000000000000000"/>
    <w:charset w:val="00"/>
    <w:family w:val="roman"/>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 w:name="方正黑体_GBK">
    <w:panose1 w:val="0201060001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4D6D31"/>
    <w:multiLevelType w:val="multilevel"/>
    <w:tmpl w:val="414D6D3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F29FB43"/>
    <w:multiLevelType w:val="multilevel"/>
    <w:tmpl w:val="5F29FB43"/>
    <w:lvl w:ilvl="0" w:tentative="0">
      <w:start w:val="1"/>
      <w:numFmt w:val="chineseCountingThousand"/>
      <w:pStyle w:val="2"/>
      <w:lvlText w:val="%1、"/>
      <w:lvlJc w:val="left"/>
      <w:pPr>
        <w:ind w:left="432" w:hanging="432"/>
      </w:pPr>
      <w:rPr>
        <w:rFonts w:hint="default"/>
      </w:rPr>
    </w:lvl>
    <w:lvl w:ilvl="1" w:tentative="0">
      <w:start w:val="1"/>
      <w:numFmt w:val="chineseCountingThousand"/>
      <w:pStyle w:val="3"/>
      <w:lvlText w:val="(%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6E230785"/>
    <w:multiLevelType w:val="multilevel"/>
    <w:tmpl w:val="6E230785"/>
    <w:lvl w:ilvl="0" w:tentative="0">
      <w:start w:val="1"/>
      <w:numFmt w:val="bullet"/>
      <w:pStyle w:val="30"/>
      <w:lvlText w:val=""/>
      <w:lvlJc w:val="left"/>
      <w:pPr>
        <w:tabs>
          <w:tab w:val="left" w:pos="284"/>
        </w:tabs>
        <w:ind w:left="284" w:hanging="284"/>
      </w:pPr>
      <w:rPr>
        <w:rFonts w:hint="default" w:ascii="Wingdings" w:hAnsi="Wingdings" w:eastAsia="宋体"/>
        <w:b w:val="0"/>
        <w:i w:val="0"/>
        <w:color w:val="auto"/>
        <w:position w:val="3"/>
        <w:sz w:val="13"/>
        <w:szCs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4YmFmMGQ1MDIyOTQ3MTc0MWYzYzY5YmFhYTFiMTQifQ=="/>
  </w:docVars>
  <w:rsids>
    <w:rsidRoot w:val="00215EB1"/>
    <w:rsid w:val="00005ECF"/>
    <w:rsid w:val="00012023"/>
    <w:rsid w:val="000405AC"/>
    <w:rsid w:val="00044763"/>
    <w:rsid w:val="00047B21"/>
    <w:rsid w:val="000560E9"/>
    <w:rsid w:val="00057392"/>
    <w:rsid w:val="00077951"/>
    <w:rsid w:val="00082CE8"/>
    <w:rsid w:val="000A3087"/>
    <w:rsid w:val="000B4464"/>
    <w:rsid w:val="000C2E82"/>
    <w:rsid w:val="000D01DC"/>
    <w:rsid w:val="000D1384"/>
    <w:rsid w:val="000D3158"/>
    <w:rsid w:val="000D3EBB"/>
    <w:rsid w:val="000E6C73"/>
    <w:rsid w:val="000F486D"/>
    <w:rsid w:val="00100D30"/>
    <w:rsid w:val="00105CA5"/>
    <w:rsid w:val="00124E57"/>
    <w:rsid w:val="00125423"/>
    <w:rsid w:val="0012714D"/>
    <w:rsid w:val="00141A47"/>
    <w:rsid w:val="00163E41"/>
    <w:rsid w:val="00172FA7"/>
    <w:rsid w:val="00182483"/>
    <w:rsid w:val="00192276"/>
    <w:rsid w:val="00195AEE"/>
    <w:rsid w:val="001A7C1F"/>
    <w:rsid w:val="001B1E5A"/>
    <w:rsid w:val="001B2166"/>
    <w:rsid w:val="001C56CA"/>
    <w:rsid w:val="001C6C64"/>
    <w:rsid w:val="001D2021"/>
    <w:rsid w:val="001D22E3"/>
    <w:rsid w:val="001D30C8"/>
    <w:rsid w:val="001D4125"/>
    <w:rsid w:val="00211F50"/>
    <w:rsid w:val="00214640"/>
    <w:rsid w:val="00215EB1"/>
    <w:rsid w:val="00226165"/>
    <w:rsid w:val="00241E44"/>
    <w:rsid w:val="00245460"/>
    <w:rsid w:val="0025327C"/>
    <w:rsid w:val="00257ECA"/>
    <w:rsid w:val="00262076"/>
    <w:rsid w:val="00262E91"/>
    <w:rsid w:val="00265555"/>
    <w:rsid w:val="00276FFB"/>
    <w:rsid w:val="0029220D"/>
    <w:rsid w:val="002A028F"/>
    <w:rsid w:val="002A2F22"/>
    <w:rsid w:val="002A485B"/>
    <w:rsid w:val="002B3724"/>
    <w:rsid w:val="002B4D94"/>
    <w:rsid w:val="002C174D"/>
    <w:rsid w:val="002C347D"/>
    <w:rsid w:val="002C47E0"/>
    <w:rsid w:val="002D0897"/>
    <w:rsid w:val="002E2553"/>
    <w:rsid w:val="002F7772"/>
    <w:rsid w:val="0030283E"/>
    <w:rsid w:val="00305790"/>
    <w:rsid w:val="003064FF"/>
    <w:rsid w:val="00316E7F"/>
    <w:rsid w:val="00321A2A"/>
    <w:rsid w:val="00323B0A"/>
    <w:rsid w:val="003340C1"/>
    <w:rsid w:val="00342205"/>
    <w:rsid w:val="00343C00"/>
    <w:rsid w:val="00343F0A"/>
    <w:rsid w:val="003475F0"/>
    <w:rsid w:val="00351C6E"/>
    <w:rsid w:val="003563CB"/>
    <w:rsid w:val="00386D7B"/>
    <w:rsid w:val="00391C08"/>
    <w:rsid w:val="003A0284"/>
    <w:rsid w:val="003A25FD"/>
    <w:rsid w:val="003A42B1"/>
    <w:rsid w:val="003A6F1C"/>
    <w:rsid w:val="003A738A"/>
    <w:rsid w:val="003B5E0C"/>
    <w:rsid w:val="003C7FD9"/>
    <w:rsid w:val="003D6B02"/>
    <w:rsid w:val="003E1C96"/>
    <w:rsid w:val="003E2417"/>
    <w:rsid w:val="0040427B"/>
    <w:rsid w:val="00407060"/>
    <w:rsid w:val="00411CDE"/>
    <w:rsid w:val="00411DBF"/>
    <w:rsid w:val="00412AF3"/>
    <w:rsid w:val="00430AAF"/>
    <w:rsid w:val="00443828"/>
    <w:rsid w:val="004452B1"/>
    <w:rsid w:val="00457032"/>
    <w:rsid w:val="004722E1"/>
    <w:rsid w:val="004A1EC6"/>
    <w:rsid w:val="004B371A"/>
    <w:rsid w:val="004B5E13"/>
    <w:rsid w:val="004C1E2A"/>
    <w:rsid w:val="004C4504"/>
    <w:rsid w:val="004E1F92"/>
    <w:rsid w:val="004E7141"/>
    <w:rsid w:val="004E774B"/>
    <w:rsid w:val="004F6B50"/>
    <w:rsid w:val="00513638"/>
    <w:rsid w:val="00524C60"/>
    <w:rsid w:val="00536D75"/>
    <w:rsid w:val="00542A3A"/>
    <w:rsid w:val="00554C6F"/>
    <w:rsid w:val="00564A81"/>
    <w:rsid w:val="00571796"/>
    <w:rsid w:val="00592BE3"/>
    <w:rsid w:val="00594E00"/>
    <w:rsid w:val="005B112D"/>
    <w:rsid w:val="005B6DE5"/>
    <w:rsid w:val="005C4C5D"/>
    <w:rsid w:val="005D481B"/>
    <w:rsid w:val="005F473D"/>
    <w:rsid w:val="006078F4"/>
    <w:rsid w:val="00610FA9"/>
    <w:rsid w:val="00612A35"/>
    <w:rsid w:val="00615BFB"/>
    <w:rsid w:val="00626866"/>
    <w:rsid w:val="0063080F"/>
    <w:rsid w:val="00633F83"/>
    <w:rsid w:val="00637912"/>
    <w:rsid w:val="0064055B"/>
    <w:rsid w:val="00642113"/>
    <w:rsid w:val="00644EE3"/>
    <w:rsid w:val="00647AF9"/>
    <w:rsid w:val="00652BCA"/>
    <w:rsid w:val="00653EBB"/>
    <w:rsid w:val="00662545"/>
    <w:rsid w:val="00674A1B"/>
    <w:rsid w:val="00684A3B"/>
    <w:rsid w:val="006A0D9F"/>
    <w:rsid w:val="006A108B"/>
    <w:rsid w:val="006A175F"/>
    <w:rsid w:val="006A762C"/>
    <w:rsid w:val="006B0152"/>
    <w:rsid w:val="006C3C59"/>
    <w:rsid w:val="006D2FB2"/>
    <w:rsid w:val="006D7C85"/>
    <w:rsid w:val="006E0B3D"/>
    <w:rsid w:val="006E1182"/>
    <w:rsid w:val="006F6070"/>
    <w:rsid w:val="006F7F06"/>
    <w:rsid w:val="007043BB"/>
    <w:rsid w:val="00706699"/>
    <w:rsid w:val="00712304"/>
    <w:rsid w:val="00747E91"/>
    <w:rsid w:val="0075144C"/>
    <w:rsid w:val="00760B73"/>
    <w:rsid w:val="00762A2C"/>
    <w:rsid w:val="00764EA2"/>
    <w:rsid w:val="00766E86"/>
    <w:rsid w:val="00790F6B"/>
    <w:rsid w:val="00794EF8"/>
    <w:rsid w:val="007972B1"/>
    <w:rsid w:val="007A16F8"/>
    <w:rsid w:val="007A3D59"/>
    <w:rsid w:val="007B366A"/>
    <w:rsid w:val="007D5AC9"/>
    <w:rsid w:val="007F6765"/>
    <w:rsid w:val="0082363D"/>
    <w:rsid w:val="00837182"/>
    <w:rsid w:val="0085096F"/>
    <w:rsid w:val="008622ED"/>
    <w:rsid w:val="00864E41"/>
    <w:rsid w:val="00873B6D"/>
    <w:rsid w:val="008A59EC"/>
    <w:rsid w:val="008B312C"/>
    <w:rsid w:val="008B7D7A"/>
    <w:rsid w:val="008B7FAD"/>
    <w:rsid w:val="008C0B4D"/>
    <w:rsid w:val="008E26F2"/>
    <w:rsid w:val="008F67AE"/>
    <w:rsid w:val="009113A1"/>
    <w:rsid w:val="00922C11"/>
    <w:rsid w:val="00932639"/>
    <w:rsid w:val="00954D61"/>
    <w:rsid w:val="009616E0"/>
    <w:rsid w:val="00965264"/>
    <w:rsid w:val="00965C71"/>
    <w:rsid w:val="00982F2C"/>
    <w:rsid w:val="009867FF"/>
    <w:rsid w:val="009A03B2"/>
    <w:rsid w:val="009A194B"/>
    <w:rsid w:val="009B0BF6"/>
    <w:rsid w:val="009B5FAA"/>
    <w:rsid w:val="009B71A6"/>
    <w:rsid w:val="009C2E32"/>
    <w:rsid w:val="009C7372"/>
    <w:rsid w:val="009D2939"/>
    <w:rsid w:val="009D454C"/>
    <w:rsid w:val="00A03F0B"/>
    <w:rsid w:val="00A17B48"/>
    <w:rsid w:val="00A20F42"/>
    <w:rsid w:val="00A23D56"/>
    <w:rsid w:val="00A319AB"/>
    <w:rsid w:val="00A53733"/>
    <w:rsid w:val="00A721FF"/>
    <w:rsid w:val="00A72D69"/>
    <w:rsid w:val="00A73BA4"/>
    <w:rsid w:val="00A74E85"/>
    <w:rsid w:val="00A839DD"/>
    <w:rsid w:val="00A84E01"/>
    <w:rsid w:val="00A91B1E"/>
    <w:rsid w:val="00A94355"/>
    <w:rsid w:val="00A97CDC"/>
    <w:rsid w:val="00AC57D6"/>
    <w:rsid w:val="00AD2110"/>
    <w:rsid w:val="00AF3858"/>
    <w:rsid w:val="00B02D5C"/>
    <w:rsid w:val="00B17948"/>
    <w:rsid w:val="00B17D99"/>
    <w:rsid w:val="00B22808"/>
    <w:rsid w:val="00B41C49"/>
    <w:rsid w:val="00B43E34"/>
    <w:rsid w:val="00B54AB6"/>
    <w:rsid w:val="00B71EA7"/>
    <w:rsid w:val="00B747FF"/>
    <w:rsid w:val="00B75DD4"/>
    <w:rsid w:val="00B82C44"/>
    <w:rsid w:val="00B82E83"/>
    <w:rsid w:val="00B85800"/>
    <w:rsid w:val="00B966D3"/>
    <w:rsid w:val="00BA1057"/>
    <w:rsid w:val="00BB1D30"/>
    <w:rsid w:val="00BB5130"/>
    <w:rsid w:val="00BC7884"/>
    <w:rsid w:val="00BD3CD9"/>
    <w:rsid w:val="00BD44D5"/>
    <w:rsid w:val="00BF545F"/>
    <w:rsid w:val="00C00B58"/>
    <w:rsid w:val="00C1048F"/>
    <w:rsid w:val="00C25179"/>
    <w:rsid w:val="00C25A7D"/>
    <w:rsid w:val="00C30F50"/>
    <w:rsid w:val="00C426DF"/>
    <w:rsid w:val="00C4520C"/>
    <w:rsid w:val="00C5483C"/>
    <w:rsid w:val="00C554D4"/>
    <w:rsid w:val="00C66EFF"/>
    <w:rsid w:val="00C723AF"/>
    <w:rsid w:val="00C74C03"/>
    <w:rsid w:val="00C9041B"/>
    <w:rsid w:val="00CA4265"/>
    <w:rsid w:val="00CB12FB"/>
    <w:rsid w:val="00CD4E4C"/>
    <w:rsid w:val="00CD5843"/>
    <w:rsid w:val="00CF0CBC"/>
    <w:rsid w:val="00CF0D4F"/>
    <w:rsid w:val="00CF2A83"/>
    <w:rsid w:val="00D162A8"/>
    <w:rsid w:val="00D25316"/>
    <w:rsid w:val="00D36178"/>
    <w:rsid w:val="00D528E0"/>
    <w:rsid w:val="00D562C9"/>
    <w:rsid w:val="00D644F0"/>
    <w:rsid w:val="00D648EA"/>
    <w:rsid w:val="00D656DE"/>
    <w:rsid w:val="00D67A74"/>
    <w:rsid w:val="00D75382"/>
    <w:rsid w:val="00D810CD"/>
    <w:rsid w:val="00D854C7"/>
    <w:rsid w:val="00D90846"/>
    <w:rsid w:val="00D93BEA"/>
    <w:rsid w:val="00D96433"/>
    <w:rsid w:val="00DA76E4"/>
    <w:rsid w:val="00DC400A"/>
    <w:rsid w:val="00DD0F10"/>
    <w:rsid w:val="00DD320C"/>
    <w:rsid w:val="00DD6B8B"/>
    <w:rsid w:val="00DD6BF8"/>
    <w:rsid w:val="00DF6AC5"/>
    <w:rsid w:val="00DF70C6"/>
    <w:rsid w:val="00E00233"/>
    <w:rsid w:val="00E25557"/>
    <w:rsid w:val="00E33D05"/>
    <w:rsid w:val="00E416B0"/>
    <w:rsid w:val="00E521D5"/>
    <w:rsid w:val="00E61421"/>
    <w:rsid w:val="00E65584"/>
    <w:rsid w:val="00E838D0"/>
    <w:rsid w:val="00E86B9D"/>
    <w:rsid w:val="00EA449E"/>
    <w:rsid w:val="00EB0AFB"/>
    <w:rsid w:val="00EE076E"/>
    <w:rsid w:val="00EE7CDD"/>
    <w:rsid w:val="00EF1BF0"/>
    <w:rsid w:val="00F102B1"/>
    <w:rsid w:val="00F11DAD"/>
    <w:rsid w:val="00F12E26"/>
    <w:rsid w:val="00F30343"/>
    <w:rsid w:val="00F445ED"/>
    <w:rsid w:val="00F44C00"/>
    <w:rsid w:val="00F44C96"/>
    <w:rsid w:val="00F45168"/>
    <w:rsid w:val="00F4721F"/>
    <w:rsid w:val="00F50023"/>
    <w:rsid w:val="00F73A79"/>
    <w:rsid w:val="00F73CE7"/>
    <w:rsid w:val="00F76BDF"/>
    <w:rsid w:val="00F96E84"/>
    <w:rsid w:val="00FA32A0"/>
    <w:rsid w:val="00FB0AAA"/>
    <w:rsid w:val="00FC04E9"/>
    <w:rsid w:val="00FC0BA6"/>
    <w:rsid w:val="00FC461D"/>
    <w:rsid w:val="00FD3D79"/>
    <w:rsid w:val="03981F66"/>
    <w:rsid w:val="1E3FAB06"/>
    <w:rsid w:val="1FCD916F"/>
    <w:rsid w:val="20A98C55"/>
    <w:rsid w:val="2EFBBB10"/>
    <w:rsid w:val="2FFB32A5"/>
    <w:rsid w:val="32AB2000"/>
    <w:rsid w:val="35794DFD"/>
    <w:rsid w:val="36DF7071"/>
    <w:rsid w:val="381271F1"/>
    <w:rsid w:val="3CEB1687"/>
    <w:rsid w:val="3D4C4C6B"/>
    <w:rsid w:val="3DDC366C"/>
    <w:rsid w:val="3F6F4C0C"/>
    <w:rsid w:val="3FB7F19C"/>
    <w:rsid w:val="3FE7A282"/>
    <w:rsid w:val="46084375"/>
    <w:rsid w:val="48F44F38"/>
    <w:rsid w:val="4DFFEF47"/>
    <w:rsid w:val="4F7955FF"/>
    <w:rsid w:val="4FFF20A1"/>
    <w:rsid w:val="50D621CC"/>
    <w:rsid w:val="52D715F8"/>
    <w:rsid w:val="57ABF3B2"/>
    <w:rsid w:val="57D3B04C"/>
    <w:rsid w:val="590F0F7A"/>
    <w:rsid w:val="5ABA703E"/>
    <w:rsid w:val="5C9DA247"/>
    <w:rsid w:val="5EEAE5A7"/>
    <w:rsid w:val="5F38AF6C"/>
    <w:rsid w:val="5FDFB220"/>
    <w:rsid w:val="6FBB4D79"/>
    <w:rsid w:val="6FDF6B40"/>
    <w:rsid w:val="6FDFC24B"/>
    <w:rsid w:val="707E9BEF"/>
    <w:rsid w:val="727F5F01"/>
    <w:rsid w:val="75FC9208"/>
    <w:rsid w:val="76FF9861"/>
    <w:rsid w:val="7811385C"/>
    <w:rsid w:val="78EBDB5B"/>
    <w:rsid w:val="78F27F15"/>
    <w:rsid w:val="7A3E0A1B"/>
    <w:rsid w:val="7BB40B99"/>
    <w:rsid w:val="7BFF5F2F"/>
    <w:rsid w:val="7C424C0A"/>
    <w:rsid w:val="7C973260"/>
    <w:rsid w:val="7D1E01D1"/>
    <w:rsid w:val="7DEDDE6D"/>
    <w:rsid w:val="7DFAADEA"/>
    <w:rsid w:val="7EA68184"/>
    <w:rsid w:val="7EBF2638"/>
    <w:rsid w:val="7EEF79B1"/>
    <w:rsid w:val="7EF70124"/>
    <w:rsid w:val="7F445300"/>
    <w:rsid w:val="7F590D68"/>
    <w:rsid w:val="7F7FEF4F"/>
    <w:rsid w:val="7F8ACDFF"/>
    <w:rsid w:val="7FDD24CA"/>
    <w:rsid w:val="7FF60A3A"/>
    <w:rsid w:val="7FF7D7AB"/>
    <w:rsid w:val="7FFD9792"/>
    <w:rsid w:val="7FFE9A25"/>
    <w:rsid w:val="8BF3306E"/>
    <w:rsid w:val="8BFF51DD"/>
    <w:rsid w:val="8DE5CF4C"/>
    <w:rsid w:val="9BBF07A0"/>
    <w:rsid w:val="9F5728B1"/>
    <w:rsid w:val="9FF7B3C6"/>
    <w:rsid w:val="A5F20654"/>
    <w:rsid w:val="AFFFA92C"/>
    <w:rsid w:val="AFFFDDB9"/>
    <w:rsid w:val="B83FBCF2"/>
    <w:rsid w:val="BB1FA24E"/>
    <w:rsid w:val="BDDEEFEC"/>
    <w:rsid w:val="BF767945"/>
    <w:rsid w:val="C5F87A08"/>
    <w:rsid w:val="D3570563"/>
    <w:rsid w:val="D6BD510F"/>
    <w:rsid w:val="DDA44999"/>
    <w:rsid w:val="DFBB913F"/>
    <w:rsid w:val="DFFDEB62"/>
    <w:rsid w:val="E5CF482E"/>
    <w:rsid w:val="E5CF88B4"/>
    <w:rsid w:val="E7FC34FF"/>
    <w:rsid w:val="EBFE70E5"/>
    <w:rsid w:val="EF7D2639"/>
    <w:rsid w:val="EFF98F31"/>
    <w:rsid w:val="EFFCAD88"/>
    <w:rsid w:val="EFFEBDC4"/>
    <w:rsid w:val="F3D2B255"/>
    <w:rsid w:val="F3DF4845"/>
    <w:rsid w:val="F77DFF62"/>
    <w:rsid w:val="F7B7FF21"/>
    <w:rsid w:val="F7CF2583"/>
    <w:rsid w:val="F7EA981E"/>
    <w:rsid w:val="FBBF38E7"/>
    <w:rsid w:val="FBF51D5C"/>
    <w:rsid w:val="FCFF1A69"/>
    <w:rsid w:val="FDFEC407"/>
    <w:rsid w:val="FEE24CBC"/>
    <w:rsid w:val="FFB39AD0"/>
    <w:rsid w:val="FFBDA828"/>
    <w:rsid w:val="FFBFB4F6"/>
    <w:rsid w:val="FFDF70BA"/>
    <w:rsid w:val="FFFBE68C"/>
    <w:rsid w:val="FFFF2D4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2"/>
      <w:lang w:val="en-US" w:eastAsia="zh-CN" w:bidi="ar-SA"/>
    </w:rPr>
  </w:style>
  <w:style w:type="paragraph" w:styleId="2">
    <w:name w:val="heading 1"/>
    <w:basedOn w:val="1"/>
    <w:next w:val="1"/>
    <w:qFormat/>
    <w:uiPriority w:val="9"/>
    <w:pPr>
      <w:keepNext/>
      <w:keepLines/>
      <w:numPr>
        <w:ilvl w:val="0"/>
        <w:numId w:val="1"/>
      </w:numPr>
      <w:outlineLvl w:val="0"/>
    </w:pPr>
    <w:rPr>
      <w:b/>
      <w:kern w:val="44"/>
      <w:sz w:val="28"/>
    </w:rPr>
  </w:style>
  <w:style w:type="paragraph" w:styleId="3">
    <w:name w:val="heading 2"/>
    <w:basedOn w:val="1"/>
    <w:next w:val="1"/>
    <w:unhideWhenUsed/>
    <w:qFormat/>
    <w:uiPriority w:val="9"/>
    <w:pPr>
      <w:keepNext/>
      <w:keepLines/>
      <w:numPr>
        <w:ilvl w:val="1"/>
        <w:numId w:val="1"/>
      </w:numPr>
      <w:outlineLvl w:val="1"/>
    </w:pPr>
    <w:rPr>
      <w:rFonts w:ascii="DejaVu Sans" w:hAnsi="DejaVu Sans" w:eastAsia="方正黑体_GBK"/>
      <w:b/>
    </w:rPr>
  </w:style>
  <w:style w:type="paragraph" w:styleId="4">
    <w:name w:val="heading 3"/>
    <w:basedOn w:val="1"/>
    <w:next w:val="1"/>
    <w:unhideWhenUsed/>
    <w:qFormat/>
    <w:uiPriority w:val="9"/>
    <w:pPr>
      <w:keepNext/>
      <w:keepLines/>
      <w:numPr>
        <w:ilvl w:val="2"/>
        <w:numId w:val="1"/>
      </w:numPr>
      <w:spacing w:before="260" w:after="260" w:line="413" w:lineRule="auto"/>
      <w:outlineLvl w:val="2"/>
    </w:pPr>
    <w:rPr>
      <w:b/>
    </w:rPr>
  </w:style>
  <w:style w:type="paragraph" w:styleId="5">
    <w:name w:val="heading 4"/>
    <w:basedOn w:val="1"/>
    <w:next w:val="1"/>
    <w:unhideWhenUsed/>
    <w:qFormat/>
    <w:uiPriority w:val="9"/>
    <w:pPr>
      <w:keepNext/>
      <w:keepLines/>
      <w:numPr>
        <w:ilvl w:val="3"/>
        <w:numId w:val="1"/>
      </w:numPr>
      <w:spacing w:before="280" w:after="290" w:line="372" w:lineRule="auto"/>
      <w:outlineLvl w:val="3"/>
    </w:pPr>
    <w:rPr>
      <w:rFonts w:ascii="DejaVu Sans" w:hAnsi="DejaVu Sans" w:eastAsia="方正黑体_GBK"/>
      <w:b/>
      <w:sz w:val="28"/>
    </w:rPr>
  </w:style>
  <w:style w:type="paragraph" w:styleId="6">
    <w:name w:val="heading 5"/>
    <w:basedOn w:val="1"/>
    <w:next w:val="1"/>
    <w:unhideWhenUsed/>
    <w:qFormat/>
    <w:uiPriority w:val="9"/>
    <w:pPr>
      <w:keepNext/>
      <w:keepLines/>
      <w:numPr>
        <w:ilvl w:val="4"/>
        <w:numId w:val="1"/>
      </w:numPr>
      <w:spacing w:before="280" w:after="290" w:line="372" w:lineRule="auto"/>
      <w:outlineLvl w:val="4"/>
    </w:pPr>
    <w:rPr>
      <w:b/>
      <w:sz w:val="28"/>
    </w:rPr>
  </w:style>
  <w:style w:type="paragraph" w:styleId="7">
    <w:name w:val="heading 6"/>
    <w:basedOn w:val="1"/>
    <w:next w:val="1"/>
    <w:unhideWhenUsed/>
    <w:qFormat/>
    <w:uiPriority w:val="9"/>
    <w:pPr>
      <w:keepNext/>
      <w:keepLines/>
      <w:numPr>
        <w:ilvl w:val="5"/>
        <w:numId w:val="1"/>
      </w:numPr>
      <w:spacing w:before="240" w:after="64" w:line="317" w:lineRule="auto"/>
      <w:outlineLvl w:val="5"/>
    </w:pPr>
    <w:rPr>
      <w:rFonts w:ascii="DejaVu Sans" w:hAnsi="DejaVu Sans" w:eastAsia="方正黑体_GBK"/>
      <w:b/>
    </w:rPr>
  </w:style>
  <w:style w:type="paragraph" w:styleId="8">
    <w:name w:val="heading 7"/>
    <w:basedOn w:val="1"/>
    <w:next w:val="1"/>
    <w:unhideWhenUsed/>
    <w:qFormat/>
    <w:uiPriority w:val="9"/>
    <w:pPr>
      <w:keepNext/>
      <w:keepLines/>
      <w:numPr>
        <w:ilvl w:val="6"/>
        <w:numId w:val="1"/>
      </w:numPr>
      <w:spacing w:before="240" w:after="64" w:line="317" w:lineRule="auto"/>
      <w:outlineLvl w:val="6"/>
    </w:pPr>
    <w:rPr>
      <w:b/>
    </w:rPr>
  </w:style>
  <w:style w:type="paragraph" w:styleId="9">
    <w:name w:val="heading 8"/>
    <w:basedOn w:val="1"/>
    <w:next w:val="1"/>
    <w:unhideWhenUsed/>
    <w:qFormat/>
    <w:uiPriority w:val="9"/>
    <w:pPr>
      <w:keepNext/>
      <w:keepLines/>
      <w:numPr>
        <w:ilvl w:val="7"/>
        <w:numId w:val="1"/>
      </w:numPr>
      <w:spacing w:before="240" w:after="64" w:line="317" w:lineRule="auto"/>
      <w:outlineLvl w:val="7"/>
    </w:pPr>
    <w:rPr>
      <w:rFonts w:ascii="DejaVu Sans" w:hAnsi="DejaVu Sans" w:eastAsia="方正黑体_GBK"/>
    </w:rPr>
  </w:style>
  <w:style w:type="paragraph" w:styleId="10">
    <w:name w:val="heading 9"/>
    <w:basedOn w:val="1"/>
    <w:next w:val="1"/>
    <w:unhideWhenUsed/>
    <w:qFormat/>
    <w:uiPriority w:val="9"/>
    <w:pPr>
      <w:keepNext/>
      <w:keepLines/>
      <w:numPr>
        <w:ilvl w:val="8"/>
        <w:numId w:val="1"/>
      </w:numPr>
      <w:spacing w:before="240" w:after="64" w:line="317" w:lineRule="auto"/>
      <w:outlineLvl w:val="8"/>
    </w:pPr>
    <w:rPr>
      <w:rFonts w:ascii="DejaVu Sans" w:hAnsi="DejaVu Sans" w:eastAsia="方正黑体_GBK"/>
    </w:rPr>
  </w:style>
  <w:style w:type="character" w:default="1" w:styleId="22">
    <w:name w:val="Default Paragraph Font"/>
    <w:semiHidden/>
    <w:unhideWhenUsed/>
    <w:qFormat/>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11">
    <w:name w:val="annotation text"/>
    <w:basedOn w:val="1"/>
    <w:unhideWhenUsed/>
    <w:qFormat/>
    <w:uiPriority w:val="99"/>
    <w:pPr>
      <w:jc w:val="left"/>
    </w:pPr>
  </w:style>
  <w:style w:type="paragraph" w:styleId="12">
    <w:name w:val="Body Text"/>
    <w:basedOn w:val="1"/>
    <w:next w:val="1"/>
    <w:unhideWhenUsed/>
    <w:qFormat/>
    <w:uiPriority w:val="99"/>
    <w:pPr>
      <w:spacing w:after="120"/>
    </w:pPr>
  </w:style>
  <w:style w:type="paragraph" w:styleId="13">
    <w:name w:val="Body Text Indent"/>
    <w:basedOn w:val="1"/>
    <w:next w:val="14"/>
    <w:unhideWhenUsed/>
    <w:qFormat/>
    <w:uiPriority w:val="99"/>
    <w:pPr>
      <w:spacing w:after="120"/>
      <w:ind w:left="420" w:leftChars="200"/>
    </w:pPr>
  </w:style>
  <w:style w:type="paragraph" w:styleId="14">
    <w:name w:val="Body Text First Indent 2"/>
    <w:basedOn w:val="13"/>
    <w:unhideWhenUsed/>
    <w:qFormat/>
    <w:uiPriority w:val="99"/>
    <w:pPr>
      <w:tabs>
        <w:tab w:val="left" w:pos="720"/>
      </w:tabs>
      <w:ind w:firstLine="420"/>
    </w:pPr>
  </w:style>
  <w:style w:type="paragraph" w:styleId="15">
    <w:name w:val="footer"/>
    <w:basedOn w:val="1"/>
    <w:link w:val="27"/>
    <w:unhideWhenUsed/>
    <w:qFormat/>
    <w:uiPriority w:val="99"/>
    <w:pPr>
      <w:tabs>
        <w:tab w:val="center" w:pos="4153"/>
        <w:tab w:val="right" w:pos="8306"/>
      </w:tabs>
      <w:snapToGrid w:val="0"/>
      <w:jc w:val="left"/>
    </w:pPr>
    <w:rPr>
      <w:sz w:val="18"/>
      <w:szCs w:val="18"/>
    </w:rPr>
  </w:style>
  <w:style w:type="paragraph" w:styleId="16">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Body Text 2"/>
    <w:basedOn w:val="1"/>
    <w:unhideWhenUsed/>
    <w:qFormat/>
    <w:uiPriority w:val="99"/>
    <w:pPr>
      <w:spacing w:line="480" w:lineRule="auto"/>
    </w:pPr>
    <w:rPr>
      <w:rFonts w:eastAsiaTheme="minorEastAsia"/>
    </w:rPr>
  </w:style>
  <w:style w:type="paragraph" w:styleId="18">
    <w:name w:val="Normal (Web)"/>
    <w:basedOn w:val="1"/>
    <w:unhideWhenUsed/>
    <w:qFormat/>
    <w:uiPriority w:val="99"/>
    <w:pPr>
      <w:spacing w:beforeAutospacing="1" w:afterAutospacing="1"/>
      <w:jc w:val="left"/>
    </w:pPr>
    <w:rPr>
      <w:rFonts w:cs="Times New Roman"/>
      <w:kern w:val="0"/>
    </w:rPr>
  </w:style>
  <w:style w:type="paragraph" w:styleId="19">
    <w:name w:val="Body Text First Indent"/>
    <w:basedOn w:val="12"/>
    <w:unhideWhenUsed/>
    <w:qFormat/>
    <w:uiPriority w:val="99"/>
    <w:pPr>
      <w:ind w:firstLine="420" w:firstLineChars="100"/>
    </w:pPr>
    <w:rPr>
      <w:rFonts w:ascii="Calibri" w:hAnsi="Calibri"/>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basedOn w:val="22"/>
    <w:semiHidden/>
    <w:unhideWhenUsed/>
    <w:qFormat/>
    <w:uiPriority w:val="99"/>
    <w:rPr>
      <w:color w:val="0000FF"/>
      <w:u w:val="single"/>
    </w:rPr>
  </w:style>
  <w:style w:type="character" w:styleId="24">
    <w:name w:val="annotation reference"/>
    <w:basedOn w:val="22"/>
    <w:unhideWhenUsed/>
    <w:qFormat/>
    <w:uiPriority w:val="99"/>
    <w:rPr>
      <w:sz w:val="21"/>
      <w:szCs w:val="21"/>
    </w:rPr>
  </w:style>
  <w:style w:type="paragraph" w:customStyle="1" w:styleId="25">
    <w:name w:val="列出段落1"/>
    <w:basedOn w:val="1"/>
    <w:qFormat/>
    <w:uiPriority w:val="34"/>
    <w:pPr>
      <w:ind w:firstLine="420" w:firstLineChars="200"/>
    </w:pPr>
  </w:style>
  <w:style w:type="character" w:customStyle="1" w:styleId="26">
    <w:name w:val="页眉 Char"/>
    <w:basedOn w:val="22"/>
    <w:link w:val="16"/>
    <w:qFormat/>
    <w:uiPriority w:val="99"/>
    <w:rPr>
      <w:sz w:val="18"/>
      <w:szCs w:val="18"/>
    </w:rPr>
  </w:style>
  <w:style w:type="character" w:customStyle="1" w:styleId="27">
    <w:name w:val="页脚 Char"/>
    <w:basedOn w:val="22"/>
    <w:link w:val="15"/>
    <w:qFormat/>
    <w:uiPriority w:val="99"/>
    <w:rPr>
      <w:sz w:val="18"/>
      <w:szCs w:val="18"/>
    </w:rPr>
  </w:style>
  <w:style w:type="paragraph" w:customStyle="1" w:styleId="28">
    <w:name w:val="Default"/>
    <w:qFormat/>
    <w:uiPriority w:val="0"/>
    <w:pPr>
      <w:widowControl w:val="0"/>
      <w:autoSpaceDE w:val="0"/>
      <w:autoSpaceDN w:val="0"/>
      <w:adjustRightInd w:val="0"/>
    </w:pPr>
    <w:rPr>
      <w:rFonts w:ascii="微软雅黑" w:eastAsia="微软雅黑" w:cs="微软雅黑" w:hAnsiTheme="minorHAnsi"/>
      <w:color w:val="000000"/>
      <w:sz w:val="24"/>
      <w:szCs w:val="24"/>
      <w:lang w:val="en-US" w:eastAsia="zh-CN" w:bidi="ar-SA"/>
    </w:rPr>
  </w:style>
  <w:style w:type="table" w:customStyle="1" w:styleId="29">
    <w:name w:val="Table Normal1"/>
    <w:qFormat/>
    <w:uiPriority w:val="0"/>
    <w:tblPr>
      <w:tblCellMar>
        <w:top w:w="0" w:type="dxa"/>
        <w:left w:w="0" w:type="dxa"/>
        <w:bottom w:w="0" w:type="dxa"/>
        <w:right w:w="0" w:type="dxa"/>
      </w:tblCellMar>
    </w:tblPr>
  </w:style>
  <w:style w:type="paragraph" w:customStyle="1" w:styleId="30">
    <w:name w:val="Item List in Table"/>
    <w:basedOn w:val="1"/>
    <w:qFormat/>
    <w:uiPriority w:val="0"/>
    <w:pPr>
      <w:widowControl/>
      <w:numPr>
        <w:ilvl w:val="0"/>
        <w:numId w:val="2"/>
      </w:numPr>
      <w:topLinePunct/>
      <w:adjustRightInd w:val="0"/>
      <w:snapToGrid w:val="0"/>
      <w:spacing w:before="80" w:after="80" w:line="240" w:lineRule="atLeast"/>
      <w:jc w:val="left"/>
    </w:pPr>
    <w:rPr>
      <w:rFonts w:hint="eastAsia" w:ascii="Times New Roman" w:hAnsi="Times New Roman" w:cs="Arial"/>
      <w:kern w:val="0"/>
      <w:szCs w:val="21"/>
    </w:rPr>
  </w:style>
  <w:style w:type="paragraph" w:customStyle="1" w:styleId="31">
    <w:name w:val="正文 首行缩进:  2 字符"/>
    <w:basedOn w:val="1"/>
    <w:qFormat/>
    <w:uiPriority w:val="0"/>
    <w:pPr>
      <w:ind w:firstLine="579" w:firstLineChars="200"/>
    </w:pPr>
    <w:rPr>
      <w:rFonts w:ascii="Calibri" w:hAnsi="Calibri"/>
      <w:szCs w:val="20"/>
    </w:rPr>
  </w:style>
  <w:style w:type="character" w:customStyle="1" w:styleId="32">
    <w:name w:val="font21"/>
    <w:basedOn w:val="22"/>
    <w:qFormat/>
    <w:uiPriority w:val="0"/>
    <w:rPr>
      <w:rFonts w:hint="eastAsia" w:ascii="宋体" w:hAnsi="宋体" w:eastAsia="宋体" w:cs="宋体"/>
      <w:color w:val="000000"/>
      <w:sz w:val="20"/>
      <w:szCs w:val="20"/>
      <w:u w:val="none"/>
    </w:rPr>
  </w:style>
  <w:style w:type="character" w:customStyle="1" w:styleId="33">
    <w:name w:val="font01"/>
    <w:basedOn w:val="22"/>
    <w:qFormat/>
    <w:uiPriority w:val="0"/>
    <w:rPr>
      <w:rFonts w:ascii="Calibri" w:hAnsi="Calibri" w:cs="Calibri"/>
      <w:color w:val="000000"/>
      <w:sz w:val="20"/>
      <w:szCs w:val="20"/>
      <w:u w:val="none"/>
    </w:rPr>
  </w:style>
  <w:style w:type="character" w:customStyle="1" w:styleId="34">
    <w:name w:val="font91"/>
    <w:basedOn w:val="22"/>
    <w:qFormat/>
    <w:uiPriority w:val="0"/>
    <w:rPr>
      <w:rFonts w:hint="eastAsia" w:ascii="宋体" w:hAnsi="宋体" w:eastAsia="宋体" w:cs="宋体"/>
      <w:b/>
      <w:color w:val="000000"/>
      <w:sz w:val="20"/>
      <w:szCs w:val="20"/>
      <w:u w:val="none"/>
    </w:rPr>
  </w:style>
  <w:style w:type="character" w:customStyle="1" w:styleId="35">
    <w:name w:val="font11"/>
    <w:basedOn w:val="22"/>
    <w:qFormat/>
    <w:uiPriority w:val="0"/>
    <w:rPr>
      <w:rFonts w:hint="eastAsia" w:ascii="宋体" w:hAnsi="宋体" w:eastAsia="宋体" w:cs="宋体"/>
      <w:color w:val="000000"/>
      <w:sz w:val="20"/>
      <w:szCs w:val="20"/>
      <w:u w:val="none"/>
    </w:rPr>
  </w:style>
  <w:style w:type="character" w:customStyle="1" w:styleId="36">
    <w:name w:val="font41"/>
    <w:basedOn w:val="22"/>
    <w:qFormat/>
    <w:uiPriority w:val="0"/>
    <w:rPr>
      <w:rFonts w:hint="eastAsia" w:ascii="宋体" w:hAnsi="宋体" w:eastAsia="宋体" w:cs="宋体"/>
      <w:color w:val="000000"/>
      <w:sz w:val="20"/>
      <w:szCs w:val="20"/>
      <w:u w:val="none"/>
    </w:rPr>
  </w:style>
  <w:style w:type="character" w:customStyle="1" w:styleId="37">
    <w:name w:val="font71"/>
    <w:basedOn w:val="22"/>
    <w:qFormat/>
    <w:uiPriority w:val="0"/>
    <w:rPr>
      <w:rFonts w:ascii="Calibri" w:hAnsi="Calibri" w:cs="Calibri"/>
      <w:color w:val="000000"/>
      <w:sz w:val="20"/>
      <w:szCs w:val="20"/>
      <w:u w:val="none"/>
    </w:rPr>
  </w:style>
  <w:style w:type="paragraph" w:customStyle="1" w:styleId="38">
    <w:name w:val="列表段落1"/>
    <w:basedOn w:val="1"/>
    <w:qFormat/>
    <w:uiPriority w:val="34"/>
    <w:pPr>
      <w:ind w:firstLine="420"/>
    </w:pPr>
  </w:style>
  <w:style w:type="paragraph" w:customStyle="1" w:styleId="39">
    <w:name w:val="*正文"/>
    <w:basedOn w:val="1"/>
    <w:qFormat/>
    <w:uiPriority w:val="0"/>
    <w:pPr>
      <w:widowControl/>
      <w:ind w:firstLine="560"/>
      <w:jc w:val="left"/>
    </w:pPr>
    <w:rPr>
      <w:rFonts w:ascii="仿宋_GB2312" w:hAnsi="宋体" w:cs="Times New Roman"/>
      <w:color w:val="000000"/>
      <w:kern w:val="0"/>
      <w:szCs w:val="28"/>
    </w:rPr>
  </w:style>
  <w:style w:type="character" w:customStyle="1" w:styleId="40">
    <w:name w:val="gs_tkn"/>
    <w:basedOn w:val="22"/>
    <w:uiPriority w:val="0"/>
  </w:style>
  <w:style w:type="paragraph" w:styleId="41">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Huawei Technologies Co.,Ltd.</Company>
  <Pages>4</Pages>
  <Words>2292</Words>
  <Characters>2401</Characters>
  <Lines>17</Lines>
  <Paragraphs>5</Paragraphs>
  <TotalTime>246</TotalTime>
  <ScaleCrop>false</ScaleCrop>
  <LinksUpToDate>false</LinksUpToDate>
  <CharactersWithSpaces>2429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2022-04-19T08:31:00Z</dcterms:created>
  <dc:creator>Windows 用户</dc:creator>
  <cp:lastModifiedBy>桂明</cp:lastModifiedBy>
  <dcterms:modified xsi:type="dcterms:W3CDTF">2026-06-11T07:22:11Z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2015_ms_pID_725343">
    <vt:lpwstr>(2)nHrLJmD9H0mjY+s9tFF4vVsE/djiNCw4cAuuGKwqHVVqxEl3zjDC24gq72MxK1i+JE5cc0WR
rSQNdsKLtgab/dtXkwYuxeAipxmdMrcHcJVmwfb5xQTNru5ES81Sb2GhXe1a4dQRHwDFMlCJ
7w4XWRxYmvYdYZGl5m/F1SNEO7GppjXCRFnDPNSm9Tuy5e0Exqn0Hr3cR0z20FGTFf0INYlY
fNbCm9ELjXHMspWT/4</vt:lpwstr>
  </property>
  <property fmtid="{D5CDD505-2E9C-101B-9397-08002B2CF9AE}" pid="4" name="_2015_ms_pID_7253431">
    <vt:lpwstr>Ma0UnQJ2x7YrDN2EHmhtDRlgTfCfBYzhvb81HkU2ZYAHB4LaYzj7/M
gLwGYTvZJPuMt5LdS8Y5zCcoSSh4XS4b/uPoh3jUBn1pt1/OvmALXfY9b9W8LkkBY9vG/aO9
5uiucvCbCtV7QexpbgyLYkeYgXPH0iT2YmX98byi+2HqekpITPpY29BIpPVUtmREeAaG7Ft8
wn+umQahp2WLt4Ru</vt:lpwstr>
  </property>
  <property fmtid="{D5CDD505-2E9C-101B-9397-08002B2CF9AE}" pid="5" name="ICV">
    <vt:lpwstr>C5005210092149289C2FE94DF0151419_13</vt:lpwstr>
  </property>
  <property fmtid="{D5CDD505-2E9C-101B-9397-08002B2CF9AE}" pid="6" name="KSOTemplateDocerSaveRecord">
    <vt:lpwstr>eyJoZGlkIjoiMzlmMDI2MjJkZTk1YTZmYWVmMjlmYzNmOTZhMmRlZjIiLCJ1c2VySWQiOiIxNjk2OTc0NjU2In0=</vt:lpwstr>
  </property>
</Properties>
</file>