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14B9C">
      <w:pPr>
        <w:spacing w:line="360" w:lineRule="auto"/>
        <w:ind w:left="105" w:firstLine="480" w:firstLineChars="200"/>
        <w:rPr>
          <w:rFonts w:hint="eastAsia" w:ascii="宋体" w:hAnsi="宋体"/>
          <w:sz w:val="24"/>
          <w:szCs w:val="24"/>
        </w:rPr>
      </w:pPr>
    </w:p>
    <w:p w14:paraId="1FCD6122">
      <w:pPr>
        <w:pStyle w:val="2"/>
        <w:spacing w:before="0" w:after="0" w:line="360" w:lineRule="auto"/>
        <w:rPr>
          <w:rFonts w:hint="eastAsia" w:ascii="宋体" w:hAnsi="宋体" w:eastAsia="宋体" w:cs="仿宋"/>
          <w:sz w:val="24"/>
          <w:szCs w:val="24"/>
        </w:rPr>
      </w:pPr>
      <w:r>
        <w:rPr>
          <w:rFonts w:hint="eastAsia" w:ascii="宋体" w:hAnsi="宋体" w:eastAsia="宋体" w:cs="仿宋"/>
          <w:sz w:val="24"/>
          <w:szCs w:val="24"/>
        </w:rPr>
        <w:t>一、项目简介</w:t>
      </w:r>
    </w:p>
    <w:p w14:paraId="2514065B">
      <w:pPr>
        <w:spacing w:line="360" w:lineRule="auto"/>
        <w:ind w:left="436" w:leftChars="200" w:hanging="16" w:hangingChars="7"/>
        <w:rPr>
          <w:rFonts w:hint="eastAsia" w:ascii="宋体" w:hAnsi="宋体" w:cs="仿宋"/>
          <w:sz w:val="24"/>
        </w:rPr>
      </w:pPr>
      <w:r>
        <w:rPr>
          <w:rFonts w:hint="eastAsia" w:ascii="宋体" w:hAnsi="宋体" w:cs="仿宋"/>
          <w:sz w:val="24"/>
          <w:szCs w:val="24"/>
        </w:rPr>
        <w:t>1.项目包名称：武汉市武昌医院202</w:t>
      </w:r>
      <w:r>
        <w:rPr>
          <w:rFonts w:hint="eastAsia" w:ascii="宋体" w:hAnsi="宋体" w:cs="仿宋"/>
          <w:sz w:val="24"/>
          <w:szCs w:val="24"/>
          <w:lang w:val="en-US" w:eastAsia="zh-CN"/>
        </w:rPr>
        <w:t>5</w:t>
      </w:r>
      <w:r>
        <w:rPr>
          <w:rFonts w:hint="eastAsia" w:ascii="宋体" w:hAnsi="宋体" w:cs="仿宋"/>
          <w:sz w:val="24"/>
          <w:szCs w:val="24"/>
        </w:rPr>
        <w:t>年安全设备原厂服务续保</w:t>
      </w:r>
    </w:p>
    <w:p w14:paraId="0C44A2F5">
      <w:pPr>
        <w:spacing w:line="360" w:lineRule="auto"/>
        <w:ind w:left="436" w:leftChars="200" w:hanging="16" w:hangingChars="7"/>
        <w:rPr>
          <w:rFonts w:hint="eastAsia" w:ascii="宋体" w:hAnsi="宋体" w:cs="仿宋"/>
          <w:sz w:val="24"/>
        </w:rPr>
      </w:pPr>
      <w:r>
        <w:rPr>
          <w:rFonts w:hint="eastAsia" w:ascii="宋体" w:hAnsi="宋体" w:cs="仿宋"/>
          <w:sz w:val="24"/>
          <w:szCs w:val="24"/>
        </w:rPr>
        <w:t>2.采购预算</w:t>
      </w:r>
      <w:r>
        <w:rPr>
          <w:rFonts w:hint="eastAsia" w:ascii="宋体" w:hAnsi="宋体" w:cs="仿宋"/>
          <w:sz w:val="24"/>
          <w:szCs w:val="24"/>
          <w:highlight w:val="yellow"/>
        </w:rPr>
        <w:t>：     元/年</w:t>
      </w:r>
      <w:r>
        <w:rPr>
          <w:rFonts w:hint="eastAsia" w:ascii="宋体" w:hAnsi="宋体" w:cs="仿宋"/>
          <w:sz w:val="24"/>
          <w:szCs w:val="24"/>
        </w:rPr>
        <w:t>，</w:t>
      </w:r>
      <w:r>
        <w:rPr>
          <w:rFonts w:hint="eastAsia" w:ascii="宋体" w:hAnsi="宋体" w:cs="仿宋"/>
          <w:sz w:val="24"/>
        </w:rPr>
        <w:t>供应商报价超过该包最高限价的，该包投标无效</w:t>
      </w:r>
    </w:p>
    <w:p w14:paraId="6489ABB8">
      <w:pPr>
        <w:spacing w:line="360" w:lineRule="auto"/>
        <w:ind w:left="436" w:leftChars="200" w:hanging="16" w:hangingChars="7"/>
        <w:rPr>
          <w:rFonts w:hint="eastAsia" w:ascii="宋体" w:hAnsi="宋体" w:cs="仿宋"/>
          <w:sz w:val="24"/>
        </w:rPr>
      </w:pPr>
      <w:r>
        <w:rPr>
          <w:rFonts w:hint="eastAsia" w:ascii="宋体" w:hAnsi="宋体" w:cs="仿宋"/>
          <w:sz w:val="24"/>
        </w:rPr>
        <w:t>3</w:t>
      </w:r>
      <w:r>
        <w:rPr>
          <w:rFonts w:ascii="宋体" w:hAnsi="宋体" w:cs="仿宋"/>
          <w:sz w:val="24"/>
        </w:rPr>
        <w:t>.</w:t>
      </w:r>
      <w:r>
        <w:rPr>
          <w:rFonts w:hint="eastAsia" w:ascii="宋体" w:hAnsi="宋体" w:cs="仿宋"/>
          <w:sz w:val="24"/>
        </w:rPr>
        <w:t>项目周期：1年</w:t>
      </w:r>
    </w:p>
    <w:p w14:paraId="37333053">
      <w:pPr>
        <w:pStyle w:val="2"/>
        <w:spacing w:before="0" w:after="0" w:line="360" w:lineRule="auto"/>
        <w:rPr>
          <w:rFonts w:hint="eastAsia" w:ascii="宋体" w:hAnsi="宋体" w:cs="仿宋"/>
          <w:b w:val="0"/>
          <w:bCs w:val="0"/>
          <w:sz w:val="24"/>
          <w:szCs w:val="24"/>
        </w:rPr>
      </w:pPr>
      <w:bookmarkStart w:id="0" w:name="_Toc11861354"/>
      <w:bookmarkStart w:id="1" w:name="_Toc394495224"/>
      <w:r>
        <w:rPr>
          <w:rFonts w:hint="eastAsia" w:ascii="宋体" w:hAnsi="宋体" w:cs="仿宋"/>
          <w:sz w:val="24"/>
          <w:szCs w:val="24"/>
        </w:rPr>
        <w:t>二、</w:t>
      </w:r>
      <w:bookmarkEnd w:id="0"/>
      <w:bookmarkEnd w:id="1"/>
      <w:r>
        <w:rPr>
          <w:rFonts w:hint="eastAsia" w:ascii="宋体" w:hAnsi="宋体" w:cs="仿宋"/>
          <w:sz w:val="24"/>
          <w:szCs w:val="24"/>
        </w:rPr>
        <w:t>项目背景</w:t>
      </w:r>
    </w:p>
    <w:p w14:paraId="3ABDE281">
      <w:pPr>
        <w:spacing w:line="360" w:lineRule="auto"/>
        <w:ind w:firstLine="660"/>
        <w:rPr>
          <w:rFonts w:hint="eastAsia" w:ascii="宋体" w:hAnsi="宋体" w:cs="仿宋"/>
          <w:sz w:val="24"/>
          <w:szCs w:val="24"/>
        </w:rPr>
      </w:pPr>
      <w:r>
        <w:rPr>
          <w:rFonts w:hint="eastAsia" w:ascii="宋体" w:hAnsi="宋体" w:cs="仿宋"/>
          <w:sz w:val="24"/>
          <w:szCs w:val="24"/>
        </w:rPr>
        <w:t>随着近年来网络安全事件频发，攻击手段不断增多，攻击的内容更有针对性。一方面，IT 系统与互联网直接或间接有互联接口，外部攻击威胁很容易渗透到重要IT系统；另一方面，IT系统数量多种类杂，网络连接复杂，加上业务的不断变化和新技术的层出不穷，令IT安全人员面临的压力很大；此外，黑客攻击的目的已经从单纯的出名转变到获取直接的经济利益，所采用的各种攻击方法融合，针对业务系统稳定性，重要数据的攻击时有发生，且具有更强的隐蔽性和破坏力。对院方的IT安全工作提出了严峻的挑战。</w:t>
      </w:r>
    </w:p>
    <w:p w14:paraId="005CB10E">
      <w:pPr>
        <w:pStyle w:val="2"/>
        <w:spacing w:before="0" w:after="0" w:line="360" w:lineRule="auto"/>
        <w:rPr>
          <w:rFonts w:hint="eastAsia" w:ascii="宋体" w:hAnsi="宋体" w:cs="仿宋"/>
          <w:b w:val="0"/>
          <w:bCs w:val="0"/>
          <w:sz w:val="24"/>
        </w:rPr>
      </w:pPr>
      <w:r>
        <w:rPr>
          <w:rFonts w:hint="eastAsia" w:ascii="宋体" w:hAnsi="宋体" w:cs="仿宋"/>
          <w:sz w:val="24"/>
          <w:szCs w:val="24"/>
        </w:rPr>
        <w:t>三、服务要求</w:t>
      </w:r>
    </w:p>
    <w:p w14:paraId="4E15959D">
      <w:pPr>
        <w:spacing w:line="360" w:lineRule="auto"/>
        <w:ind w:firstLine="660"/>
        <w:rPr>
          <w:rFonts w:hint="eastAsia" w:ascii="宋体" w:hAnsi="宋体" w:cs="仿宋"/>
          <w:b/>
          <w:bCs/>
          <w:sz w:val="24"/>
          <w:szCs w:val="24"/>
        </w:rPr>
      </w:pPr>
      <w:r>
        <w:rPr>
          <w:rFonts w:hint="eastAsia" w:ascii="宋体" w:hAnsi="宋体" w:cs="仿宋"/>
          <w:b/>
          <w:bCs/>
          <w:sz w:val="24"/>
          <w:szCs w:val="24"/>
        </w:rPr>
        <w:t>基本情况：</w:t>
      </w:r>
    </w:p>
    <w:p w14:paraId="7F010C98">
      <w:pPr>
        <w:spacing w:line="360" w:lineRule="auto"/>
        <w:ind w:firstLine="660"/>
        <w:rPr>
          <w:rFonts w:hint="eastAsia" w:ascii="宋体" w:hAnsi="宋体" w:cs="仿宋"/>
          <w:sz w:val="24"/>
        </w:rPr>
      </w:pPr>
      <w:r>
        <w:rPr>
          <w:rFonts w:hint="eastAsia" w:ascii="宋体" w:hAnsi="宋体" w:cs="仿宋"/>
          <w:sz w:val="24"/>
          <w:szCs w:val="24"/>
        </w:rPr>
        <w:t>我院现有防火墙及备份设备均已过保。本次主要通过采购防火墙的软件升级服务及备份设备的软硬件维保服务。加强院方信息安全的防护能力及数据的安全性。</w:t>
      </w:r>
      <w:bookmarkStart w:id="2" w:name="_GoBack"/>
      <w:bookmarkEnd w:id="2"/>
    </w:p>
    <w:p w14:paraId="664D315B">
      <w:pPr>
        <w:spacing w:line="360" w:lineRule="auto"/>
        <w:ind w:firstLine="660"/>
        <w:rPr>
          <w:rFonts w:hint="eastAsia" w:ascii="宋体" w:hAnsi="宋体" w:cs="仿宋"/>
          <w:sz w:val="24"/>
          <w:szCs w:val="24"/>
        </w:rPr>
      </w:pPr>
      <w:r>
        <w:rPr>
          <w:rFonts w:hint="eastAsia" w:ascii="宋体" w:hAnsi="宋体" w:cs="仿宋"/>
          <w:b/>
          <w:bCs/>
          <w:sz w:val="24"/>
          <w:szCs w:val="24"/>
        </w:rPr>
        <w:t>采购服务内容：</w:t>
      </w:r>
    </w:p>
    <w:tbl>
      <w:tblPr>
        <w:tblStyle w:val="6"/>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2032"/>
        <w:gridCol w:w="1701"/>
        <w:gridCol w:w="4677"/>
      </w:tblGrid>
      <w:tr w14:paraId="0988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6573E12D">
            <w:pPr>
              <w:widowControl/>
              <w:jc w:val="left"/>
              <w:rPr>
                <w:rFonts w:hint="eastAsia" w:ascii="宋体" w:hAnsi="宋体"/>
                <w:b/>
                <w:bCs/>
                <w:sz w:val="24"/>
                <w:szCs w:val="24"/>
              </w:rPr>
            </w:pPr>
            <w:r>
              <w:rPr>
                <w:rFonts w:hint="eastAsia" w:ascii="宋体" w:hAnsi="宋体"/>
                <w:b/>
                <w:bCs/>
                <w:sz w:val="24"/>
                <w:szCs w:val="24"/>
              </w:rPr>
              <w:t>序号</w:t>
            </w:r>
          </w:p>
        </w:tc>
        <w:tc>
          <w:tcPr>
            <w:tcW w:w="2032" w:type="dxa"/>
            <w:vAlign w:val="center"/>
          </w:tcPr>
          <w:p w14:paraId="299255CA">
            <w:pPr>
              <w:widowControl/>
              <w:jc w:val="left"/>
              <w:rPr>
                <w:rFonts w:hint="eastAsia" w:ascii="宋体" w:hAnsi="宋体"/>
                <w:b/>
                <w:bCs/>
                <w:sz w:val="24"/>
                <w:szCs w:val="24"/>
              </w:rPr>
            </w:pPr>
            <w:r>
              <w:rPr>
                <w:rFonts w:hint="eastAsia" w:ascii="宋体" w:hAnsi="宋体"/>
                <w:b/>
                <w:bCs/>
                <w:sz w:val="24"/>
                <w:szCs w:val="24"/>
              </w:rPr>
              <w:t>设备型号</w:t>
            </w:r>
          </w:p>
        </w:tc>
        <w:tc>
          <w:tcPr>
            <w:tcW w:w="1701" w:type="dxa"/>
            <w:vAlign w:val="center"/>
          </w:tcPr>
          <w:p w14:paraId="6DF1E312">
            <w:pPr>
              <w:widowControl/>
              <w:jc w:val="left"/>
              <w:rPr>
                <w:rFonts w:hint="eastAsia" w:ascii="宋体" w:hAnsi="宋体"/>
                <w:b/>
                <w:bCs/>
                <w:sz w:val="24"/>
                <w:szCs w:val="24"/>
              </w:rPr>
            </w:pPr>
            <w:r>
              <w:rPr>
                <w:rFonts w:hint="eastAsia" w:ascii="宋体" w:hAnsi="宋体"/>
                <w:b/>
                <w:bCs/>
                <w:sz w:val="24"/>
                <w:szCs w:val="24"/>
              </w:rPr>
              <w:t>序列号</w:t>
            </w:r>
          </w:p>
        </w:tc>
        <w:tc>
          <w:tcPr>
            <w:tcW w:w="4677" w:type="dxa"/>
            <w:vAlign w:val="center"/>
          </w:tcPr>
          <w:p w14:paraId="73A12EAF">
            <w:pPr>
              <w:widowControl/>
              <w:jc w:val="left"/>
              <w:rPr>
                <w:rFonts w:hint="eastAsia" w:ascii="宋体" w:hAnsi="宋体"/>
                <w:b/>
                <w:bCs/>
                <w:sz w:val="24"/>
                <w:szCs w:val="24"/>
              </w:rPr>
            </w:pPr>
            <w:r>
              <w:rPr>
                <w:rFonts w:hint="eastAsia" w:ascii="宋体" w:hAnsi="宋体"/>
                <w:b/>
                <w:bCs/>
                <w:sz w:val="24"/>
                <w:szCs w:val="24"/>
              </w:rPr>
              <w:t>服务内容</w:t>
            </w:r>
          </w:p>
        </w:tc>
      </w:tr>
      <w:tr w14:paraId="7C959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641BC5C8">
            <w:pPr>
              <w:widowControl/>
              <w:jc w:val="left"/>
              <w:rPr>
                <w:rFonts w:hint="eastAsia" w:ascii="宋体" w:hAnsi="宋体" w:cs="宋体"/>
                <w:color w:val="000000"/>
                <w:kern w:val="0"/>
                <w:sz w:val="22"/>
              </w:rPr>
            </w:pPr>
            <w:r>
              <w:rPr>
                <w:rFonts w:hint="eastAsia" w:ascii="宋体" w:hAnsi="宋体" w:cs="宋体"/>
                <w:color w:val="000000"/>
                <w:kern w:val="0"/>
                <w:sz w:val="22"/>
              </w:rPr>
              <w:t>1</w:t>
            </w:r>
          </w:p>
        </w:tc>
        <w:tc>
          <w:tcPr>
            <w:tcW w:w="2032" w:type="dxa"/>
            <w:vAlign w:val="center"/>
          </w:tcPr>
          <w:p w14:paraId="187F7375">
            <w:pPr>
              <w:widowControl/>
              <w:jc w:val="left"/>
              <w:rPr>
                <w:rFonts w:hint="eastAsia" w:ascii="宋体" w:hAnsi="宋体" w:cs="宋体"/>
                <w:color w:val="000000"/>
                <w:kern w:val="0"/>
                <w:sz w:val="22"/>
              </w:rPr>
            </w:pPr>
            <w:r>
              <w:rPr>
                <w:rFonts w:hint="eastAsia" w:ascii="宋体" w:hAnsi="宋体" w:cs="宋体"/>
                <w:color w:val="000000"/>
                <w:kern w:val="0"/>
                <w:sz w:val="22"/>
              </w:rPr>
              <w:t>AF-1000-E820</w:t>
            </w:r>
          </w:p>
        </w:tc>
        <w:tc>
          <w:tcPr>
            <w:tcW w:w="1701" w:type="dxa"/>
            <w:vAlign w:val="center"/>
          </w:tcPr>
          <w:p w14:paraId="6C7D1542">
            <w:pPr>
              <w:widowControl/>
              <w:jc w:val="left"/>
              <w:rPr>
                <w:rFonts w:hint="eastAsia" w:ascii="宋体" w:hAnsi="宋体" w:cs="宋体"/>
                <w:color w:val="000000"/>
                <w:kern w:val="0"/>
                <w:sz w:val="22"/>
              </w:rPr>
            </w:pPr>
            <w:r>
              <w:rPr>
                <w:rFonts w:hint="eastAsia" w:ascii="宋体" w:hAnsi="宋体" w:cs="宋体"/>
                <w:color w:val="000000"/>
                <w:kern w:val="0"/>
                <w:sz w:val="22"/>
              </w:rPr>
              <w:t>5039511572</w:t>
            </w:r>
          </w:p>
        </w:tc>
        <w:tc>
          <w:tcPr>
            <w:tcW w:w="4677" w:type="dxa"/>
            <w:vAlign w:val="center"/>
          </w:tcPr>
          <w:p w14:paraId="15A5894E">
            <w:pPr>
              <w:widowControl/>
              <w:jc w:val="left"/>
              <w:rPr>
                <w:rFonts w:hint="eastAsia" w:ascii="宋体" w:hAnsi="宋体" w:cs="宋体"/>
                <w:color w:val="000000"/>
                <w:kern w:val="0"/>
                <w:sz w:val="22"/>
              </w:rPr>
            </w:pPr>
            <w:r>
              <w:rPr>
                <w:rFonts w:hint="eastAsia" w:ascii="宋体" w:hAnsi="宋体" w:cs="宋体"/>
                <w:color w:val="000000"/>
                <w:kern w:val="0"/>
                <w:sz w:val="22"/>
              </w:rPr>
              <w:t>1年的软件升级</w:t>
            </w:r>
          </w:p>
          <w:p w14:paraId="0A91206C">
            <w:pPr>
              <w:widowControl/>
              <w:jc w:val="left"/>
              <w:rPr>
                <w:rFonts w:hint="eastAsia" w:ascii="宋体" w:hAnsi="宋体" w:cs="宋体"/>
                <w:color w:val="000000"/>
                <w:kern w:val="0"/>
                <w:sz w:val="22"/>
              </w:rPr>
            </w:pPr>
            <w:r>
              <w:rPr>
                <w:rFonts w:hint="eastAsia" w:ascii="宋体" w:hAnsi="宋体" w:cs="宋体"/>
                <w:color w:val="000000"/>
                <w:kern w:val="0"/>
                <w:sz w:val="22"/>
              </w:rPr>
              <w:t>1年的深信服云智订阅软件（含安全特征库和</w:t>
            </w:r>
            <w:r>
              <w:rPr>
                <w:rFonts w:ascii="宋体" w:hAnsi="宋体" w:cs="宋体"/>
                <w:color w:val="000000"/>
                <w:kern w:val="0"/>
                <w:sz w:val="22"/>
              </w:rPr>
              <w:t>URL库）（AF7.2及以上版本适用）</w:t>
            </w:r>
          </w:p>
        </w:tc>
      </w:tr>
      <w:tr w14:paraId="43714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1150D46F">
            <w:pPr>
              <w:widowControl/>
              <w:jc w:val="left"/>
              <w:rPr>
                <w:rFonts w:hint="eastAsia" w:ascii="宋体" w:hAnsi="宋体" w:cs="宋体"/>
                <w:color w:val="000000"/>
                <w:kern w:val="0"/>
                <w:sz w:val="22"/>
              </w:rPr>
            </w:pPr>
            <w:r>
              <w:rPr>
                <w:rFonts w:hint="eastAsia" w:ascii="宋体" w:hAnsi="宋体" w:cs="宋体"/>
                <w:color w:val="000000"/>
                <w:kern w:val="0"/>
                <w:sz w:val="22"/>
              </w:rPr>
              <w:t>2</w:t>
            </w:r>
          </w:p>
        </w:tc>
        <w:tc>
          <w:tcPr>
            <w:tcW w:w="2032" w:type="dxa"/>
            <w:vAlign w:val="center"/>
          </w:tcPr>
          <w:p w14:paraId="64F27107">
            <w:pPr>
              <w:widowControl/>
              <w:jc w:val="left"/>
              <w:rPr>
                <w:rFonts w:hint="eastAsia" w:ascii="宋体" w:hAnsi="宋体" w:cs="宋体"/>
                <w:color w:val="000000"/>
                <w:kern w:val="0"/>
                <w:sz w:val="22"/>
              </w:rPr>
            </w:pPr>
            <w:r>
              <w:rPr>
                <w:rFonts w:hint="eastAsia" w:ascii="宋体" w:hAnsi="宋体" w:cs="宋体"/>
                <w:color w:val="000000"/>
                <w:kern w:val="0"/>
                <w:sz w:val="22"/>
              </w:rPr>
              <w:t>华为 USG6555E-AC</w:t>
            </w:r>
          </w:p>
        </w:tc>
        <w:tc>
          <w:tcPr>
            <w:tcW w:w="1701" w:type="dxa"/>
            <w:vAlign w:val="center"/>
          </w:tcPr>
          <w:p w14:paraId="43E6F70E">
            <w:pPr>
              <w:widowControl/>
              <w:jc w:val="left"/>
              <w:rPr>
                <w:rFonts w:hint="eastAsia" w:ascii="宋体" w:hAnsi="宋体" w:cs="宋体"/>
                <w:color w:val="000000"/>
                <w:kern w:val="0"/>
                <w:sz w:val="22"/>
              </w:rPr>
            </w:pPr>
            <w:r>
              <w:rPr>
                <w:rFonts w:hint="eastAsia" w:ascii="宋体" w:hAnsi="宋体" w:cs="宋体"/>
                <w:color w:val="000000"/>
                <w:kern w:val="0"/>
                <w:sz w:val="22"/>
              </w:rPr>
              <w:t>102110023093</w:t>
            </w:r>
          </w:p>
        </w:tc>
        <w:tc>
          <w:tcPr>
            <w:tcW w:w="4677" w:type="dxa"/>
            <w:vAlign w:val="center"/>
          </w:tcPr>
          <w:p w14:paraId="0EA0A1F1">
            <w:pPr>
              <w:widowControl/>
              <w:jc w:val="left"/>
              <w:outlineLvl w:val="0"/>
              <w:rPr>
                <w:rFonts w:hint="eastAsia" w:ascii="宋体" w:hAnsi="宋体" w:cs="宋体"/>
                <w:color w:val="000000"/>
                <w:kern w:val="0"/>
                <w:sz w:val="22"/>
              </w:rPr>
            </w:pPr>
            <w:r>
              <w:rPr>
                <w:rFonts w:ascii="宋体" w:hAnsi="宋体" w:cs="宋体"/>
                <w:color w:val="000000"/>
                <w:kern w:val="0"/>
                <w:sz w:val="22"/>
              </w:rPr>
              <w:t>威胁防护12个月(适用于USG6555E)</w:t>
            </w:r>
          </w:p>
        </w:tc>
      </w:tr>
      <w:tr w14:paraId="71FD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6B35E673">
            <w:pPr>
              <w:widowControl/>
              <w:jc w:val="left"/>
              <w:rPr>
                <w:rFonts w:hint="eastAsia" w:ascii="宋体" w:hAnsi="宋体" w:cs="宋体"/>
                <w:color w:val="000000"/>
                <w:kern w:val="0"/>
                <w:sz w:val="22"/>
              </w:rPr>
            </w:pPr>
            <w:r>
              <w:rPr>
                <w:rFonts w:hint="eastAsia" w:ascii="宋体" w:hAnsi="宋体" w:cs="宋体"/>
                <w:color w:val="000000"/>
                <w:kern w:val="0"/>
                <w:sz w:val="22"/>
              </w:rPr>
              <w:t>3</w:t>
            </w:r>
          </w:p>
        </w:tc>
        <w:tc>
          <w:tcPr>
            <w:tcW w:w="2032" w:type="dxa"/>
            <w:vAlign w:val="center"/>
          </w:tcPr>
          <w:p w14:paraId="0DD6A8CA">
            <w:pPr>
              <w:widowControl/>
              <w:jc w:val="left"/>
              <w:rPr>
                <w:rFonts w:hint="eastAsia" w:ascii="宋体" w:hAnsi="宋体" w:cs="宋体"/>
                <w:color w:val="000000"/>
                <w:kern w:val="0"/>
                <w:sz w:val="22"/>
              </w:rPr>
            </w:pPr>
            <w:r>
              <w:rPr>
                <w:rFonts w:hint="eastAsia" w:ascii="宋体" w:hAnsi="宋体" w:cs="宋体"/>
                <w:color w:val="000000"/>
                <w:kern w:val="0"/>
                <w:sz w:val="22"/>
              </w:rPr>
              <w:t>华为USG6555E-AC</w:t>
            </w:r>
          </w:p>
        </w:tc>
        <w:tc>
          <w:tcPr>
            <w:tcW w:w="1701" w:type="dxa"/>
            <w:vAlign w:val="center"/>
          </w:tcPr>
          <w:p w14:paraId="7F160D25">
            <w:pPr>
              <w:widowControl/>
              <w:jc w:val="left"/>
              <w:rPr>
                <w:rFonts w:hint="eastAsia" w:ascii="宋体" w:hAnsi="宋体" w:cs="宋体"/>
                <w:color w:val="000000"/>
                <w:kern w:val="0"/>
                <w:sz w:val="22"/>
              </w:rPr>
            </w:pPr>
            <w:r>
              <w:rPr>
                <w:rFonts w:hint="eastAsia" w:ascii="宋体" w:hAnsi="宋体" w:cs="宋体"/>
                <w:color w:val="000000"/>
                <w:kern w:val="0"/>
                <w:sz w:val="22"/>
              </w:rPr>
              <w:t>102010065112</w:t>
            </w:r>
          </w:p>
        </w:tc>
        <w:tc>
          <w:tcPr>
            <w:tcW w:w="4677" w:type="dxa"/>
            <w:vAlign w:val="center"/>
          </w:tcPr>
          <w:p w14:paraId="0C033463">
            <w:pPr>
              <w:widowControl/>
              <w:jc w:val="left"/>
              <w:outlineLvl w:val="0"/>
              <w:rPr>
                <w:rFonts w:hint="eastAsia" w:ascii="宋体" w:hAnsi="宋体" w:cs="宋体"/>
                <w:color w:val="000000"/>
                <w:kern w:val="0"/>
                <w:sz w:val="22"/>
              </w:rPr>
            </w:pPr>
            <w:r>
              <w:rPr>
                <w:rFonts w:ascii="宋体" w:hAnsi="宋体" w:cs="宋体"/>
                <w:color w:val="000000"/>
                <w:kern w:val="0"/>
                <w:sz w:val="22"/>
              </w:rPr>
              <w:t>威胁防护12个月(适用于USG6555E)</w:t>
            </w:r>
          </w:p>
        </w:tc>
      </w:tr>
      <w:tr w14:paraId="6872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248440E5">
            <w:pPr>
              <w:widowControl/>
              <w:jc w:val="left"/>
              <w:rPr>
                <w:rFonts w:hint="eastAsia" w:ascii="宋体" w:hAnsi="宋体" w:cs="宋体"/>
                <w:color w:val="000000"/>
                <w:kern w:val="0"/>
                <w:sz w:val="22"/>
              </w:rPr>
            </w:pPr>
            <w:r>
              <w:rPr>
                <w:rFonts w:hint="eastAsia" w:ascii="宋体" w:hAnsi="宋体" w:cs="宋体"/>
                <w:color w:val="000000"/>
                <w:kern w:val="0"/>
                <w:sz w:val="22"/>
              </w:rPr>
              <w:t>4</w:t>
            </w:r>
          </w:p>
        </w:tc>
        <w:tc>
          <w:tcPr>
            <w:tcW w:w="2032" w:type="dxa"/>
            <w:vAlign w:val="center"/>
          </w:tcPr>
          <w:p w14:paraId="00BA52C2">
            <w:pPr>
              <w:widowControl/>
              <w:jc w:val="left"/>
              <w:rPr>
                <w:rFonts w:hint="eastAsia" w:ascii="宋体" w:hAnsi="宋体" w:cs="宋体"/>
                <w:color w:val="000000"/>
                <w:kern w:val="0"/>
                <w:sz w:val="22"/>
              </w:rPr>
            </w:pPr>
            <w:r>
              <w:rPr>
                <w:rFonts w:hint="eastAsia" w:ascii="宋体" w:hAnsi="宋体" w:cs="宋体"/>
                <w:color w:val="000000"/>
                <w:kern w:val="0"/>
                <w:sz w:val="22"/>
              </w:rPr>
              <w:t>华为 USG6615E-AC</w:t>
            </w:r>
          </w:p>
        </w:tc>
        <w:tc>
          <w:tcPr>
            <w:tcW w:w="1701" w:type="dxa"/>
            <w:vAlign w:val="center"/>
          </w:tcPr>
          <w:p w14:paraId="07058D7C">
            <w:pPr>
              <w:widowControl/>
              <w:jc w:val="left"/>
              <w:rPr>
                <w:rFonts w:hint="eastAsia" w:ascii="宋体" w:hAnsi="宋体" w:cs="宋体"/>
                <w:color w:val="000000"/>
                <w:kern w:val="0"/>
                <w:sz w:val="22"/>
              </w:rPr>
            </w:pPr>
            <w:r>
              <w:rPr>
                <w:rFonts w:hint="eastAsia" w:ascii="宋体" w:hAnsi="宋体" w:cs="宋体"/>
                <w:color w:val="000000"/>
                <w:kern w:val="0"/>
                <w:sz w:val="22"/>
              </w:rPr>
              <w:t>1020B0175570</w:t>
            </w:r>
          </w:p>
        </w:tc>
        <w:tc>
          <w:tcPr>
            <w:tcW w:w="4677" w:type="dxa"/>
            <w:vAlign w:val="center"/>
          </w:tcPr>
          <w:p w14:paraId="7B117994">
            <w:pPr>
              <w:widowControl/>
              <w:jc w:val="left"/>
              <w:outlineLvl w:val="0"/>
              <w:rPr>
                <w:rFonts w:hint="eastAsia" w:ascii="宋体" w:hAnsi="宋体" w:cs="宋体"/>
                <w:color w:val="000000"/>
                <w:kern w:val="0"/>
                <w:sz w:val="22"/>
              </w:rPr>
            </w:pPr>
            <w:r>
              <w:rPr>
                <w:rFonts w:hint="eastAsia" w:ascii="宋体" w:hAnsi="宋体" w:cs="宋体"/>
                <w:color w:val="000000"/>
                <w:kern w:val="0"/>
                <w:sz w:val="22"/>
              </w:rPr>
              <w:t>威胁防护</w:t>
            </w:r>
            <w:r>
              <w:rPr>
                <w:rFonts w:ascii="宋体" w:hAnsi="宋体" w:cs="宋体"/>
                <w:color w:val="000000"/>
                <w:kern w:val="0"/>
                <w:sz w:val="22"/>
              </w:rPr>
              <w:t>12</w:t>
            </w:r>
            <w:r>
              <w:rPr>
                <w:rFonts w:hint="eastAsia" w:ascii="宋体" w:hAnsi="宋体" w:cs="宋体"/>
                <w:color w:val="000000"/>
                <w:kern w:val="0"/>
                <w:sz w:val="22"/>
              </w:rPr>
              <w:t>个月</w:t>
            </w:r>
            <w:r>
              <w:rPr>
                <w:rFonts w:ascii="宋体" w:hAnsi="宋体" w:cs="宋体"/>
                <w:color w:val="000000"/>
                <w:kern w:val="0"/>
                <w:sz w:val="22"/>
              </w:rPr>
              <w:t>(</w:t>
            </w:r>
            <w:r>
              <w:rPr>
                <w:rFonts w:hint="eastAsia" w:ascii="宋体" w:hAnsi="宋体" w:cs="宋体"/>
                <w:color w:val="000000"/>
                <w:kern w:val="0"/>
                <w:sz w:val="22"/>
              </w:rPr>
              <w:t>适用于</w:t>
            </w:r>
            <w:r>
              <w:rPr>
                <w:rFonts w:ascii="宋体" w:hAnsi="宋体" w:cs="宋体"/>
                <w:color w:val="000000"/>
                <w:kern w:val="0"/>
                <w:sz w:val="22"/>
              </w:rPr>
              <w:t>USG6615E)</w:t>
            </w:r>
          </w:p>
        </w:tc>
      </w:tr>
      <w:tr w14:paraId="7597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7CBE90DB">
            <w:pPr>
              <w:widowControl/>
              <w:jc w:val="left"/>
              <w:rPr>
                <w:rFonts w:hint="eastAsia" w:ascii="宋体" w:hAnsi="宋体" w:cs="宋体"/>
                <w:color w:val="000000"/>
                <w:kern w:val="0"/>
                <w:sz w:val="22"/>
              </w:rPr>
            </w:pPr>
            <w:r>
              <w:rPr>
                <w:rFonts w:hint="eastAsia" w:ascii="宋体" w:hAnsi="宋体" w:cs="宋体"/>
                <w:color w:val="000000"/>
                <w:kern w:val="0"/>
                <w:sz w:val="22"/>
              </w:rPr>
              <w:t>5</w:t>
            </w:r>
          </w:p>
        </w:tc>
        <w:tc>
          <w:tcPr>
            <w:tcW w:w="2032" w:type="dxa"/>
            <w:vAlign w:val="center"/>
          </w:tcPr>
          <w:p w14:paraId="35C82BE1">
            <w:pPr>
              <w:widowControl/>
              <w:jc w:val="left"/>
              <w:rPr>
                <w:rFonts w:hint="eastAsia" w:ascii="宋体" w:hAnsi="宋体" w:cs="宋体"/>
                <w:color w:val="000000"/>
                <w:kern w:val="0"/>
                <w:sz w:val="22"/>
              </w:rPr>
            </w:pPr>
            <w:r>
              <w:rPr>
                <w:rFonts w:ascii="宋体" w:hAnsi="宋体" w:cs="宋体"/>
                <w:color w:val="000000"/>
                <w:kern w:val="0"/>
                <w:sz w:val="22"/>
              </w:rPr>
              <w:t>AF-1000-B1310-HD</w:t>
            </w:r>
          </w:p>
        </w:tc>
        <w:tc>
          <w:tcPr>
            <w:tcW w:w="1701" w:type="dxa"/>
            <w:vAlign w:val="center"/>
          </w:tcPr>
          <w:p w14:paraId="5B481634">
            <w:pPr>
              <w:widowControl/>
              <w:jc w:val="left"/>
              <w:rPr>
                <w:rFonts w:hint="eastAsia" w:ascii="宋体" w:hAnsi="宋体" w:cs="宋体"/>
                <w:color w:val="000000"/>
                <w:kern w:val="0"/>
                <w:sz w:val="22"/>
              </w:rPr>
            </w:pPr>
            <w:r>
              <w:rPr>
                <w:rFonts w:ascii="宋体" w:hAnsi="宋体" w:cs="宋体"/>
                <w:color w:val="000000"/>
                <w:kern w:val="0"/>
                <w:sz w:val="22"/>
              </w:rPr>
              <w:t>8EE0FE9C</w:t>
            </w:r>
          </w:p>
        </w:tc>
        <w:tc>
          <w:tcPr>
            <w:tcW w:w="4677" w:type="dxa"/>
            <w:vAlign w:val="center"/>
          </w:tcPr>
          <w:p w14:paraId="77889CF5">
            <w:pPr>
              <w:widowControl/>
              <w:jc w:val="left"/>
              <w:rPr>
                <w:rFonts w:hint="eastAsia" w:ascii="宋体" w:hAnsi="宋体" w:cs="宋体"/>
                <w:color w:val="000000"/>
                <w:kern w:val="0"/>
                <w:sz w:val="22"/>
              </w:rPr>
            </w:pPr>
            <w:r>
              <w:rPr>
                <w:rFonts w:hint="eastAsia" w:ascii="宋体" w:hAnsi="宋体" w:cs="宋体"/>
                <w:color w:val="000000"/>
                <w:kern w:val="0"/>
                <w:sz w:val="22"/>
              </w:rPr>
              <w:t>1年的软件升级</w:t>
            </w:r>
          </w:p>
          <w:p w14:paraId="4EFA5B90">
            <w:pPr>
              <w:widowControl/>
              <w:jc w:val="left"/>
              <w:rPr>
                <w:rFonts w:hint="eastAsia" w:ascii="宋体" w:hAnsi="宋体" w:cs="宋体"/>
                <w:color w:val="000000"/>
                <w:kern w:val="0"/>
                <w:sz w:val="22"/>
              </w:rPr>
            </w:pPr>
            <w:r>
              <w:rPr>
                <w:rFonts w:hint="eastAsia" w:ascii="宋体" w:hAnsi="宋体" w:cs="宋体"/>
                <w:color w:val="000000"/>
                <w:kern w:val="0"/>
                <w:sz w:val="22"/>
              </w:rPr>
              <w:t>1年的深信服云智订阅软件（含安全特征库和</w:t>
            </w:r>
            <w:r>
              <w:rPr>
                <w:rFonts w:ascii="宋体" w:hAnsi="宋体" w:cs="宋体"/>
                <w:color w:val="000000"/>
                <w:kern w:val="0"/>
                <w:sz w:val="22"/>
              </w:rPr>
              <w:t>URL库）（AF7.2及以上版本适用）</w:t>
            </w:r>
          </w:p>
        </w:tc>
      </w:tr>
      <w:tr w14:paraId="436D8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512A4182">
            <w:pPr>
              <w:widowControl/>
              <w:jc w:val="left"/>
              <w:rPr>
                <w:rFonts w:hint="eastAsia" w:ascii="宋体" w:hAnsi="宋体" w:cs="宋体"/>
                <w:color w:val="000000"/>
                <w:kern w:val="0"/>
                <w:sz w:val="22"/>
              </w:rPr>
            </w:pPr>
            <w:r>
              <w:rPr>
                <w:rFonts w:hint="eastAsia" w:ascii="宋体" w:hAnsi="宋体" w:cs="宋体"/>
                <w:color w:val="000000"/>
                <w:kern w:val="0"/>
                <w:sz w:val="22"/>
              </w:rPr>
              <w:t>6</w:t>
            </w:r>
          </w:p>
        </w:tc>
        <w:tc>
          <w:tcPr>
            <w:tcW w:w="2032" w:type="dxa"/>
            <w:vAlign w:val="center"/>
          </w:tcPr>
          <w:p w14:paraId="5D2008D8">
            <w:pPr>
              <w:widowControl/>
              <w:jc w:val="left"/>
              <w:rPr>
                <w:rFonts w:hint="eastAsia" w:ascii="宋体" w:hAnsi="宋体" w:cs="宋体"/>
                <w:color w:val="000000"/>
                <w:kern w:val="0"/>
                <w:sz w:val="22"/>
              </w:rPr>
            </w:pPr>
            <w:r>
              <w:rPr>
                <w:rFonts w:ascii="宋体" w:hAnsi="宋体" w:cs="宋体"/>
                <w:color w:val="000000"/>
                <w:kern w:val="0"/>
                <w:sz w:val="22"/>
              </w:rPr>
              <w:t>AF-1000-B1</w:t>
            </w:r>
            <w:r>
              <w:rPr>
                <w:rFonts w:hint="eastAsia" w:ascii="宋体" w:hAnsi="宋体" w:cs="宋体"/>
                <w:color w:val="000000"/>
                <w:kern w:val="0"/>
                <w:sz w:val="22"/>
              </w:rPr>
              <w:t>8</w:t>
            </w:r>
            <w:r>
              <w:rPr>
                <w:rFonts w:ascii="宋体" w:hAnsi="宋体" w:cs="宋体"/>
                <w:color w:val="000000"/>
                <w:kern w:val="0"/>
                <w:sz w:val="22"/>
              </w:rPr>
              <w:t>10-HD</w:t>
            </w:r>
          </w:p>
        </w:tc>
        <w:tc>
          <w:tcPr>
            <w:tcW w:w="1701" w:type="dxa"/>
            <w:vAlign w:val="center"/>
          </w:tcPr>
          <w:p w14:paraId="31002089">
            <w:pPr>
              <w:widowControl/>
              <w:jc w:val="left"/>
              <w:rPr>
                <w:rFonts w:hint="eastAsia" w:ascii="宋体" w:hAnsi="宋体" w:cs="宋体"/>
                <w:color w:val="000000"/>
                <w:kern w:val="0"/>
                <w:sz w:val="22"/>
              </w:rPr>
            </w:pPr>
            <w:r>
              <w:rPr>
                <w:rFonts w:ascii="宋体" w:hAnsi="宋体" w:cs="宋体"/>
                <w:color w:val="000000"/>
                <w:kern w:val="0"/>
                <w:sz w:val="22"/>
              </w:rPr>
              <w:t>65E5F5E9</w:t>
            </w:r>
          </w:p>
        </w:tc>
        <w:tc>
          <w:tcPr>
            <w:tcW w:w="4677" w:type="dxa"/>
            <w:vAlign w:val="center"/>
          </w:tcPr>
          <w:p w14:paraId="6CECE7FB">
            <w:pPr>
              <w:widowControl/>
              <w:jc w:val="left"/>
              <w:rPr>
                <w:rFonts w:hint="eastAsia" w:ascii="宋体" w:hAnsi="宋体" w:cs="宋体"/>
                <w:color w:val="000000"/>
                <w:kern w:val="0"/>
                <w:sz w:val="22"/>
              </w:rPr>
            </w:pPr>
            <w:r>
              <w:rPr>
                <w:rFonts w:hint="eastAsia" w:ascii="宋体" w:hAnsi="宋体" w:cs="宋体"/>
                <w:color w:val="000000"/>
                <w:kern w:val="0"/>
                <w:sz w:val="22"/>
              </w:rPr>
              <w:t>1年的软件升级</w:t>
            </w:r>
          </w:p>
          <w:p w14:paraId="578C7B92">
            <w:pPr>
              <w:widowControl/>
              <w:jc w:val="left"/>
              <w:rPr>
                <w:rFonts w:hint="eastAsia" w:ascii="宋体" w:hAnsi="宋体" w:cs="宋体"/>
                <w:color w:val="000000"/>
                <w:kern w:val="0"/>
                <w:sz w:val="22"/>
              </w:rPr>
            </w:pPr>
            <w:r>
              <w:rPr>
                <w:rFonts w:hint="eastAsia" w:ascii="宋体" w:hAnsi="宋体" w:cs="宋体"/>
                <w:color w:val="000000"/>
                <w:kern w:val="0"/>
                <w:sz w:val="22"/>
              </w:rPr>
              <w:t>1年的深信服云智订阅软件（含安全特征库和</w:t>
            </w:r>
            <w:r>
              <w:rPr>
                <w:rFonts w:ascii="宋体" w:hAnsi="宋体" w:cs="宋体"/>
                <w:color w:val="000000"/>
                <w:kern w:val="0"/>
                <w:sz w:val="22"/>
              </w:rPr>
              <w:t>URL库）（AF7.2及以上版本适用）</w:t>
            </w:r>
          </w:p>
        </w:tc>
      </w:tr>
      <w:tr w14:paraId="6FEF6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4" w:type="dxa"/>
            <w:vAlign w:val="center"/>
          </w:tcPr>
          <w:p w14:paraId="5BB0FE4D">
            <w:pPr>
              <w:widowControl/>
              <w:jc w:val="left"/>
              <w:rPr>
                <w:rFonts w:hint="eastAsia" w:ascii="宋体" w:hAnsi="宋体" w:cs="宋体"/>
                <w:color w:val="000000"/>
                <w:kern w:val="0"/>
                <w:sz w:val="22"/>
              </w:rPr>
            </w:pPr>
            <w:r>
              <w:rPr>
                <w:rFonts w:hint="eastAsia" w:ascii="宋体" w:hAnsi="宋体" w:cs="宋体"/>
                <w:color w:val="000000"/>
                <w:kern w:val="0"/>
                <w:sz w:val="22"/>
              </w:rPr>
              <w:t>7</w:t>
            </w:r>
          </w:p>
        </w:tc>
        <w:tc>
          <w:tcPr>
            <w:tcW w:w="2032" w:type="dxa"/>
            <w:vAlign w:val="center"/>
          </w:tcPr>
          <w:p w14:paraId="3018AADD">
            <w:pPr>
              <w:widowControl/>
              <w:jc w:val="left"/>
              <w:rPr>
                <w:rFonts w:hint="eastAsia" w:ascii="宋体" w:hAnsi="宋体" w:cs="宋体"/>
                <w:color w:val="000000"/>
                <w:kern w:val="0"/>
                <w:sz w:val="22"/>
              </w:rPr>
            </w:pPr>
            <w:r>
              <w:rPr>
                <w:rFonts w:hint="eastAsia" w:ascii="宋体" w:hAnsi="宋体" w:cs="宋体"/>
                <w:color w:val="000000"/>
                <w:kern w:val="0"/>
                <w:sz w:val="22"/>
              </w:rPr>
              <w:t>信服易备XS-ES2H</w:t>
            </w:r>
          </w:p>
        </w:tc>
        <w:tc>
          <w:tcPr>
            <w:tcW w:w="1701" w:type="dxa"/>
            <w:vAlign w:val="center"/>
          </w:tcPr>
          <w:p w14:paraId="3D5FA06D">
            <w:pPr>
              <w:widowControl/>
              <w:jc w:val="left"/>
              <w:rPr>
                <w:rFonts w:hint="eastAsia" w:ascii="宋体" w:hAnsi="宋体" w:cs="宋体"/>
                <w:color w:val="000000"/>
                <w:kern w:val="0"/>
                <w:sz w:val="22"/>
              </w:rPr>
            </w:pPr>
          </w:p>
        </w:tc>
        <w:tc>
          <w:tcPr>
            <w:tcW w:w="4677" w:type="dxa"/>
            <w:vAlign w:val="center"/>
          </w:tcPr>
          <w:p w14:paraId="189A3BA9">
            <w:pPr>
              <w:widowControl/>
              <w:jc w:val="left"/>
              <w:rPr>
                <w:rFonts w:hint="eastAsia" w:ascii="宋体" w:hAnsi="宋体" w:cs="宋体"/>
                <w:color w:val="000000"/>
                <w:kern w:val="0"/>
                <w:sz w:val="22"/>
              </w:rPr>
            </w:pPr>
            <w:r>
              <w:rPr>
                <w:rFonts w:hint="eastAsia" w:ascii="宋体" w:hAnsi="宋体" w:cs="宋体"/>
                <w:color w:val="000000"/>
                <w:kern w:val="0"/>
                <w:sz w:val="22"/>
              </w:rPr>
              <w:t>原厂软硬件续保服务、每年四次季度巡检、数据安全备份培训服务、备份一体机所保障数据和业务的完整性和可恢复性服务</w:t>
            </w:r>
          </w:p>
        </w:tc>
      </w:tr>
    </w:tbl>
    <w:p w14:paraId="53AF2A58">
      <w:pPr>
        <w:spacing w:line="360" w:lineRule="auto"/>
        <w:ind w:firstLine="660"/>
        <w:rPr>
          <w:rFonts w:hint="eastAsia" w:ascii="宋体" w:hAnsi="宋体"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CE"/>
    <w:rsid w:val="000D5ED5"/>
    <w:rsid w:val="0020397E"/>
    <w:rsid w:val="0022667B"/>
    <w:rsid w:val="002D6A10"/>
    <w:rsid w:val="002E32D5"/>
    <w:rsid w:val="003A332F"/>
    <w:rsid w:val="004168C2"/>
    <w:rsid w:val="00463991"/>
    <w:rsid w:val="00473423"/>
    <w:rsid w:val="00473D7D"/>
    <w:rsid w:val="006504F6"/>
    <w:rsid w:val="0066486B"/>
    <w:rsid w:val="0072350B"/>
    <w:rsid w:val="00762303"/>
    <w:rsid w:val="00894E2E"/>
    <w:rsid w:val="008F1B11"/>
    <w:rsid w:val="009A787C"/>
    <w:rsid w:val="009D196A"/>
    <w:rsid w:val="00A62EC8"/>
    <w:rsid w:val="00A72BDA"/>
    <w:rsid w:val="00AC0641"/>
    <w:rsid w:val="00B11DED"/>
    <w:rsid w:val="00C41C1D"/>
    <w:rsid w:val="00C42853"/>
    <w:rsid w:val="00C6614D"/>
    <w:rsid w:val="00C834CE"/>
    <w:rsid w:val="00D505F1"/>
    <w:rsid w:val="00DC3B58"/>
    <w:rsid w:val="00DE6298"/>
    <w:rsid w:val="00DF374F"/>
    <w:rsid w:val="00E713EC"/>
    <w:rsid w:val="00E8729A"/>
    <w:rsid w:val="00EB2493"/>
    <w:rsid w:val="00EB26FC"/>
    <w:rsid w:val="00EC7485"/>
    <w:rsid w:val="00F253C8"/>
    <w:rsid w:val="00F419EA"/>
    <w:rsid w:val="00F822B2"/>
    <w:rsid w:val="00FA07D2"/>
    <w:rsid w:val="00FB38A2"/>
    <w:rsid w:val="0CFD73D4"/>
    <w:rsid w:val="789A0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link w:val="8"/>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2 字符"/>
    <w:basedOn w:val="7"/>
    <w:link w:val="2"/>
    <w:uiPriority w:val="0"/>
    <w:rPr>
      <w:rFonts w:ascii="Arial" w:hAnsi="Arial" w:eastAsia="黑体" w:cs="Times New Roman"/>
      <w:b/>
      <w:bCs/>
      <w:sz w:val="32"/>
      <w:szCs w:val="32"/>
    </w:rPr>
  </w:style>
  <w:style w:type="character" w:customStyle="1" w:styleId="9">
    <w:name w:val="页眉 字符"/>
    <w:basedOn w:val="7"/>
    <w:link w:val="4"/>
    <w:qFormat/>
    <w:uiPriority w:val="99"/>
    <w:rPr>
      <w:rFonts w:ascii="Calibri" w:hAnsi="Calibri" w:eastAsia="宋体" w:cs="Times New Roman"/>
      <w:sz w:val="18"/>
      <w:szCs w:val="18"/>
    </w:rPr>
  </w:style>
  <w:style w:type="character" w:customStyle="1" w:styleId="10">
    <w:name w:val="页脚 字符"/>
    <w:basedOn w:val="7"/>
    <w:link w:val="3"/>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662</Words>
  <Characters>851</Characters>
  <Lines>6</Lines>
  <Paragraphs>1</Paragraphs>
  <TotalTime>343</TotalTime>
  <ScaleCrop>false</ScaleCrop>
  <LinksUpToDate>false</LinksUpToDate>
  <CharactersWithSpaces>859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2022-08-12T06:57:00Z</dcterms:created>
  <dc:creator>陶 雨卓</dc:creator>
  <cp:lastModifiedBy>黄明洁</cp:lastModifiedBy>
  <dcterms:modified xsi:type="dcterms:W3CDTF">2025-09-08T01:27:39Z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eyJoZGlkIjoiODQ1YjQ4MDU2NTZhYzY5NjhhNjU5MjBjN2MwZjgyNGYiLCJ1c2VySWQiOiIyNjkxMjA4MTMifQ==</vt:lpwstr>
  </property>
  <property fmtid="{D5CDD505-2E9C-101B-9397-08002B2CF9AE}" pid="3" name="KSOProductBuildVer">
    <vt:lpwstr>2052-12.1.0.21915</vt:lpwstr>
  </property>
  <property fmtid="{D5CDD505-2E9C-101B-9397-08002B2CF9AE}" pid="4" name="ICV">
    <vt:lpwstr>FE949A04A907430393ABA214C2844D4D_13</vt:lpwstr>
  </property>
</Properties>
</file>