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BB56A3">
      <w:pPr>
        <w:pStyle w:val="2"/>
        <w:spacing w:before="0" w:after="0" w:line="400" w:lineRule="exact"/>
        <w:rPr>
          <w:rFonts w:hint="eastAsia" w:ascii="方正公文小标宋" w:hAnsi="方正公文小标宋" w:eastAsia="方正公文小标宋" w:cs="方正公文小标宋"/>
          <w:sz w:val="36"/>
          <w:szCs w:val="36"/>
        </w:rPr>
      </w:pPr>
      <w:bookmarkStart w:id="0" w:name="_Toc514148888"/>
      <w:r>
        <w:rPr>
          <w:rFonts w:hint="eastAsia" w:ascii="方正公文小标宋" w:hAnsi="方正公文小标宋" w:eastAsia="方正公文小标宋" w:cs="方正公文小标宋"/>
          <w:sz w:val="36"/>
          <w:szCs w:val="36"/>
        </w:rPr>
        <w:t>202</w:t>
      </w:r>
      <w:r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  <w:t>6</w:t>
      </w:r>
      <w:r>
        <w:rPr>
          <w:rFonts w:hint="eastAsia" w:ascii="方正公文小标宋" w:hAnsi="方正公文小标宋" w:eastAsia="方正公文小标宋" w:cs="方正公文小标宋"/>
          <w:sz w:val="36"/>
          <w:szCs w:val="36"/>
        </w:rPr>
        <w:t>年IT基础运维服务项目采购需求</w:t>
      </w:r>
      <w:bookmarkEnd w:id="0"/>
    </w:p>
    <w:p w14:paraId="45552B59">
      <w:pPr>
        <w:spacing w:before="156" w:beforeLines="50" w:after="156" w:afterLines="50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>一</w:t>
      </w:r>
      <w:r>
        <w:rPr>
          <w:rFonts w:hint="eastAsia" w:ascii="宋体" w:hAnsi="宋体"/>
          <w:b/>
          <w:sz w:val="28"/>
          <w:szCs w:val="28"/>
        </w:rPr>
        <w:t>、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服务</w:t>
      </w:r>
      <w:r>
        <w:rPr>
          <w:rFonts w:ascii="宋体" w:hAnsi="宋体"/>
          <w:b/>
          <w:sz w:val="28"/>
          <w:szCs w:val="28"/>
        </w:rPr>
        <w:t>内容</w:t>
      </w:r>
    </w:p>
    <w:tbl>
      <w:tblPr>
        <w:tblStyle w:val="5"/>
        <w:tblW w:w="44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1498"/>
        <w:gridCol w:w="5487"/>
      </w:tblGrid>
      <w:tr w14:paraId="35F52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  <w:shd w:val="clear" w:color="auto" w:fill="auto"/>
          </w:tcPr>
          <w:p w14:paraId="3C1D6060">
            <w:pPr>
              <w:spacing w:before="156" w:beforeLines="50" w:after="156" w:afterLines="5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序号</w:t>
            </w:r>
          </w:p>
        </w:tc>
        <w:tc>
          <w:tcPr>
            <w:tcW w:w="977" w:type="pct"/>
            <w:shd w:val="clear" w:color="auto" w:fill="auto"/>
          </w:tcPr>
          <w:p w14:paraId="212EFD83">
            <w:pPr>
              <w:spacing w:before="156" w:beforeLines="50" w:after="156" w:afterLines="50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ascii="宋体" w:hAnsi="宋体"/>
                <w:szCs w:val="21"/>
              </w:rPr>
              <w:t>项目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名称</w:t>
            </w:r>
          </w:p>
        </w:tc>
        <w:tc>
          <w:tcPr>
            <w:tcW w:w="3579" w:type="pct"/>
            <w:shd w:val="clear" w:color="auto" w:fill="auto"/>
          </w:tcPr>
          <w:p w14:paraId="1A21568B">
            <w:pPr>
              <w:spacing w:before="156" w:beforeLines="50" w:after="156" w:afterLines="50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内容</w:t>
            </w:r>
          </w:p>
        </w:tc>
      </w:tr>
      <w:tr w14:paraId="6BEF9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  <w:shd w:val="clear" w:color="auto" w:fill="auto"/>
          </w:tcPr>
          <w:p w14:paraId="56FAADA1">
            <w:pPr>
              <w:spacing w:before="156" w:beforeLines="50" w:after="156" w:afterLines="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977" w:type="pct"/>
            <w:shd w:val="clear" w:color="auto" w:fill="auto"/>
          </w:tcPr>
          <w:p w14:paraId="097759D5">
            <w:pPr>
              <w:spacing w:before="156" w:beforeLines="50" w:after="156" w:afterLines="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IT基础运维服务</w:t>
            </w:r>
          </w:p>
        </w:tc>
        <w:tc>
          <w:tcPr>
            <w:tcW w:w="3579" w:type="pct"/>
            <w:shd w:val="clear" w:color="auto" w:fill="auto"/>
          </w:tcPr>
          <w:p w14:paraId="16ED9268">
            <w:pPr>
              <w:spacing w:before="156" w:beforeLines="50" w:after="156" w:afterLines="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主院及分院、盘龙城院区</w:t>
            </w:r>
            <w:r>
              <w:rPr>
                <w:rFonts w:hint="eastAsia" w:ascii="宋体" w:hAnsi="宋体"/>
                <w:szCs w:val="21"/>
              </w:rPr>
              <w:t>终端设备维护范围为台式电脑、移动终端、笔记本电脑、移动工作站、打印机、扫描仪、投影机、医疗应用系统维护、桌面运维、虚拟桌面系统的日常维护（包括日常运行维护、修正性维护）</w:t>
            </w:r>
          </w:p>
        </w:tc>
      </w:tr>
    </w:tbl>
    <w:p w14:paraId="0F27BB32">
      <w:pPr>
        <w:numPr>
          <w:ilvl w:val="0"/>
          <w:numId w:val="1"/>
        </w:numPr>
        <w:spacing w:before="156" w:beforeLines="50" w:after="156" w:afterLines="50"/>
        <w:rPr>
          <w:rFonts w:ascii="宋体" w:hAnsi="宋体"/>
          <w:b/>
          <w:sz w:val="28"/>
          <w:szCs w:val="28"/>
        </w:rPr>
      </w:pPr>
      <w:bookmarkStart w:id="1" w:name="_Toc317606581"/>
      <w:r>
        <w:rPr>
          <w:rFonts w:hint="eastAsia" w:ascii="宋体" w:hAnsi="宋体"/>
          <w:b/>
          <w:sz w:val="28"/>
          <w:szCs w:val="28"/>
        </w:rPr>
        <w:t>项目</w:t>
      </w:r>
      <w:bookmarkEnd w:id="1"/>
      <w:r>
        <w:rPr>
          <w:rFonts w:hint="eastAsia" w:ascii="宋体" w:hAnsi="宋体"/>
          <w:b/>
          <w:sz w:val="28"/>
          <w:szCs w:val="28"/>
        </w:rPr>
        <w:t>范围</w:t>
      </w:r>
    </w:p>
    <w:p w14:paraId="244D3BD8">
      <w:pPr>
        <w:numPr>
          <w:ilvl w:val="0"/>
          <w:numId w:val="2"/>
        </w:numPr>
        <w:spacing w:before="156" w:beforeLines="50" w:after="156" w:afterLines="50"/>
        <w:rPr>
          <w:rFonts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运维对象</w:t>
      </w:r>
    </w:p>
    <w:p w14:paraId="06E9099E">
      <w:pPr>
        <w:spacing w:before="156" w:beforeLines="50" w:after="156" w:afterLines="50"/>
        <w:rPr>
          <w:rFonts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主院和分院</w:t>
      </w:r>
    </w:p>
    <w:tbl>
      <w:tblPr>
        <w:tblStyle w:val="5"/>
        <w:tblpPr w:leftFromText="180" w:rightFromText="180" w:vertAnchor="text" w:horzAnchor="margin" w:tblpX="-176" w:tblpY="382"/>
        <w:tblW w:w="5156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2768"/>
        <w:gridCol w:w="2130"/>
        <w:gridCol w:w="2222"/>
      </w:tblGrid>
      <w:tr w14:paraId="68013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49" w:type="pct"/>
            <w:shd w:val="clear" w:color="auto" w:fill="auto"/>
          </w:tcPr>
          <w:p w14:paraId="2AC91FA3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序号</w:t>
            </w:r>
          </w:p>
        </w:tc>
        <w:tc>
          <w:tcPr>
            <w:tcW w:w="1575" w:type="pct"/>
            <w:shd w:val="clear" w:color="auto" w:fill="auto"/>
          </w:tcPr>
          <w:p w14:paraId="4EA60899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内容</w:t>
            </w:r>
          </w:p>
        </w:tc>
        <w:tc>
          <w:tcPr>
            <w:tcW w:w="1212" w:type="pct"/>
            <w:shd w:val="clear" w:color="auto" w:fill="auto"/>
          </w:tcPr>
          <w:p w14:paraId="59B8187D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数量（台）</w:t>
            </w:r>
          </w:p>
        </w:tc>
        <w:tc>
          <w:tcPr>
            <w:tcW w:w="1264" w:type="pct"/>
            <w:shd w:val="clear" w:color="auto" w:fill="auto"/>
          </w:tcPr>
          <w:p w14:paraId="518B37F9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分部范围</w:t>
            </w:r>
          </w:p>
        </w:tc>
      </w:tr>
      <w:tr w14:paraId="49CE46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49" w:type="pct"/>
            <w:shd w:val="clear" w:color="auto" w:fill="auto"/>
          </w:tcPr>
          <w:p w14:paraId="2487CF11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1575" w:type="pct"/>
            <w:shd w:val="clear" w:color="auto" w:fill="auto"/>
          </w:tcPr>
          <w:p w14:paraId="62DA18A9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台式电脑</w:t>
            </w:r>
          </w:p>
        </w:tc>
        <w:tc>
          <w:tcPr>
            <w:tcW w:w="1212" w:type="pct"/>
            <w:shd w:val="clear" w:color="auto" w:fill="auto"/>
          </w:tcPr>
          <w:p w14:paraId="02399D50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3100+</w:t>
            </w:r>
          </w:p>
        </w:tc>
        <w:tc>
          <w:tcPr>
            <w:tcW w:w="1264" w:type="pct"/>
            <w:shd w:val="clear" w:color="auto" w:fill="auto"/>
          </w:tcPr>
          <w:p w14:paraId="6AC3AE80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主院和分院</w:t>
            </w:r>
          </w:p>
        </w:tc>
      </w:tr>
      <w:tr w14:paraId="5C37F4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49" w:type="pct"/>
            <w:shd w:val="clear" w:color="auto" w:fill="auto"/>
          </w:tcPr>
          <w:p w14:paraId="5B5D5746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  <w:tc>
          <w:tcPr>
            <w:tcW w:w="1575" w:type="pct"/>
            <w:shd w:val="clear" w:color="auto" w:fill="auto"/>
          </w:tcPr>
          <w:p w14:paraId="54050DF0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移动终端</w:t>
            </w:r>
          </w:p>
        </w:tc>
        <w:tc>
          <w:tcPr>
            <w:tcW w:w="1212" w:type="pct"/>
            <w:shd w:val="clear" w:color="auto" w:fill="auto"/>
          </w:tcPr>
          <w:p w14:paraId="39691066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500</w:t>
            </w:r>
          </w:p>
        </w:tc>
        <w:tc>
          <w:tcPr>
            <w:tcW w:w="1264" w:type="pct"/>
            <w:shd w:val="clear" w:color="auto" w:fill="auto"/>
          </w:tcPr>
          <w:p w14:paraId="1DA044C9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主院和分院</w:t>
            </w:r>
          </w:p>
        </w:tc>
      </w:tr>
      <w:tr w14:paraId="3204D3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49" w:type="pct"/>
            <w:shd w:val="clear" w:color="auto" w:fill="auto"/>
          </w:tcPr>
          <w:p w14:paraId="30477E38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</w:t>
            </w:r>
          </w:p>
        </w:tc>
        <w:tc>
          <w:tcPr>
            <w:tcW w:w="1575" w:type="pct"/>
            <w:shd w:val="clear" w:color="auto" w:fill="auto"/>
          </w:tcPr>
          <w:p w14:paraId="78818ADE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笔记本电脑</w:t>
            </w:r>
          </w:p>
        </w:tc>
        <w:tc>
          <w:tcPr>
            <w:tcW w:w="1212" w:type="pct"/>
            <w:shd w:val="clear" w:color="auto" w:fill="auto"/>
          </w:tcPr>
          <w:p w14:paraId="6969905E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200+</w:t>
            </w:r>
          </w:p>
        </w:tc>
        <w:tc>
          <w:tcPr>
            <w:tcW w:w="1264" w:type="pct"/>
            <w:shd w:val="clear" w:color="auto" w:fill="auto"/>
          </w:tcPr>
          <w:p w14:paraId="2BE5B53B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主院和分院</w:t>
            </w:r>
          </w:p>
        </w:tc>
      </w:tr>
      <w:tr w14:paraId="659BD1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49" w:type="pct"/>
            <w:shd w:val="clear" w:color="auto" w:fill="auto"/>
          </w:tcPr>
          <w:p w14:paraId="2D1A8D29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</w:t>
            </w:r>
          </w:p>
        </w:tc>
        <w:tc>
          <w:tcPr>
            <w:tcW w:w="1575" w:type="pct"/>
            <w:shd w:val="clear" w:color="auto" w:fill="auto"/>
          </w:tcPr>
          <w:p w14:paraId="5DB2B7B8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移动工作站</w:t>
            </w:r>
          </w:p>
        </w:tc>
        <w:tc>
          <w:tcPr>
            <w:tcW w:w="1212" w:type="pct"/>
            <w:shd w:val="clear" w:color="auto" w:fill="auto"/>
          </w:tcPr>
          <w:p w14:paraId="5DD73F12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100</w:t>
            </w:r>
          </w:p>
        </w:tc>
        <w:tc>
          <w:tcPr>
            <w:tcW w:w="1264" w:type="pct"/>
            <w:shd w:val="clear" w:color="auto" w:fill="auto"/>
          </w:tcPr>
          <w:p w14:paraId="21E7D029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主院和分院</w:t>
            </w:r>
          </w:p>
        </w:tc>
      </w:tr>
      <w:tr w14:paraId="2F47AB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49" w:type="pct"/>
            <w:shd w:val="clear" w:color="auto" w:fill="auto"/>
          </w:tcPr>
          <w:p w14:paraId="6699AFD2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</w:t>
            </w:r>
          </w:p>
        </w:tc>
        <w:tc>
          <w:tcPr>
            <w:tcW w:w="1575" w:type="pct"/>
            <w:shd w:val="clear" w:color="auto" w:fill="auto"/>
          </w:tcPr>
          <w:p w14:paraId="4B38FDAE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打印机</w:t>
            </w:r>
          </w:p>
        </w:tc>
        <w:tc>
          <w:tcPr>
            <w:tcW w:w="1212" w:type="pct"/>
            <w:shd w:val="clear" w:color="auto" w:fill="auto"/>
          </w:tcPr>
          <w:p w14:paraId="006F5680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1000+</w:t>
            </w:r>
          </w:p>
        </w:tc>
        <w:tc>
          <w:tcPr>
            <w:tcW w:w="1264" w:type="pct"/>
            <w:shd w:val="clear" w:color="auto" w:fill="auto"/>
          </w:tcPr>
          <w:p w14:paraId="70A94038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主院和分院</w:t>
            </w:r>
          </w:p>
        </w:tc>
      </w:tr>
      <w:tr w14:paraId="229A1C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49" w:type="pct"/>
            <w:shd w:val="clear" w:color="auto" w:fill="auto"/>
          </w:tcPr>
          <w:p w14:paraId="757D34AE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6</w:t>
            </w:r>
          </w:p>
        </w:tc>
        <w:tc>
          <w:tcPr>
            <w:tcW w:w="1575" w:type="pct"/>
            <w:shd w:val="clear" w:color="auto" w:fill="auto"/>
          </w:tcPr>
          <w:p w14:paraId="23027340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扫描仪</w:t>
            </w:r>
          </w:p>
        </w:tc>
        <w:tc>
          <w:tcPr>
            <w:tcW w:w="1212" w:type="pct"/>
            <w:shd w:val="clear" w:color="auto" w:fill="auto"/>
          </w:tcPr>
          <w:p w14:paraId="0F0B54D2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25+</w:t>
            </w:r>
          </w:p>
        </w:tc>
        <w:tc>
          <w:tcPr>
            <w:tcW w:w="1264" w:type="pct"/>
            <w:shd w:val="clear" w:color="auto" w:fill="auto"/>
          </w:tcPr>
          <w:p w14:paraId="7E2439B9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主院和分院</w:t>
            </w:r>
          </w:p>
        </w:tc>
      </w:tr>
      <w:tr w14:paraId="0366CF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49" w:type="pct"/>
            <w:shd w:val="clear" w:color="auto" w:fill="auto"/>
          </w:tcPr>
          <w:p w14:paraId="47814BA6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7</w:t>
            </w:r>
          </w:p>
        </w:tc>
        <w:tc>
          <w:tcPr>
            <w:tcW w:w="1575" w:type="pct"/>
            <w:shd w:val="clear" w:color="auto" w:fill="auto"/>
          </w:tcPr>
          <w:p w14:paraId="6078F73C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投影机</w:t>
            </w:r>
          </w:p>
        </w:tc>
        <w:tc>
          <w:tcPr>
            <w:tcW w:w="1212" w:type="pct"/>
            <w:shd w:val="clear" w:color="auto" w:fill="auto"/>
          </w:tcPr>
          <w:p w14:paraId="366EDF6A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100+</w:t>
            </w:r>
          </w:p>
        </w:tc>
        <w:tc>
          <w:tcPr>
            <w:tcW w:w="1264" w:type="pct"/>
            <w:shd w:val="clear" w:color="auto" w:fill="auto"/>
          </w:tcPr>
          <w:p w14:paraId="0453D3EB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主院和分院</w:t>
            </w:r>
          </w:p>
        </w:tc>
      </w:tr>
      <w:tr w14:paraId="6B1971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49" w:type="pct"/>
            <w:shd w:val="clear" w:color="auto" w:fill="auto"/>
          </w:tcPr>
          <w:p w14:paraId="0998FEFB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8</w:t>
            </w:r>
          </w:p>
        </w:tc>
        <w:tc>
          <w:tcPr>
            <w:tcW w:w="1575" w:type="pct"/>
            <w:shd w:val="clear" w:color="auto" w:fill="auto"/>
          </w:tcPr>
          <w:p w14:paraId="3D9AD0A5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医疗应用系统维护</w:t>
            </w:r>
          </w:p>
        </w:tc>
        <w:tc>
          <w:tcPr>
            <w:tcW w:w="1212" w:type="pct"/>
            <w:shd w:val="clear" w:color="auto" w:fill="auto"/>
          </w:tcPr>
          <w:p w14:paraId="1F18B69E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3000+</w:t>
            </w:r>
          </w:p>
        </w:tc>
        <w:tc>
          <w:tcPr>
            <w:tcW w:w="1264" w:type="pct"/>
            <w:shd w:val="clear" w:color="auto" w:fill="auto"/>
          </w:tcPr>
          <w:p w14:paraId="24056CDA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主院和分院</w:t>
            </w:r>
          </w:p>
        </w:tc>
      </w:tr>
      <w:tr w14:paraId="0800C1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49" w:type="pct"/>
            <w:shd w:val="clear" w:color="auto" w:fill="auto"/>
          </w:tcPr>
          <w:p w14:paraId="48DCB34E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9</w:t>
            </w:r>
          </w:p>
        </w:tc>
        <w:tc>
          <w:tcPr>
            <w:tcW w:w="1575" w:type="pct"/>
            <w:shd w:val="clear" w:color="auto" w:fill="auto"/>
          </w:tcPr>
          <w:p w14:paraId="0CD25CD0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桌面运维</w:t>
            </w:r>
          </w:p>
        </w:tc>
        <w:tc>
          <w:tcPr>
            <w:tcW w:w="1212" w:type="pct"/>
            <w:shd w:val="clear" w:color="auto" w:fill="auto"/>
          </w:tcPr>
          <w:p w14:paraId="58DA21DF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3000+</w:t>
            </w:r>
          </w:p>
        </w:tc>
        <w:tc>
          <w:tcPr>
            <w:tcW w:w="1264" w:type="pct"/>
            <w:shd w:val="clear" w:color="auto" w:fill="auto"/>
          </w:tcPr>
          <w:p w14:paraId="2AEB9555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主院和分院</w:t>
            </w:r>
          </w:p>
        </w:tc>
      </w:tr>
      <w:tr w14:paraId="7D0E56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49" w:type="pct"/>
            <w:shd w:val="clear" w:color="auto" w:fill="auto"/>
          </w:tcPr>
          <w:p w14:paraId="0CA5CDEC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10</w:t>
            </w:r>
          </w:p>
        </w:tc>
        <w:tc>
          <w:tcPr>
            <w:tcW w:w="1575" w:type="pct"/>
            <w:shd w:val="clear" w:color="auto" w:fill="auto"/>
          </w:tcPr>
          <w:p w14:paraId="5BF49310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虚拟桌面系统</w:t>
            </w:r>
          </w:p>
        </w:tc>
        <w:tc>
          <w:tcPr>
            <w:tcW w:w="1212" w:type="pct"/>
            <w:shd w:val="clear" w:color="auto" w:fill="auto"/>
          </w:tcPr>
          <w:p w14:paraId="18153150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1500+</w:t>
            </w:r>
          </w:p>
        </w:tc>
        <w:tc>
          <w:tcPr>
            <w:tcW w:w="1264" w:type="pct"/>
            <w:shd w:val="clear" w:color="auto" w:fill="auto"/>
          </w:tcPr>
          <w:p w14:paraId="3224ECD5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主院和分院</w:t>
            </w:r>
          </w:p>
        </w:tc>
      </w:tr>
    </w:tbl>
    <w:p w14:paraId="68491966">
      <w:pPr>
        <w:spacing w:line="360" w:lineRule="auto"/>
        <w:ind w:firstLine="422" w:firstLineChars="200"/>
        <w:rPr>
          <w:rFonts w:ascii="宋体" w:hAnsi="宋体"/>
          <w:b/>
          <w:bCs/>
          <w:szCs w:val="21"/>
        </w:rPr>
      </w:pPr>
    </w:p>
    <w:p w14:paraId="0D902473">
      <w:pPr>
        <w:spacing w:line="360" w:lineRule="auto"/>
        <w:rPr>
          <w:rFonts w:ascii="宋体" w:hAnsi="宋体"/>
          <w:b/>
          <w:bCs/>
          <w:sz w:val="24"/>
          <w:szCs w:val="24"/>
        </w:rPr>
      </w:pPr>
      <w:r>
        <w:rPr>
          <w:rFonts w:hint="eastAsia" w:ascii="宋体" w:hAnsi="宋体"/>
          <w:b/>
          <w:bCs/>
          <w:sz w:val="24"/>
          <w:szCs w:val="24"/>
        </w:rPr>
        <w:t>盘龙院区</w:t>
      </w:r>
    </w:p>
    <w:tbl>
      <w:tblPr>
        <w:tblStyle w:val="5"/>
        <w:tblpPr w:leftFromText="180" w:rightFromText="180" w:vertAnchor="text" w:horzAnchor="margin" w:tblpX="-176" w:tblpY="382"/>
        <w:tblW w:w="5156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2768"/>
        <w:gridCol w:w="2130"/>
        <w:gridCol w:w="2222"/>
      </w:tblGrid>
      <w:tr w14:paraId="3034B3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49" w:type="pct"/>
            <w:shd w:val="clear" w:color="auto" w:fill="auto"/>
          </w:tcPr>
          <w:p w14:paraId="692E6531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序号</w:t>
            </w:r>
          </w:p>
        </w:tc>
        <w:tc>
          <w:tcPr>
            <w:tcW w:w="1575" w:type="pct"/>
            <w:shd w:val="clear" w:color="auto" w:fill="auto"/>
          </w:tcPr>
          <w:p w14:paraId="4047F856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内容</w:t>
            </w:r>
          </w:p>
        </w:tc>
        <w:tc>
          <w:tcPr>
            <w:tcW w:w="1212" w:type="pct"/>
            <w:shd w:val="clear" w:color="auto" w:fill="auto"/>
          </w:tcPr>
          <w:p w14:paraId="3203E6E4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数量（台）</w:t>
            </w:r>
          </w:p>
        </w:tc>
        <w:tc>
          <w:tcPr>
            <w:tcW w:w="1264" w:type="pct"/>
            <w:shd w:val="clear" w:color="auto" w:fill="auto"/>
          </w:tcPr>
          <w:p w14:paraId="620B78F5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分部范围</w:t>
            </w:r>
          </w:p>
        </w:tc>
      </w:tr>
      <w:tr w14:paraId="7F6489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49" w:type="pct"/>
            <w:shd w:val="clear" w:color="auto" w:fill="auto"/>
          </w:tcPr>
          <w:p w14:paraId="612BC5DF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1575" w:type="pct"/>
            <w:shd w:val="clear" w:color="auto" w:fill="auto"/>
          </w:tcPr>
          <w:p w14:paraId="3C22697D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台式电脑</w:t>
            </w:r>
          </w:p>
        </w:tc>
        <w:tc>
          <w:tcPr>
            <w:tcW w:w="1212" w:type="pct"/>
            <w:shd w:val="clear" w:color="auto" w:fill="auto"/>
          </w:tcPr>
          <w:p w14:paraId="4DD7383E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500+</w:t>
            </w:r>
          </w:p>
        </w:tc>
        <w:tc>
          <w:tcPr>
            <w:tcW w:w="1264" w:type="pct"/>
            <w:shd w:val="clear" w:color="auto" w:fill="auto"/>
            <w:vAlign w:val="center"/>
          </w:tcPr>
          <w:p w14:paraId="286CE8BB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盘龙院区</w:t>
            </w:r>
          </w:p>
        </w:tc>
      </w:tr>
      <w:tr w14:paraId="370152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49" w:type="pct"/>
            <w:shd w:val="clear" w:color="auto" w:fill="auto"/>
          </w:tcPr>
          <w:p w14:paraId="5BB4C954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  <w:tc>
          <w:tcPr>
            <w:tcW w:w="1575" w:type="pct"/>
            <w:shd w:val="clear" w:color="auto" w:fill="auto"/>
          </w:tcPr>
          <w:p w14:paraId="6BC23BE1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移动终端</w:t>
            </w:r>
          </w:p>
        </w:tc>
        <w:tc>
          <w:tcPr>
            <w:tcW w:w="1212" w:type="pct"/>
            <w:shd w:val="clear" w:color="auto" w:fill="auto"/>
          </w:tcPr>
          <w:p w14:paraId="717C9AF6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50+</w:t>
            </w:r>
          </w:p>
        </w:tc>
        <w:tc>
          <w:tcPr>
            <w:tcW w:w="1264" w:type="pct"/>
            <w:shd w:val="clear" w:color="auto" w:fill="auto"/>
            <w:vAlign w:val="center"/>
          </w:tcPr>
          <w:p w14:paraId="3031FF57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盘龙院区</w:t>
            </w:r>
          </w:p>
        </w:tc>
      </w:tr>
      <w:tr w14:paraId="646BB9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49" w:type="pct"/>
            <w:shd w:val="clear" w:color="auto" w:fill="auto"/>
          </w:tcPr>
          <w:p w14:paraId="08979DD6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</w:t>
            </w:r>
          </w:p>
        </w:tc>
        <w:tc>
          <w:tcPr>
            <w:tcW w:w="1575" w:type="pct"/>
            <w:shd w:val="clear" w:color="auto" w:fill="auto"/>
          </w:tcPr>
          <w:p w14:paraId="40AF2C8C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笔记本电脑</w:t>
            </w:r>
          </w:p>
        </w:tc>
        <w:tc>
          <w:tcPr>
            <w:tcW w:w="1212" w:type="pct"/>
            <w:shd w:val="clear" w:color="auto" w:fill="auto"/>
          </w:tcPr>
          <w:p w14:paraId="40324BD6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10+</w:t>
            </w:r>
          </w:p>
        </w:tc>
        <w:tc>
          <w:tcPr>
            <w:tcW w:w="1264" w:type="pct"/>
            <w:shd w:val="clear" w:color="auto" w:fill="auto"/>
            <w:vAlign w:val="center"/>
          </w:tcPr>
          <w:p w14:paraId="0A703EAD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盘龙院区</w:t>
            </w:r>
          </w:p>
        </w:tc>
      </w:tr>
      <w:tr w14:paraId="1AE1BF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49" w:type="pct"/>
            <w:shd w:val="clear" w:color="auto" w:fill="auto"/>
          </w:tcPr>
          <w:p w14:paraId="21F2B41D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</w:t>
            </w:r>
          </w:p>
        </w:tc>
        <w:tc>
          <w:tcPr>
            <w:tcW w:w="1575" w:type="pct"/>
            <w:shd w:val="clear" w:color="auto" w:fill="auto"/>
          </w:tcPr>
          <w:p w14:paraId="25A58FBF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移动工作站</w:t>
            </w:r>
          </w:p>
        </w:tc>
        <w:tc>
          <w:tcPr>
            <w:tcW w:w="1212" w:type="pct"/>
            <w:shd w:val="clear" w:color="auto" w:fill="auto"/>
          </w:tcPr>
          <w:p w14:paraId="553E5B0C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50+</w:t>
            </w:r>
          </w:p>
        </w:tc>
        <w:tc>
          <w:tcPr>
            <w:tcW w:w="1264" w:type="pct"/>
            <w:shd w:val="clear" w:color="auto" w:fill="auto"/>
            <w:vAlign w:val="center"/>
          </w:tcPr>
          <w:p w14:paraId="363E5738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盘龙院区</w:t>
            </w:r>
          </w:p>
        </w:tc>
      </w:tr>
      <w:tr w14:paraId="0D8532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49" w:type="pct"/>
            <w:shd w:val="clear" w:color="auto" w:fill="auto"/>
          </w:tcPr>
          <w:p w14:paraId="56FFA1CF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</w:t>
            </w:r>
          </w:p>
        </w:tc>
        <w:tc>
          <w:tcPr>
            <w:tcW w:w="1575" w:type="pct"/>
            <w:shd w:val="clear" w:color="auto" w:fill="auto"/>
          </w:tcPr>
          <w:p w14:paraId="58EFDA7C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打印机</w:t>
            </w:r>
          </w:p>
        </w:tc>
        <w:tc>
          <w:tcPr>
            <w:tcW w:w="1212" w:type="pct"/>
            <w:shd w:val="clear" w:color="auto" w:fill="auto"/>
          </w:tcPr>
          <w:p w14:paraId="0BAA2730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200+</w:t>
            </w:r>
          </w:p>
        </w:tc>
        <w:tc>
          <w:tcPr>
            <w:tcW w:w="1264" w:type="pct"/>
            <w:shd w:val="clear" w:color="auto" w:fill="auto"/>
            <w:vAlign w:val="center"/>
          </w:tcPr>
          <w:p w14:paraId="2B5F8EC4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盘龙院区</w:t>
            </w:r>
          </w:p>
        </w:tc>
      </w:tr>
      <w:tr w14:paraId="21AF32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49" w:type="pct"/>
            <w:shd w:val="clear" w:color="auto" w:fill="auto"/>
          </w:tcPr>
          <w:p w14:paraId="54E5E037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6</w:t>
            </w:r>
          </w:p>
        </w:tc>
        <w:tc>
          <w:tcPr>
            <w:tcW w:w="1575" w:type="pct"/>
            <w:shd w:val="clear" w:color="auto" w:fill="auto"/>
          </w:tcPr>
          <w:p w14:paraId="5CCD3D10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扫描仪</w:t>
            </w:r>
          </w:p>
        </w:tc>
        <w:tc>
          <w:tcPr>
            <w:tcW w:w="1212" w:type="pct"/>
            <w:shd w:val="clear" w:color="auto" w:fill="auto"/>
          </w:tcPr>
          <w:p w14:paraId="2D0898AB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0</w:t>
            </w:r>
          </w:p>
        </w:tc>
        <w:tc>
          <w:tcPr>
            <w:tcW w:w="1264" w:type="pct"/>
            <w:shd w:val="clear" w:color="auto" w:fill="auto"/>
            <w:vAlign w:val="center"/>
          </w:tcPr>
          <w:p w14:paraId="1E8B8CA6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盘龙院区</w:t>
            </w:r>
          </w:p>
        </w:tc>
      </w:tr>
      <w:tr w14:paraId="2C577D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49" w:type="pct"/>
            <w:shd w:val="clear" w:color="auto" w:fill="auto"/>
          </w:tcPr>
          <w:p w14:paraId="2E39DCC1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7</w:t>
            </w:r>
          </w:p>
        </w:tc>
        <w:tc>
          <w:tcPr>
            <w:tcW w:w="1575" w:type="pct"/>
            <w:shd w:val="clear" w:color="auto" w:fill="auto"/>
          </w:tcPr>
          <w:p w14:paraId="16C85843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投影机</w:t>
            </w:r>
          </w:p>
        </w:tc>
        <w:tc>
          <w:tcPr>
            <w:tcW w:w="1212" w:type="pct"/>
            <w:shd w:val="clear" w:color="auto" w:fill="auto"/>
          </w:tcPr>
          <w:p w14:paraId="06D1F931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0</w:t>
            </w:r>
          </w:p>
        </w:tc>
        <w:tc>
          <w:tcPr>
            <w:tcW w:w="1264" w:type="pct"/>
            <w:shd w:val="clear" w:color="auto" w:fill="auto"/>
            <w:vAlign w:val="center"/>
          </w:tcPr>
          <w:p w14:paraId="3DA46448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盘龙院区</w:t>
            </w:r>
          </w:p>
        </w:tc>
      </w:tr>
      <w:tr w14:paraId="07CBCD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49" w:type="pct"/>
            <w:shd w:val="clear" w:color="auto" w:fill="auto"/>
          </w:tcPr>
          <w:p w14:paraId="06004B77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8</w:t>
            </w:r>
          </w:p>
        </w:tc>
        <w:tc>
          <w:tcPr>
            <w:tcW w:w="1575" w:type="pct"/>
            <w:shd w:val="clear" w:color="auto" w:fill="auto"/>
          </w:tcPr>
          <w:p w14:paraId="461EF5B9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医疗应用系统维护</w:t>
            </w:r>
          </w:p>
        </w:tc>
        <w:tc>
          <w:tcPr>
            <w:tcW w:w="1212" w:type="pct"/>
            <w:shd w:val="clear" w:color="auto" w:fill="auto"/>
          </w:tcPr>
          <w:p w14:paraId="54AC8CA3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500+</w:t>
            </w:r>
          </w:p>
        </w:tc>
        <w:tc>
          <w:tcPr>
            <w:tcW w:w="1264" w:type="pct"/>
            <w:shd w:val="clear" w:color="auto" w:fill="auto"/>
            <w:vAlign w:val="center"/>
          </w:tcPr>
          <w:p w14:paraId="42244FDD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盘龙院区</w:t>
            </w:r>
          </w:p>
        </w:tc>
      </w:tr>
      <w:tr w14:paraId="41A4E7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49" w:type="pct"/>
            <w:shd w:val="clear" w:color="auto" w:fill="auto"/>
          </w:tcPr>
          <w:p w14:paraId="32CC9F96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9</w:t>
            </w:r>
          </w:p>
        </w:tc>
        <w:tc>
          <w:tcPr>
            <w:tcW w:w="1575" w:type="pct"/>
            <w:shd w:val="clear" w:color="auto" w:fill="auto"/>
          </w:tcPr>
          <w:p w14:paraId="11957272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桌面运维</w:t>
            </w:r>
          </w:p>
        </w:tc>
        <w:tc>
          <w:tcPr>
            <w:tcW w:w="1212" w:type="pct"/>
            <w:shd w:val="clear" w:color="auto" w:fill="auto"/>
          </w:tcPr>
          <w:p w14:paraId="4B8E60DD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500+</w:t>
            </w:r>
          </w:p>
        </w:tc>
        <w:tc>
          <w:tcPr>
            <w:tcW w:w="1264" w:type="pct"/>
            <w:shd w:val="clear" w:color="auto" w:fill="auto"/>
            <w:vAlign w:val="center"/>
          </w:tcPr>
          <w:p w14:paraId="42FA07CB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盘龙院区</w:t>
            </w:r>
          </w:p>
        </w:tc>
      </w:tr>
      <w:tr w14:paraId="3228A2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49" w:type="pct"/>
            <w:shd w:val="clear" w:color="auto" w:fill="auto"/>
          </w:tcPr>
          <w:p w14:paraId="5D359A56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10</w:t>
            </w:r>
          </w:p>
        </w:tc>
        <w:tc>
          <w:tcPr>
            <w:tcW w:w="1575" w:type="pct"/>
            <w:shd w:val="clear" w:color="auto" w:fill="auto"/>
          </w:tcPr>
          <w:p w14:paraId="67BF1A19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虚拟桌面系统</w:t>
            </w:r>
          </w:p>
        </w:tc>
        <w:tc>
          <w:tcPr>
            <w:tcW w:w="1212" w:type="pct"/>
            <w:shd w:val="clear" w:color="auto" w:fill="auto"/>
          </w:tcPr>
          <w:p w14:paraId="121FDCDD">
            <w:pPr>
              <w:spacing w:before="100" w:beforeAutospacing="1" w:after="156" w:afterAutospacing="1"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500+</w:t>
            </w:r>
          </w:p>
        </w:tc>
        <w:tc>
          <w:tcPr>
            <w:tcW w:w="1264" w:type="pct"/>
            <w:shd w:val="clear" w:color="auto" w:fill="auto"/>
            <w:vAlign w:val="center"/>
          </w:tcPr>
          <w:p w14:paraId="5BA2F2AE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盘龙院区</w:t>
            </w:r>
          </w:p>
        </w:tc>
      </w:tr>
    </w:tbl>
    <w:p w14:paraId="452ACE39">
      <w:pPr>
        <w:numPr>
          <w:ilvl w:val="0"/>
          <w:numId w:val="2"/>
        </w:numPr>
        <w:spacing w:line="360" w:lineRule="auto"/>
        <w:rPr>
          <w:rFonts w:ascii="仿宋_GB2312" w:hAnsi="仿宋_GB2312" w:cs="仿宋_GB2312"/>
          <w:b/>
          <w:bCs/>
          <w:sz w:val="24"/>
          <w:szCs w:val="24"/>
        </w:rPr>
      </w:pPr>
      <w:r>
        <w:rPr>
          <w:rFonts w:hint="eastAsia" w:ascii="仿宋_GB2312" w:hAnsi="仿宋_GB2312" w:cs="仿宋_GB2312"/>
          <w:b/>
          <w:bCs/>
          <w:sz w:val="24"/>
          <w:szCs w:val="24"/>
        </w:rPr>
        <w:t>运维时间</w:t>
      </w:r>
    </w:p>
    <w:p w14:paraId="38DF0384">
      <w:pPr>
        <w:spacing w:line="360" w:lineRule="auto"/>
        <w:ind w:firstLine="420" w:firstLineChars="200"/>
        <w:rPr>
          <w:rFonts w:ascii="宋体" w:hAnsi="宋体"/>
          <w:szCs w:val="21"/>
        </w:rPr>
      </w:pPr>
      <w:bookmarkStart w:id="9" w:name="_GoBack"/>
      <w:r>
        <w:rPr>
          <w:rFonts w:hint="eastAsia" w:ascii="宋体" w:hAnsi="宋体"/>
          <w:szCs w:val="21"/>
        </w:rPr>
        <w:t>运维时间1年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2026年7月19号——2027年7月19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</w:rPr>
        <w:t>。</w:t>
      </w:r>
    </w:p>
    <w:bookmarkEnd w:id="9"/>
    <w:p w14:paraId="1D24D4B6">
      <w:pPr>
        <w:numPr>
          <w:ilvl w:val="0"/>
          <w:numId w:val="2"/>
        </w:numPr>
        <w:spacing w:line="360" w:lineRule="auto"/>
        <w:rPr>
          <w:rFonts w:ascii="仿宋_GB2312" w:hAnsi="仿宋_GB2312" w:cs="仿宋_GB2312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8"/>
        </w:rPr>
        <w:t>运维服务清单</w:t>
      </w:r>
    </w:p>
    <w:p w14:paraId="00280C70">
      <w:pPr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投标方在本项目中为招标方提供的运维服务包括日常运行维护、修正性维护等，运维服务单如下：</w:t>
      </w:r>
    </w:p>
    <w:tbl>
      <w:tblPr>
        <w:tblStyle w:val="5"/>
        <w:tblW w:w="93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964"/>
        <w:gridCol w:w="7718"/>
      </w:tblGrid>
      <w:tr w14:paraId="7D09E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3F34E0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序号</w:t>
            </w: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0AB86A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服务项</w:t>
            </w:r>
          </w:p>
        </w:tc>
        <w:tc>
          <w:tcPr>
            <w:tcW w:w="7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0C8A8C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服务描述</w:t>
            </w:r>
          </w:p>
        </w:tc>
      </w:tr>
      <w:tr w14:paraId="6477B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22ABD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790875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硬件部分</w:t>
            </w:r>
          </w:p>
        </w:tc>
        <w:tc>
          <w:tcPr>
            <w:tcW w:w="7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B497EA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1、客户端PC（不包含服务器）、笔记本、复印机、打印机、扫描仪、投影仪、外设等客户端接口设备的日常维护，包括安装、调试和维护新旧设备；</w:t>
            </w:r>
          </w:p>
          <w:p w14:paraId="17EB1D0E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2、计算机、打印机、计算机外设等采购咨询；  </w:t>
            </w:r>
          </w:p>
          <w:p w14:paraId="52F1BC3B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3、提供最优的硬件升级参考方案；</w:t>
            </w:r>
          </w:p>
          <w:p w14:paraId="6FB03B72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4、提供计算机、打印机硬件及外设相关参考信息； </w:t>
            </w:r>
          </w:p>
          <w:p w14:paraId="5216CFCF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5、医院的桌面客户端PC、外设、打印机、扫描仪、投影仪、外设等的技术支持；</w:t>
            </w:r>
          </w:p>
          <w:p w14:paraId="05A85A18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6、备品备件现场安装和调试；</w:t>
            </w:r>
          </w:p>
          <w:p w14:paraId="1BE456CA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7、硬件设备的故障诊断和维修维护，包括故障零部件的更换等。</w:t>
            </w:r>
          </w:p>
        </w:tc>
      </w:tr>
      <w:tr w14:paraId="784A8B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839E55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C0EF7A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软件部分</w:t>
            </w:r>
          </w:p>
        </w:tc>
        <w:tc>
          <w:tcPr>
            <w:tcW w:w="7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305F2A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1、系统软件（指Microsoft Windows 2000//win 7/Win10/等）的安装、升级、调试、使用指导、系统恢复、系统优化、驱动程序等。</w:t>
            </w:r>
          </w:p>
          <w:p w14:paraId="39F8A80B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2、应用软件（指Microsoft office、WPS、常用工具软件、共享软件、杀毒及防毒软件等）的安装升级、调试和使用指导；</w:t>
            </w:r>
          </w:p>
          <w:p w14:paraId="1F56EDF9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3、业务软件（HIS、LIS、PACS等）的日常维护</w:t>
            </w:r>
          </w:p>
          <w:p w14:paraId="704C202B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4、客户端常用软件的安装指导和使用指导；</w:t>
            </w:r>
          </w:p>
          <w:p w14:paraId="02A2A569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5、桌面客户端PC的网络安全（指病毒检测、清除和防范；防火墙的调试及应用；网络互访建立及调试）及安全基线加固；</w:t>
            </w:r>
          </w:p>
          <w:p w14:paraId="6083754D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6、桌面客户端PC的数据备份、数据恢复；</w:t>
            </w:r>
          </w:p>
          <w:p w14:paraId="45D7C9B0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7、常用工具及多媒体软件的使用、功能及特点咨询（不包含游戏软件）；</w:t>
            </w:r>
          </w:p>
          <w:p w14:paraId="305A27B6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8、提供各种免费及共享软件的安装、升级、调试、和使用指导。</w:t>
            </w:r>
          </w:p>
          <w:p w14:paraId="58A1E528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9、虚拟桌面系统的安装调试，升级。</w:t>
            </w:r>
          </w:p>
          <w:p w14:paraId="7EA9A668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10、语雀软件使用、升级、维护</w:t>
            </w:r>
          </w:p>
        </w:tc>
      </w:tr>
      <w:tr w14:paraId="3AD47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20D3FC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</w:t>
            </w: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5D49AB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运维服务部分</w:t>
            </w:r>
          </w:p>
        </w:tc>
        <w:tc>
          <w:tcPr>
            <w:tcW w:w="7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CF6FAA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1、使用咨询：7*24小时响应用户电话咨询，进行终端设备使用指导；</w:t>
            </w:r>
          </w:p>
          <w:p w14:paraId="15F6A7D6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2、故障处理：对影响PC等终端可用性的故障或突发事件进行处置，最大化PC可用率、杜绝信息安全事件、保证PC等终端应用性能；</w:t>
            </w:r>
          </w:p>
          <w:p w14:paraId="697BCBBD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3、故障统计：每月做好当月IT运维故障统计，年终提交当年IT运维故障分析报告；配合完成临时性和本项目相关的运维技术统计和分析，并按要求出具其相应报告；</w:t>
            </w:r>
          </w:p>
          <w:p w14:paraId="322262DD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4、变更服务：</w:t>
            </w:r>
          </w:p>
          <w:p w14:paraId="359F4D98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1）完成PC等终端操作系统补丁的升级和调优工作。</w:t>
            </w:r>
          </w:p>
          <w:p w14:paraId="1B9E1E6E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2）完成IT运维平台终端数据的更新和维护。</w:t>
            </w:r>
          </w:p>
          <w:p w14:paraId="6F0D5D40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3）负责对设备的变更进行登记</w:t>
            </w:r>
          </w:p>
          <w:p w14:paraId="2DB61387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5、备品备件库：针对本项目提供完备的备件保障，一旦发生设备或部件故障，立即提供备件更换并提供现场培训；</w:t>
            </w:r>
          </w:p>
          <w:p w14:paraId="477274F4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6、培训服务：提供现场培训，PC及各终端使用的安装调试、使用和维护进行详细的讲解，通过培训使相关技术人员和使用人员能有效管理PC终端，进行维护、管理、监控，和进行日常操作维护；</w:t>
            </w:r>
          </w:p>
          <w:p w14:paraId="479FD2E0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7、配合工作：</w:t>
            </w:r>
          </w:p>
          <w:p w14:paraId="6D759D3C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1）配合完成与本项目相关的其它运维服务工作，配合信息中心完成相关上级下达的信息化任务。</w:t>
            </w:r>
          </w:p>
          <w:p w14:paraId="6919AA8A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2）配合完成各业务软件pc端的更换升级</w:t>
            </w:r>
          </w:p>
          <w:p w14:paraId="37216FBE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3）在重大节假日期间提供24小时应急响应服务。</w:t>
            </w:r>
          </w:p>
        </w:tc>
      </w:tr>
      <w:tr w14:paraId="0BEFC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E7BD05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</w:t>
            </w: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B32BAF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其它</w:t>
            </w:r>
          </w:p>
        </w:tc>
        <w:tc>
          <w:tcPr>
            <w:tcW w:w="7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488679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配合医院开展运维相关的其它工作</w:t>
            </w:r>
          </w:p>
        </w:tc>
      </w:tr>
    </w:tbl>
    <w:p w14:paraId="2FE75D4B">
      <w:pPr>
        <w:pStyle w:val="2"/>
        <w:numPr>
          <w:ilvl w:val="0"/>
          <w:numId w:val="2"/>
        </w:numPr>
        <w:spacing w:before="340" w:after="330" w:line="360" w:lineRule="auto"/>
        <w:jc w:val="both"/>
        <w:rPr>
          <w:rFonts w:ascii="宋体" w:hAnsi="宋体" w:eastAsia="宋体"/>
          <w:bCs w:val="0"/>
          <w:sz w:val="24"/>
          <w:szCs w:val="24"/>
        </w:rPr>
      </w:pPr>
      <w:r>
        <w:rPr>
          <w:rFonts w:hint="eastAsia" w:ascii="宋体" w:hAnsi="宋体" w:eastAsia="宋体"/>
          <w:bCs w:val="0"/>
          <w:sz w:val="24"/>
          <w:szCs w:val="24"/>
        </w:rPr>
        <w:t>技术要求</w:t>
      </w:r>
    </w:p>
    <w:p w14:paraId="5ABC0529">
      <w:pPr>
        <w:pStyle w:val="3"/>
        <w:keepNext w:val="0"/>
        <w:keepLines w:val="0"/>
        <w:autoSpaceDE w:val="0"/>
        <w:autoSpaceDN w:val="0"/>
        <w:adjustRightInd w:val="0"/>
        <w:spacing w:before="0" w:after="0" w:line="360" w:lineRule="auto"/>
        <w:rPr>
          <w:rFonts w:ascii="宋体" w:hAnsi="宋体" w:eastAsia="宋体"/>
          <w:bCs w:val="0"/>
          <w:sz w:val="24"/>
          <w:szCs w:val="24"/>
        </w:rPr>
      </w:pPr>
      <w:bookmarkStart w:id="2" w:name="_Toc317606586"/>
      <w:r>
        <w:rPr>
          <w:rFonts w:hint="eastAsia" w:ascii="宋体" w:hAnsi="宋体" w:eastAsia="宋体"/>
          <w:bCs w:val="0"/>
          <w:sz w:val="24"/>
          <w:szCs w:val="24"/>
        </w:rPr>
        <w:t>4.1 运维服务描述</w:t>
      </w:r>
      <w:bookmarkEnd w:id="2"/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8"/>
        <w:gridCol w:w="6535"/>
      </w:tblGrid>
      <w:tr w14:paraId="6AFFE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466126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序号</w:t>
            </w:r>
          </w:p>
        </w:tc>
        <w:tc>
          <w:tcPr>
            <w:tcW w:w="7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9265CC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服务项</w:t>
            </w:r>
          </w:p>
        </w:tc>
        <w:tc>
          <w:tcPr>
            <w:tcW w:w="3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AA8348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服务响应时限和服务周期要求</w:t>
            </w:r>
          </w:p>
        </w:tc>
      </w:tr>
      <w:tr w14:paraId="2E410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E44A8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75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F6F0F6E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运维管理相关规定</w:t>
            </w:r>
          </w:p>
        </w:tc>
        <w:tc>
          <w:tcPr>
            <w:tcW w:w="3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85273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提供</w:t>
            </w:r>
            <w:r>
              <w:rPr>
                <w:rFonts w:ascii="宋体" w:hAnsi="宋体"/>
                <w:szCs w:val="21"/>
              </w:rPr>
              <w:t>24</w:t>
            </w:r>
            <w:r>
              <w:rPr>
                <w:rFonts w:hint="eastAsia" w:ascii="宋体" w:hAnsi="宋体"/>
                <w:szCs w:val="21"/>
              </w:rPr>
              <w:t>×</w:t>
            </w:r>
            <w:r>
              <w:rPr>
                <w:rFonts w:ascii="宋体" w:hAnsi="宋体"/>
                <w:szCs w:val="21"/>
              </w:rPr>
              <w:t>7</w:t>
            </w:r>
            <w:r>
              <w:rPr>
                <w:rFonts w:hint="eastAsia" w:ascii="宋体" w:hAnsi="宋体"/>
                <w:szCs w:val="21"/>
              </w:rPr>
              <w:t>小时技术支持服务，发现故障后要求投标方2小时内解决问题或予以情况说明。</w:t>
            </w:r>
          </w:p>
        </w:tc>
      </w:tr>
      <w:tr w14:paraId="2E938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1A13F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750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EC7A967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0CF59C">
            <w:pPr>
              <w:spacing w:line="360" w:lineRule="auto"/>
              <w:jc w:val="left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须维护完成后须经用户确认问题已解决</w:t>
            </w:r>
          </w:p>
        </w:tc>
      </w:tr>
      <w:tr w14:paraId="1239E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51343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75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F4BC5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485C36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提供日常维护电话，及时的登记维护记录，便于客户回访和维护效果的跟踪，保障用户利益</w:t>
            </w:r>
          </w:p>
        </w:tc>
      </w:tr>
      <w:tr w14:paraId="2B272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7B9FD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</w:p>
        </w:tc>
        <w:tc>
          <w:tcPr>
            <w:tcW w:w="7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991AA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及时反馈机制</w:t>
            </w:r>
          </w:p>
        </w:tc>
        <w:tc>
          <w:tcPr>
            <w:tcW w:w="3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996531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）当天解决的问题，解决后及时反馈。</w:t>
            </w:r>
          </w:p>
          <w:p w14:paraId="4D907F4E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</w:rPr>
              <w:t>）不能处理的技术问题，反馈到招标方运维管理部门。</w:t>
            </w:r>
          </w:p>
          <w:p w14:paraId="779479E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ascii="宋体" w:hAnsi="宋体"/>
                <w:szCs w:val="21"/>
              </w:rPr>
              <w:t>3</w:t>
            </w:r>
            <w:r>
              <w:rPr>
                <w:rFonts w:hint="eastAsia" w:ascii="宋体" w:hAnsi="宋体"/>
                <w:szCs w:val="21"/>
              </w:rPr>
              <w:t>）对于用户的问题当日没有真正解决的，当天需回复用户说明情况。</w:t>
            </w:r>
          </w:p>
        </w:tc>
      </w:tr>
      <w:tr w14:paraId="39F5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AFD8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7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010B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回访机制</w:t>
            </w:r>
          </w:p>
        </w:tc>
        <w:tc>
          <w:tcPr>
            <w:tcW w:w="3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EC7125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）对维护的情况，投标方须进行回访，回访内容包含服务质量、服务态度、响应时间、用户满意度等。</w:t>
            </w:r>
          </w:p>
          <w:p w14:paraId="2EF9EA2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</w:rPr>
              <w:t>）对存在的问题和困难反馈到甲方，并进行整改。</w:t>
            </w:r>
          </w:p>
        </w:tc>
      </w:tr>
    </w:tbl>
    <w:p w14:paraId="5D676E37">
      <w:pPr>
        <w:spacing w:line="360" w:lineRule="auto"/>
        <w:rPr>
          <w:rFonts w:ascii="宋体" w:hAnsi="宋体"/>
          <w:szCs w:val="21"/>
        </w:rPr>
      </w:pPr>
    </w:p>
    <w:p w14:paraId="25C8A7C9">
      <w:pPr>
        <w:pStyle w:val="3"/>
        <w:keepNext w:val="0"/>
        <w:keepLines w:val="0"/>
        <w:autoSpaceDE w:val="0"/>
        <w:autoSpaceDN w:val="0"/>
        <w:adjustRightInd w:val="0"/>
        <w:spacing w:before="0" w:after="0" w:line="360" w:lineRule="auto"/>
        <w:rPr>
          <w:rFonts w:ascii="宋体" w:hAnsi="宋体" w:eastAsia="宋体"/>
          <w:bCs w:val="0"/>
          <w:sz w:val="24"/>
          <w:szCs w:val="24"/>
        </w:rPr>
      </w:pPr>
      <w:bookmarkStart w:id="3" w:name="_Toc317606587"/>
      <w:r>
        <w:rPr>
          <w:rFonts w:hint="eastAsia" w:ascii="宋体" w:hAnsi="宋体" w:eastAsia="宋体"/>
          <w:bCs w:val="0"/>
          <w:sz w:val="24"/>
          <w:szCs w:val="24"/>
        </w:rPr>
        <w:t>4.2 运维服务响应时限和服务周期要求</w:t>
      </w:r>
      <w:bookmarkEnd w:id="3"/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8"/>
        <w:gridCol w:w="6535"/>
      </w:tblGrid>
      <w:tr w14:paraId="0DEC4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944FA0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序号</w:t>
            </w:r>
          </w:p>
        </w:tc>
        <w:tc>
          <w:tcPr>
            <w:tcW w:w="7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22484E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服务项</w:t>
            </w:r>
          </w:p>
        </w:tc>
        <w:tc>
          <w:tcPr>
            <w:tcW w:w="3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9A4609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服务响应时限和服务周期要求</w:t>
            </w:r>
          </w:p>
        </w:tc>
      </w:tr>
      <w:tr w14:paraId="74FCC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13BBC7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7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102D2D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咨询服务</w:t>
            </w:r>
          </w:p>
        </w:tc>
        <w:tc>
          <w:tcPr>
            <w:tcW w:w="3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9905A9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）提供</w:t>
            </w:r>
            <w:r>
              <w:rPr>
                <w:rFonts w:ascii="宋体" w:hAnsi="宋体"/>
                <w:szCs w:val="21"/>
              </w:rPr>
              <w:t>7</w:t>
            </w:r>
            <w:r>
              <w:rPr>
                <w:rFonts w:hint="eastAsia" w:ascii="宋体" w:hAnsi="宋体"/>
                <w:szCs w:val="21"/>
              </w:rPr>
              <w:t>×</w:t>
            </w:r>
            <w:r>
              <w:rPr>
                <w:rFonts w:ascii="宋体" w:hAnsi="宋体"/>
                <w:szCs w:val="21"/>
              </w:rPr>
              <w:t>24</w:t>
            </w:r>
            <w:r>
              <w:rPr>
                <w:rFonts w:hint="eastAsia" w:ascii="宋体" w:hAnsi="宋体"/>
                <w:szCs w:val="21"/>
              </w:rPr>
              <w:t>小时服务</w:t>
            </w:r>
          </w:p>
          <w:p w14:paraId="593F33BB">
            <w:pPr>
              <w:spacing w:line="360" w:lineRule="auto"/>
              <w:jc w:val="left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</w:rPr>
              <w:t>）1小时内响应</w:t>
            </w:r>
          </w:p>
        </w:tc>
      </w:tr>
      <w:tr w14:paraId="7D3FD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17577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7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C461D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设备巡检</w:t>
            </w:r>
          </w:p>
        </w:tc>
        <w:tc>
          <w:tcPr>
            <w:tcW w:w="3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4417C4">
            <w:pPr>
              <w:spacing w:line="360" w:lineRule="auto"/>
              <w:jc w:val="left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重大节假日前进行总院及各分院设备维护。</w:t>
            </w:r>
          </w:p>
        </w:tc>
      </w:tr>
      <w:tr w14:paraId="40689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426B47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75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0566A72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故障处理</w:t>
            </w:r>
          </w:p>
        </w:tc>
        <w:tc>
          <w:tcPr>
            <w:tcW w:w="383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6C64ADE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1）</w:t>
            </w:r>
            <w:r>
              <w:rPr>
                <w:rFonts w:hint="eastAsia" w:ascii="宋体" w:hAnsi="宋体"/>
                <w:snapToGrid w:val="0"/>
                <w:kern w:val="28"/>
                <w:szCs w:val="21"/>
              </w:rPr>
              <w:t>要求投标方提供灵活、多样的通信联系手段，明确联系电话和联系人姓名，并且提供7×24小时的电话受理服务。</w:t>
            </w:r>
          </w:p>
        </w:tc>
      </w:tr>
      <w:tr w14:paraId="58D50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904FA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</w:p>
        </w:tc>
        <w:tc>
          <w:tcPr>
            <w:tcW w:w="7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953E2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配合工作</w:t>
            </w:r>
          </w:p>
        </w:tc>
        <w:tc>
          <w:tcPr>
            <w:tcW w:w="3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A89D3A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按招标方实际要求配合完成其它类型的运维工作，如设备搬迁等</w:t>
            </w:r>
          </w:p>
        </w:tc>
      </w:tr>
    </w:tbl>
    <w:p w14:paraId="36E66F6E">
      <w:pPr>
        <w:pStyle w:val="3"/>
        <w:keepNext w:val="0"/>
        <w:keepLines w:val="0"/>
        <w:autoSpaceDE w:val="0"/>
        <w:autoSpaceDN w:val="0"/>
        <w:adjustRightInd w:val="0"/>
        <w:spacing w:before="0" w:after="0" w:line="360" w:lineRule="auto"/>
        <w:rPr>
          <w:rFonts w:ascii="宋体" w:hAnsi="宋体" w:eastAsia="宋体"/>
          <w:bCs w:val="0"/>
          <w:sz w:val="24"/>
          <w:szCs w:val="24"/>
        </w:rPr>
      </w:pPr>
      <w:bookmarkStart w:id="4" w:name="_Toc317606588"/>
    </w:p>
    <w:p w14:paraId="16FBA5B9">
      <w:pPr>
        <w:pStyle w:val="3"/>
        <w:keepNext w:val="0"/>
        <w:keepLines w:val="0"/>
        <w:autoSpaceDE w:val="0"/>
        <w:autoSpaceDN w:val="0"/>
        <w:adjustRightInd w:val="0"/>
        <w:spacing w:before="0" w:after="0" w:line="360" w:lineRule="auto"/>
        <w:rPr>
          <w:rFonts w:ascii="宋体" w:hAnsi="宋体" w:eastAsia="宋体"/>
          <w:bCs w:val="0"/>
          <w:sz w:val="24"/>
          <w:szCs w:val="24"/>
        </w:rPr>
      </w:pPr>
      <w:r>
        <w:rPr>
          <w:rFonts w:hint="eastAsia" w:ascii="宋体" w:hAnsi="宋体" w:eastAsia="宋体"/>
          <w:bCs w:val="0"/>
          <w:sz w:val="24"/>
          <w:szCs w:val="24"/>
        </w:rPr>
        <w:t>4.3 运维服务交付物要求</w:t>
      </w:r>
      <w:bookmarkEnd w:id="4"/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1277"/>
        <w:gridCol w:w="3267"/>
        <w:gridCol w:w="3267"/>
      </w:tblGrid>
      <w:tr w14:paraId="3CD46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0332A1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序号</w:t>
            </w:r>
          </w:p>
        </w:tc>
        <w:tc>
          <w:tcPr>
            <w:tcW w:w="7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952B60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服务项</w:t>
            </w:r>
          </w:p>
        </w:tc>
        <w:tc>
          <w:tcPr>
            <w:tcW w:w="19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1612A5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交付物</w:t>
            </w:r>
          </w:p>
        </w:tc>
        <w:tc>
          <w:tcPr>
            <w:tcW w:w="19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4F73B4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交付时间</w:t>
            </w:r>
          </w:p>
        </w:tc>
      </w:tr>
      <w:tr w14:paraId="201FF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0BEF9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74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76F9A8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系统巡检</w:t>
            </w:r>
          </w:p>
        </w:tc>
        <w:tc>
          <w:tcPr>
            <w:tcW w:w="19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A45C0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《系统巡检指南》</w:t>
            </w:r>
          </w:p>
        </w:tc>
        <w:tc>
          <w:tcPr>
            <w:tcW w:w="19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78F14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签订合同后</w:t>
            </w:r>
            <w:r>
              <w:rPr>
                <w:rFonts w:ascii="宋体" w:hAnsi="宋体"/>
                <w:szCs w:val="21"/>
              </w:rPr>
              <w:t>20</w:t>
            </w:r>
            <w:r>
              <w:rPr>
                <w:rFonts w:hint="eastAsia" w:ascii="宋体" w:hAnsi="宋体"/>
                <w:szCs w:val="21"/>
              </w:rPr>
              <w:t>个工作日</w:t>
            </w:r>
          </w:p>
        </w:tc>
      </w:tr>
      <w:tr w14:paraId="44924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D2BDAF">
            <w:pPr>
              <w:widowControl/>
              <w:spacing w:line="360" w:lineRule="auto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4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C78AB4">
            <w:pPr>
              <w:widowControl/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F93A73">
            <w:pPr>
              <w:spacing w:line="360" w:lineRule="auto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巡检报告</w:t>
            </w:r>
          </w:p>
        </w:tc>
        <w:tc>
          <w:tcPr>
            <w:tcW w:w="19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C8F4E4">
            <w:pPr>
              <w:spacing w:line="360" w:lineRule="auto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巡检结束后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个工作日</w:t>
            </w:r>
          </w:p>
        </w:tc>
      </w:tr>
      <w:tr w14:paraId="3E19A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59E55E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7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594741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使用咨询</w:t>
            </w:r>
          </w:p>
        </w:tc>
        <w:tc>
          <w:tcPr>
            <w:tcW w:w="19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CF365A">
            <w:pPr>
              <w:spacing w:line="360" w:lineRule="auto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工单记录</w:t>
            </w:r>
          </w:p>
        </w:tc>
        <w:tc>
          <w:tcPr>
            <w:tcW w:w="19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7D86F1">
            <w:pPr>
              <w:spacing w:line="360" w:lineRule="auto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每月</w:t>
            </w:r>
          </w:p>
        </w:tc>
      </w:tr>
      <w:tr w14:paraId="49CB2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B1D437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7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4FE94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事件处理</w:t>
            </w:r>
          </w:p>
        </w:tc>
        <w:tc>
          <w:tcPr>
            <w:tcW w:w="19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7A3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重大事件处理报告或记录</w:t>
            </w:r>
          </w:p>
        </w:tc>
        <w:tc>
          <w:tcPr>
            <w:tcW w:w="19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FC24E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事件处理完成后3个工作日</w:t>
            </w:r>
          </w:p>
        </w:tc>
      </w:tr>
      <w:tr w14:paraId="0BFD7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C841D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</w:p>
        </w:tc>
        <w:tc>
          <w:tcPr>
            <w:tcW w:w="7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4AB9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配件变更</w:t>
            </w:r>
          </w:p>
        </w:tc>
        <w:tc>
          <w:tcPr>
            <w:tcW w:w="19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B3791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维修配件变更记录</w:t>
            </w:r>
          </w:p>
        </w:tc>
        <w:tc>
          <w:tcPr>
            <w:tcW w:w="19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27A2D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配置变更完成后3个工作日</w:t>
            </w:r>
          </w:p>
        </w:tc>
      </w:tr>
      <w:tr w14:paraId="492A2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84378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7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81C4B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配合工作</w:t>
            </w:r>
          </w:p>
        </w:tc>
        <w:tc>
          <w:tcPr>
            <w:tcW w:w="19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E91C6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按招标方实际要求</w:t>
            </w:r>
          </w:p>
        </w:tc>
        <w:tc>
          <w:tcPr>
            <w:tcW w:w="19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4C86FE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按招标方实际要求</w:t>
            </w:r>
          </w:p>
        </w:tc>
      </w:tr>
      <w:tr w14:paraId="6C9F0A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7CE12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bookmarkStart w:id="5" w:name="_Toc317606589"/>
            <w:r>
              <w:rPr>
                <w:rFonts w:hint="eastAsia" w:ascii="宋体" w:hAnsi="宋体"/>
                <w:szCs w:val="21"/>
              </w:rPr>
              <w:t>6</w:t>
            </w:r>
          </w:p>
        </w:tc>
        <w:tc>
          <w:tcPr>
            <w:tcW w:w="7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BD4DD5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编制报表</w:t>
            </w:r>
          </w:p>
        </w:tc>
        <w:tc>
          <w:tcPr>
            <w:tcW w:w="19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F728E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投标方必须按照招标方要求，按时编制运维报表。</w:t>
            </w:r>
          </w:p>
        </w:tc>
        <w:tc>
          <w:tcPr>
            <w:tcW w:w="19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E7D87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月报、年报</w:t>
            </w:r>
          </w:p>
        </w:tc>
      </w:tr>
    </w:tbl>
    <w:p w14:paraId="4B6B0A19">
      <w:pPr>
        <w:rPr>
          <w:rFonts w:ascii="宋体" w:hAnsi="宋体"/>
          <w:b/>
          <w:sz w:val="24"/>
          <w:szCs w:val="24"/>
        </w:rPr>
      </w:pPr>
    </w:p>
    <w:p w14:paraId="58C5877C">
      <w:pPr>
        <w:pStyle w:val="3"/>
        <w:keepNext w:val="0"/>
        <w:keepLines w:val="0"/>
        <w:autoSpaceDE w:val="0"/>
        <w:autoSpaceDN w:val="0"/>
        <w:adjustRightInd w:val="0"/>
        <w:spacing w:before="0" w:after="0" w:line="360" w:lineRule="auto"/>
        <w:rPr>
          <w:rFonts w:ascii="宋体" w:hAnsi="宋体" w:eastAsia="宋体"/>
          <w:bCs w:val="0"/>
          <w:sz w:val="24"/>
          <w:szCs w:val="24"/>
        </w:rPr>
      </w:pPr>
      <w:r>
        <w:rPr>
          <w:rFonts w:hint="eastAsia" w:ascii="宋体" w:hAnsi="宋体" w:eastAsia="宋体"/>
          <w:bCs w:val="0"/>
          <w:sz w:val="24"/>
          <w:szCs w:val="24"/>
        </w:rPr>
        <w:t>4.4 运维服务质量要求</w:t>
      </w:r>
      <w:bookmarkEnd w:id="5"/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1278"/>
        <w:gridCol w:w="6533"/>
      </w:tblGrid>
      <w:tr w14:paraId="2B946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485576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序号</w:t>
            </w:r>
          </w:p>
        </w:tc>
        <w:tc>
          <w:tcPr>
            <w:tcW w:w="7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03B9D9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服务项</w:t>
            </w:r>
          </w:p>
        </w:tc>
        <w:tc>
          <w:tcPr>
            <w:tcW w:w="38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ED35D5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服务响应时限和服务周期要求</w:t>
            </w:r>
          </w:p>
        </w:tc>
      </w:tr>
      <w:tr w14:paraId="47DEC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83EA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75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ADF8D3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运维服务质量要求</w:t>
            </w:r>
          </w:p>
        </w:tc>
        <w:tc>
          <w:tcPr>
            <w:tcW w:w="38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07E61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保障运维期间每套</w:t>
            </w:r>
            <w:r>
              <w:rPr>
                <w:rFonts w:hint="eastAsia" w:ascii="宋体" w:hAnsi="宋体"/>
                <w:szCs w:val="21"/>
              </w:rPr>
              <w:t>终端设备</w:t>
            </w:r>
            <w:r>
              <w:rPr>
                <w:rFonts w:ascii="宋体" w:hAnsi="宋体"/>
                <w:szCs w:val="21"/>
              </w:rPr>
              <w:t>运行稳定，不因为运维工作不规范、不及时、不到位或者工作失误导致系统长时间停机或不可用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或导致系统数据、应用数据和配置信息丢失。</w:t>
            </w:r>
          </w:p>
        </w:tc>
      </w:tr>
      <w:tr w14:paraId="67E1D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29AB1">
            <w:pPr>
              <w:widowControl/>
              <w:spacing w:line="360" w:lineRule="auto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50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24A21A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8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7F368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保障运维期间</w:t>
            </w:r>
            <w:r>
              <w:rPr>
                <w:rFonts w:hint="eastAsia" w:ascii="宋体" w:hAnsi="宋体"/>
                <w:szCs w:val="21"/>
              </w:rPr>
              <w:t>终端设备</w:t>
            </w:r>
            <w:r>
              <w:rPr>
                <w:rFonts w:ascii="宋体" w:hAnsi="宋体"/>
                <w:szCs w:val="21"/>
              </w:rPr>
              <w:t>运行安全，不因为运维工作不规范、不及时、不到位或者工作失误，</w:t>
            </w:r>
            <w:r>
              <w:rPr>
                <w:rFonts w:hint="eastAsia" w:ascii="宋体" w:hAnsi="宋体"/>
                <w:szCs w:val="21"/>
              </w:rPr>
              <w:t>造成严重负面影响。</w:t>
            </w:r>
          </w:p>
        </w:tc>
      </w:tr>
      <w:tr w14:paraId="05F0B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C49175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750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2BDD189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8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625DC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不因运维工作不规范、不及时、不到位或工作失误以及工作态度问题导致</w:t>
            </w:r>
            <w:r>
              <w:rPr>
                <w:rFonts w:hint="eastAsia" w:ascii="宋体" w:hAnsi="宋体"/>
                <w:szCs w:val="21"/>
              </w:rPr>
              <w:t>紧急事件或高优先级事件处理及时率、</w:t>
            </w:r>
            <w:r>
              <w:rPr>
                <w:rFonts w:ascii="宋体" w:hAnsi="宋体"/>
                <w:szCs w:val="21"/>
              </w:rPr>
              <w:t>用户服务满意度低于95%。</w:t>
            </w:r>
          </w:p>
        </w:tc>
      </w:tr>
      <w:tr w14:paraId="4435E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0DB2F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750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786B515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8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854694">
            <w:pPr>
              <w:spacing w:line="360" w:lineRule="auto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严格遵循</w:t>
            </w:r>
            <w:r>
              <w:rPr>
                <w:rFonts w:hint="eastAsia" w:ascii="宋体" w:hAnsi="宋体"/>
                <w:szCs w:val="21"/>
              </w:rPr>
              <w:t>医院信息中心</w:t>
            </w:r>
            <w:r>
              <w:rPr>
                <w:rFonts w:ascii="宋体" w:hAnsi="宋体"/>
                <w:szCs w:val="21"/>
              </w:rPr>
              <w:t>运维管理相关规定开展工作，杜绝运维工作违规事件，包括：遵守运维服务时限和服务周期规定，遵循运维流程规定，及时填写各种运维表单和记录，及时提交相关运维资料，按时参加各种运维工作会议。</w:t>
            </w:r>
          </w:p>
        </w:tc>
      </w:tr>
    </w:tbl>
    <w:p w14:paraId="34E49F24">
      <w:pPr>
        <w:spacing w:line="360" w:lineRule="auto"/>
        <w:rPr>
          <w:rFonts w:ascii="宋体" w:hAnsi="宋体"/>
          <w:szCs w:val="21"/>
        </w:rPr>
      </w:pPr>
    </w:p>
    <w:p w14:paraId="4E1B9A25">
      <w:pPr>
        <w:pStyle w:val="3"/>
        <w:keepNext w:val="0"/>
        <w:keepLines w:val="0"/>
        <w:autoSpaceDE w:val="0"/>
        <w:autoSpaceDN w:val="0"/>
        <w:adjustRightInd w:val="0"/>
        <w:spacing w:before="0" w:after="0" w:line="360" w:lineRule="auto"/>
        <w:rPr>
          <w:rFonts w:ascii="宋体" w:hAnsi="宋体" w:eastAsia="宋体"/>
          <w:bCs w:val="0"/>
          <w:sz w:val="24"/>
          <w:szCs w:val="24"/>
        </w:rPr>
      </w:pPr>
      <w:bookmarkStart w:id="6" w:name="_Toc317606590"/>
      <w:r>
        <w:rPr>
          <w:rFonts w:hint="eastAsia" w:ascii="宋体" w:hAnsi="宋体" w:eastAsia="宋体"/>
          <w:bCs w:val="0"/>
          <w:sz w:val="24"/>
          <w:szCs w:val="24"/>
        </w:rPr>
        <w:t>4.</w:t>
      </w:r>
      <w:r>
        <w:rPr>
          <w:rFonts w:hint="eastAsia" w:ascii="宋体" w:hAnsi="宋体" w:eastAsia="宋体"/>
          <w:bCs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/>
          <w:bCs w:val="0"/>
          <w:sz w:val="24"/>
          <w:szCs w:val="24"/>
        </w:rPr>
        <w:t xml:space="preserve"> 项目实施要求</w:t>
      </w:r>
      <w:bookmarkEnd w:id="6"/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8"/>
        <w:gridCol w:w="6535"/>
      </w:tblGrid>
      <w:tr w14:paraId="32401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8DB989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序号</w:t>
            </w:r>
          </w:p>
        </w:tc>
        <w:tc>
          <w:tcPr>
            <w:tcW w:w="7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2EB74A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服务项</w:t>
            </w:r>
          </w:p>
        </w:tc>
        <w:tc>
          <w:tcPr>
            <w:tcW w:w="3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60EAE6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服务响应时限和服务周期要求</w:t>
            </w:r>
          </w:p>
        </w:tc>
      </w:tr>
      <w:tr w14:paraId="0E19D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D75D24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7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5F619C">
            <w:pPr>
              <w:pStyle w:val="3"/>
              <w:keepNext w:val="0"/>
              <w:keepLines w:val="0"/>
              <w:autoSpaceDE w:val="0"/>
              <w:autoSpaceDN w:val="0"/>
              <w:adjustRightInd w:val="0"/>
              <w:spacing w:before="0" w:after="0" w:line="360" w:lineRule="auto"/>
              <w:rPr>
                <w:rFonts w:ascii="宋体" w:hAnsi="宋体" w:eastAsia="宋体"/>
                <w:b w:val="0"/>
                <w:sz w:val="21"/>
                <w:szCs w:val="21"/>
              </w:rPr>
            </w:pPr>
            <w:bookmarkStart w:id="7" w:name="_Toc317606591"/>
            <w:r>
              <w:rPr>
                <w:rFonts w:hint="eastAsia" w:ascii="宋体" w:hAnsi="宋体" w:eastAsia="宋体"/>
                <w:b w:val="0"/>
                <w:sz w:val="21"/>
                <w:szCs w:val="21"/>
              </w:rPr>
              <w:t>人员要求</w:t>
            </w:r>
            <w:bookmarkEnd w:id="7"/>
          </w:p>
          <w:p w14:paraId="445CE8F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7033C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1）</w:t>
            </w:r>
            <w:r>
              <w:rPr>
                <w:rFonts w:hint="eastAsia" w:ascii="宋体" w:hAnsi="宋体"/>
                <w:szCs w:val="21"/>
              </w:rPr>
              <w:t>投标方</w:t>
            </w:r>
            <w:r>
              <w:rPr>
                <w:rFonts w:ascii="宋体" w:hAnsi="宋体"/>
                <w:szCs w:val="21"/>
              </w:rPr>
              <w:t>须根据本项目要求，提供项目组组成方案，包括项目成员数量、资质、组织。其中项目组成员不得少于</w:t>
            </w:r>
            <w:r>
              <w:rPr>
                <w:rFonts w:hint="eastAsia" w:ascii="宋体" w:hAnsi="宋体"/>
                <w:szCs w:val="21"/>
              </w:rPr>
              <w:t>6</w:t>
            </w:r>
            <w:r>
              <w:rPr>
                <w:rFonts w:ascii="宋体" w:hAnsi="宋体"/>
                <w:szCs w:val="21"/>
              </w:rPr>
              <w:t>人；项目经理必须具备</w:t>
            </w:r>
            <w:r>
              <w:rPr>
                <w:rFonts w:hint="eastAsia" w:ascii="宋体" w:hAnsi="宋体"/>
                <w:szCs w:val="21"/>
              </w:rPr>
              <w:t>大专</w:t>
            </w:r>
            <w:r>
              <w:rPr>
                <w:rFonts w:ascii="宋体" w:hAnsi="宋体"/>
                <w:szCs w:val="21"/>
              </w:rPr>
              <w:t>及以上学历，3年</w:t>
            </w:r>
            <w:r>
              <w:rPr>
                <w:rFonts w:hint="eastAsia" w:ascii="宋体" w:hAnsi="宋体"/>
                <w:szCs w:val="21"/>
              </w:rPr>
              <w:t>终端</w:t>
            </w:r>
            <w:r>
              <w:rPr>
                <w:rFonts w:ascii="宋体" w:hAnsi="宋体"/>
                <w:szCs w:val="21"/>
              </w:rPr>
              <w:t>运维经验；</w:t>
            </w:r>
            <w:r>
              <w:rPr>
                <w:rFonts w:hint="eastAsia" w:ascii="宋体" w:hAnsi="宋体"/>
                <w:szCs w:val="21"/>
              </w:rPr>
              <w:t>8</w:t>
            </w:r>
            <w:r>
              <w:rPr>
                <w:rFonts w:ascii="宋体" w:hAnsi="宋体"/>
                <w:szCs w:val="21"/>
              </w:rPr>
              <w:t>0%项目成员必须具备</w:t>
            </w:r>
            <w:r>
              <w:rPr>
                <w:rFonts w:hint="eastAsia" w:ascii="宋体" w:hAnsi="宋体"/>
                <w:szCs w:val="21"/>
              </w:rPr>
              <w:t>大专</w:t>
            </w:r>
            <w:r>
              <w:rPr>
                <w:rFonts w:ascii="宋体" w:hAnsi="宋体"/>
                <w:szCs w:val="21"/>
              </w:rPr>
              <w:t>及以上</w:t>
            </w:r>
            <w:r>
              <w:rPr>
                <w:rFonts w:ascii="宋体" w:hAnsi="宋体"/>
                <w:color w:val="auto"/>
                <w:szCs w:val="21"/>
              </w:rPr>
              <w:t>学历，2年以上</w:t>
            </w:r>
            <w:r>
              <w:rPr>
                <w:rFonts w:hint="eastAsia" w:ascii="宋体" w:hAnsi="宋体"/>
                <w:color w:val="auto"/>
                <w:szCs w:val="21"/>
              </w:rPr>
              <w:t>终端</w:t>
            </w:r>
            <w:r>
              <w:rPr>
                <w:rFonts w:ascii="宋体" w:hAnsi="宋体"/>
                <w:color w:val="auto"/>
                <w:szCs w:val="21"/>
              </w:rPr>
              <w:t>运维经验</w:t>
            </w:r>
            <w:r>
              <w:rPr>
                <w:rFonts w:hint="eastAsia" w:ascii="宋体" w:hAnsi="宋体"/>
                <w:color w:val="auto"/>
                <w:szCs w:val="21"/>
              </w:rPr>
              <w:t>，</w:t>
            </w:r>
            <w:r>
              <w:rPr>
                <w:rFonts w:ascii="宋体" w:hAnsi="宋体"/>
                <w:color w:val="auto"/>
                <w:szCs w:val="21"/>
              </w:rPr>
              <w:t>项目成员</w:t>
            </w:r>
            <w:r>
              <w:rPr>
                <w:rFonts w:hint="eastAsia" w:ascii="宋体" w:hAnsi="宋体"/>
                <w:color w:val="auto"/>
                <w:szCs w:val="21"/>
              </w:rPr>
              <w:t>2-3人</w:t>
            </w:r>
            <w:r>
              <w:rPr>
                <w:rFonts w:ascii="宋体" w:hAnsi="宋体"/>
                <w:color w:val="auto"/>
                <w:szCs w:val="21"/>
              </w:rPr>
              <w:t>必须</w:t>
            </w:r>
            <w:r>
              <w:rPr>
                <w:rFonts w:hint="eastAsia" w:ascii="宋体" w:hAnsi="宋体"/>
                <w:color w:val="auto"/>
                <w:szCs w:val="21"/>
              </w:rPr>
              <w:t>是</w:t>
            </w:r>
            <w:r>
              <w:rPr>
                <w:rFonts w:hint="eastAsia" w:ascii="宋体" w:hAnsi="宋体" w:cs="宋体"/>
                <w:color w:val="auto"/>
                <w:szCs w:val="21"/>
              </w:rPr>
              <w:t>具有IT运维工程师资质的服务人员</w:t>
            </w:r>
            <w:r>
              <w:rPr>
                <w:rFonts w:ascii="宋体" w:hAnsi="宋体"/>
                <w:color w:val="auto"/>
                <w:szCs w:val="21"/>
              </w:rPr>
              <w:t>。</w:t>
            </w:r>
          </w:p>
          <w:p w14:paraId="4E6511B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2）项目组成员必须在</w:t>
            </w: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ascii="宋体" w:hAnsi="宋体"/>
                <w:szCs w:val="21"/>
              </w:rPr>
              <w:t>方现场办公，</w:t>
            </w:r>
            <w:r>
              <w:rPr>
                <w:rFonts w:hint="eastAsia" w:ascii="宋体" w:hAnsi="宋体"/>
                <w:szCs w:val="21"/>
              </w:rPr>
              <w:t>统一工装、工具包，佩戴工作证。</w:t>
            </w:r>
            <w:r>
              <w:rPr>
                <w:rFonts w:ascii="宋体" w:hAnsi="宋体"/>
                <w:szCs w:val="21"/>
              </w:rPr>
              <w:t>现场办公人数及时间以投标报价中的“现场工作人数”和“现场工作时间”为准。项目组必须在本项目合同签订后5个工作日内入场工作</w:t>
            </w:r>
            <w:r>
              <w:rPr>
                <w:rFonts w:hint="eastAsia" w:ascii="宋体" w:hAnsi="宋体"/>
                <w:szCs w:val="21"/>
              </w:rPr>
              <w:t>，至少6人5×8小时现场办公</w:t>
            </w:r>
            <w:r>
              <w:rPr>
                <w:rFonts w:ascii="宋体" w:hAnsi="宋体"/>
                <w:szCs w:val="21"/>
              </w:rPr>
              <w:t>。</w:t>
            </w:r>
          </w:p>
          <w:p w14:paraId="5B30E61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3）项目组成员更换必须以书面形式向</w:t>
            </w: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ascii="宋体" w:hAnsi="宋体"/>
                <w:szCs w:val="21"/>
              </w:rPr>
              <w:t>方提出申请，通过审批后方可更换。</w:t>
            </w:r>
          </w:p>
          <w:p w14:paraId="0655DE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4）项目组成员必须遵守</w:t>
            </w: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ascii="宋体" w:hAnsi="宋体"/>
                <w:szCs w:val="21"/>
              </w:rPr>
              <w:t>方现场工作纪律规定，遵守《</w:t>
            </w:r>
            <w:r>
              <w:rPr>
                <w:rFonts w:hint="eastAsia" w:ascii="宋体" w:hAnsi="宋体"/>
                <w:szCs w:val="21"/>
              </w:rPr>
              <w:t>武汉市第一医院信息中心管理规定</w:t>
            </w:r>
            <w:r>
              <w:rPr>
                <w:rFonts w:ascii="宋体" w:hAnsi="宋体"/>
                <w:szCs w:val="21"/>
              </w:rPr>
              <w:t>》等现场工作管理规定。</w:t>
            </w:r>
          </w:p>
          <w:p w14:paraId="23C31ABD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5）投标方需安排专人在医院信息中心进行夜间值班。</w:t>
            </w:r>
          </w:p>
        </w:tc>
      </w:tr>
      <w:tr w14:paraId="555B7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7993B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7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6837E5">
            <w:pPr>
              <w:pStyle w:val="3"/>
              <w:keepNext w:val="0"/>
              <w:keepLines w:val="0"/>
              <w:autoSpaceDE w:val="0"/>
              <w:autoSpaceDN w:val="0"/>
              <w:adjustRightInd w:val="0"/>
              <w:spacing w:before="0" w:after="0" w:line="360" w:lineRule="auto"/>
              <w:rPr>
                <w:rFonts w:ascii="宋体" w:hAnsi="宋体" w:eastAsia="宋体"/>
                <w:b w:val="0"/>
                <w:bCs w:val="0"/>
                <w:sz w:val="21"/>
                <w:szCs w:val="21"/>
              </w:rPr>
            </w:pPr>
            <w:bookmarkStart w:id="8" w:name="_Toc317606592"/>
            <w:r>
              <w:rPr>
                <w:rFonts w:hint="eastAsia" w:ascii="宋体" w:hAnsi="宋体" w:eastAsia="宋体"/>
                <w:b w:val="0"/>
                <w:sz w:val="21"/>
                <w:szCs w:val="21"/>
              </w:rPr>
              <w:t>工作规范要求</w:t>
            </w:r>
            <w:bookmarkEnd w:id="8"/>
          </w:p>
          <w:p w14:paraId="5CEB088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1673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1）投标方必须严格遵循招标方终端设备运维工作流程、规范、标准和制度要求，在招标方指定平台中按照开展本标书规定工作，做好各项工作的过程及结果的详细记录。</w:t>
            </w:r>
          </w:p>
          <w:p w14:paraId="0FBF5FED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2）投标方必须严格执行工作流程，未经许可不得擅自扩大工作范围。</w:t>
            </w:r>
          </w:p>
          <w:p w14:paraId="5335196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3）投标方在运维工作中必须严格遵循早发现、早汇报、早处理原则。任何情况下，都不能向招标方隐瞒运维工作真实情况。</w:t>
            </w:r>
          </w:p>
          <w:p w14:paraId="0498B9E1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4）投标方在运维工作中要做好备份、测试、监护等风险预防措施，杜绝工作失误造成的系统故障、数据丢失等事件。</w:t>
            </w:r>
          </w:p>
          <w:p w14:paraId="7800E805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5）投标方必须按照招标方要求，按时编制运维月报、年报。</w:t>
            </w:r>
          </w:p>
        </w:tc>
      </w:tr>
    </w:tbl>
    <w:p w14:paraId="57505A0D"/>
    <w:p w14:paraId="6B5F7DB8"/>
    <w:p w14:paraId="0590D321">
      <w:pPr>
        <w:rPr>
          <w:rFonts w:ascii="宋体" w:hAnsi="宋体" w:cs="宋体"/>
          <w:b/>
          <w:bCs/>
          <w:sz w:val="24"/>
          <w:szCs w:val="28"/>
        </w:rPr>
      </w:pPr>
      <w:r>
        <w:rPr>
          <w:rFonts w:hint="eastAsia" w:ascii="宋体" w:hAnsi="宋体" w:cs="宋体"/>
          <w:b/>
          <w:bCs/>
          <w:sz w:val="24"/>
          <w:szCs w:val="28"/>
        </w:rPr>
        <w:t>4.</w:t>
      </w:r>
      <w:r>
        <w:rPr>
          <w:rFonts w:hint="eastAsia" w:ascii="宋体" w:hAnsi="宋体" w:cs="宋体"/>
          <w:b/>
          <w:bCs/>
          <w:sz w:val="24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bCs/>
          <w:sz w:val="24"/>
          <w:szCs w:val="28"/>
        </w:rPr>
        <w:t xml:space="preserve"> 品备件清单</w:t>
      </w:r>
    </w:p>
    <w:p w14:paraId="66835283">
      <w:pPr>
        <w:rPr>
          <w:rFonts w:ascii="宋体" w:hAnsi="宋体" w:cs="宋体"/>
          <w:b/>
          <w:bCs/>
          <w:sz w:val="24"/>
          <w:szCs w:val="28"/>
        </w:rPr>
      </w:pPr>
    </w:p>
    <w:tbl>
      <w:tblPr>
        <w:tblStyle w:val="5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6067"/>
        <w:gridCol w:w="818"/>
        <w:gridCol w:w="819"/>
      </w:tblGrid>
      <w:tr w14:paraId="1BA4A0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0B7A6FF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序号</w:t>
            </w:r>
          </w:p>
        </w:tc>
        <w:tc>
          <w:tcPr>
            <w:tcW w:w="355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D7180BB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品名</w:t>
            </w:r>
          </w:p>
        </w:tc>
        <w:tc>
          <w:tcPr>
            <w:tcW w:w="4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C2F4EF6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数量</w:t>
            </w:r>
          </w:p>
        </w:tc>
        <w:tc>
          <w:tcPr>
            <w:tcW w:w="4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4502B41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单位</w:t>
            </w:r>
          </w:p>
        </w:tc>
      </w:tr>
      <w:tr w14:paraId="40DCB4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8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653D538">
            <w:pPr>
              <w:widowControl/>
              <w:spacing w:line="360" w:lineRule="auto"/>
              <w:jc w:val="righ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35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84B6B1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台式电脑主机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E061770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》</w:t>
            </w:r>
            <w:r>
              <w:rPr>
                <w:rFonts w:hint="eastAsia" w:ascii="宋体" w:hAnsi="宋体" w:cs="宋体"/>
                <w:kern w:val="0"/>
                <w:szCs w:val="21"/>
              </w:rPr>
              <w:t>5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EB05C40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</w:tr>
      <w:tr w14:paraId="685B63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8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C1E0461">
            <w:pPr>
              <w:widowControl/>
              <w:spacing w:line="360" w:lineRule="auto"/>
              <w:jc w:val="righ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</w:t>
            </w:r>
          </w:p>
        </w:tc>
        <w:tc>
          <w:tcPr>
            <w:tcW w:w="35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5364E1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MINI电脑主机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B8B0243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》</w:t>
            </w:r>
            <w:r>
              <w:rPr>
                <w:rFonts w:hint="eastAsia" w:ascii="宋体" w:hAnsi="宋体" w:cs="宋体"/>
                <w:kern w:val="0"/>
                <w:szCs w:val="21"/>
              </w:rPr>
              <w:t>5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9458A42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</w:tr>
      <w:tr w14:paraId="5F21FA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8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E469975">
            <w:pPr>
              <w:widowControl/>
              <w:spacing w:line="360" w:lineRule="auto"/>
              <w:jc w:val="righ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3</w:t>
            </w:r>
          </w:p>
        </w:tc>
        <w:tc>
          <w:tcPr>
            <w:tcW w:w="35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4A9C9F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19寸显示器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A197C57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》</w:t>
            </w:r>
            <w:r>
              <w:rPr>
                <w:rFonts w:hint="eastAsia" w:ascii="宋体" w:hAnsi="宋体" w:cs="宋体"/>
                <w:kern w:val="0"/>
                <w:szCs w:val="21"/>
              </w:rPr>
              <w:t>5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59C3D08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</w:tr>
      <w:tr w14:paraId="024C54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8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FC5F00A">
            <w:pPr>
              <w:widowControl/>
              <w:spacing w:line="360" w:lineRule="auto"/>
              <w:jc w:val="righ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4</w:t>
            </w:r>
          </w:p>
        </w:tc>
        <w:tc>
          <w:tcPr>
            <w:tcW w:w="35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9E44D8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斑马GT800打印机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7CFC7BB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》</w:t>
            </w:r>
            <w:r>
              <w:rPr>
                <w:rFonts w:hint="eastAsia" w:ascii="宋体" w:hAnsi="宋体" w:cs="宋体"/>
                <w:kern w:val="0"/>
                <w:szCs w:val="21"/>
              </w:rPr>
              <w:t>2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DE52C7F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</w:tr>
      <w:tr w14:paraId="08B1E6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8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00876D1">
            <w:pPr>
              <w:widowControl/>
              <w:spacing w:line="360" w:lineRule="auto"/>
              <w:jc w:val="righ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5</w:t>
            </w:r>
          </w:p>
        </w:tc>
        <w:tc>
          <w:tcPr>
            <w:tcW w:w="35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013A1C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针式打印机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08500CA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》</w:t>
            </w: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1825FB6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</w:tr>
      <w:tr w14:paraId="6EE0CB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8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BDF2652">
            <w:pPr>
              <w:widowControl/>
              <w:spacing w:line="360" w:lineRule="auto"/>
              <w:jc w:val="righ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6</w:t>
            </w:r>
          </w:p>
        </w:tc>
        <w:tc>
          <w:tcPr>
            <w:tcW w:w="35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87880D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激光双面打印机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E32F215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》</w:t>
            </w: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B81E425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</w:tr>
      <w:tr w14:paraId="51FEFD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8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436242D">
            <w:pPr>
              <w:widowControl/>
              <w:spacing w:line="360" w:lineRule="auto"/>
              <w:jc w:val="righ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7</w:t>
            </w:r>
          </w:p>
        </w:tc>
        <w:tc>
          <w:tcPr>
            <w:tcW w:w="35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EE60C4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台式主机电源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74C36CE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》</w:t>
            </w: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0C3CDE0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个</w:t>
            </w:r>
          </w:p>
        </w:tc>
      </w:tr>
      <w:tr w14:paraId="633EF7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8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1720364">
            <w:pPr>
              <w:widowControl/>
              <w:spacing w:line="360" w:lineRule="auto"/>
              <w:jc w:val="righ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8</w:t>
            </w:r>
          </w:p>
        </w:tc>
        <w:tc>
          <w:tcPr>
            <w:tcW w:w="35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883278">
            <w:pPr>
              <w:widowControl/>
              <w:spacing w:line="360" w:lineRule="auto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MINI主机电源适配器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60ED0C0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若干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4B8BCC8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个</w:t>
            </w:r>
          </w:p>
        </w:tc>
      </w:tr>
      <w:tr w14:paraId="3F2BD7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8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B7D06D6">
            <w:pPr>
              <w:widowControl/>
              <w:spacing w:line="360" w:lineRule="auto"/>
              <w:jc w:val="righ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9</w:t>
            </w:r>
          </w:p>
        </w:tc>
        <w:tc>
          <w:tcPr>
            <w:tcW w:w="35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9C1009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各类电脑、打印机、投影仪等设备数据线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8F720ED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若干</w:t>
            </w: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341A920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条</w:t>
            </w:r>
          </w:p>
        </w:tc>
      </w:tr>
    </w:tbl>
    <w:p w14:paraId="1AEC5B91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以上备件具体型号根据招标人在运维服务过程中要求配备</w:t>
      </w:r>
      <w:r>
        <w:rPr>
          <w:rFonts w:hint="eastAsia" w:ascii="宋体" w:hAnsi="宋体"/>
          <w:szCs w:val="21"/>
        </w:rPr>
        <w:t>。</w:t>
      </w:r>
    </w:p>
    <w:p w14:paraId="031531C6"/>
    <w:p w14:paraId="6CA406AC"/>
    <w:p w14:paraId="7CF8050E"/>
    <w:p w14:paraId="542AED6E"/>
    <w:p w14:paraId="06F34D59"/>
    <w:p w14:paraId="73985F98"/>
    <w:p w14:paraId="7AD82814"/>
    <w:p w14:paraId="7E2E292E"/>
    <w:p w14:paraId="4AC31066"/>
    <w:p w14:paraId="1694A1AA"/>
    <w:p w14:paraId="5F425180"/>
    <w:p w14:paraId="18E9EF14"/>
    <w:p w14:paraId="00C28B2E"/>
    <w:p w14:paraId="7FBB490D"/>
    <w:p w14:paraId="65333459"/>
    <w:p w14:paraId="71EF3D57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1CF6089B-164E-44DB-A753-0D7B9440D64A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DDF6D51E-95FE-4050-875A-12E60633A6E3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  <w:embedRegular r:id="rId3" w:fontKey="{9E81125D-3950-4629-A84D-71A2741593E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FDAB00"/>
    <w:multiLevelType w:val="singleLevel"/>
    <w:tmpl w:val="81FDAB00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A482137E"/>
    <w:multiLevelType w:val="singleLevel"/>
    <w:tmpl w:val="A482137E"/>
    <w:lvl w:ilvl="0" w:tentative="0">
      <w:start w:val="1"/>
      <w:numFmt w:val="decimal"/>
      <w:suff w:val="space"/>
      <w:lvlText w:val="%1、"/>
      <w:lvlJc w:val="left"/>
      <w:rPr>
        <w:rFonts w:hint="default" w:ascii="宋体" w:hAnsi="宋体" w:eastAsia="宋体" w:cs="宋体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5B"/>
    <w:rsid w:val="008A7DC0"/>
    <w:rsid w:val="0099045B"/>
    <w:rsid w:val="035246AA"/>
    <w:rsid w:val="0D281F38"/>
    <w:rsid w:val="178661BD"/>
    <w:rsid w:val="1FA33D7E"/>
    <w:rsid w:val="2F24397A"/>
    <w:rsid w:val="43771664"/>
    <w:rsid w:val="43E15980"/>
    <w:rsid w:val="4CB758D2"/>
    <w:rsid w:val="4D62199A"/>
    <w:rsid w:val="6EF74B77"/>
    <w:rsid w:val="74F2271F"/>
    <w:rsid w:val="76490121"/>
    <w:rsid w:val="7A9455A4"/>
    <w:rsid w:val="7B66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220" w:after="210" w:line="578" w:lineRule="auto"/>
      <w:jc w:val="center"/>
      <w:outlineLvl w:val="0"/>
    </w:pPr>
    <w:rPr>
      <w:rFonts w:eastAsia="黑体"/>
      <w:b/>
      <w:bCs/>
      <w:kern w:val="44"/>
      <w:sz w:val="32"/>
      <w:szCs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380" w:after="380" w:line="416" w:lineRule="auto"/>
      <w:jc w:val="left"/>
      <w:outlineLvl w:val="1"/>
    </w:pPr>
    <w:rPr>
      <w:rFonts w:ascii="等线 Light" w:hAnsi="等线 Light" w:eastAsia="黑体"/>
      <w:b/>
      <w:bCs/>
      <w:sz w:val="28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index 1"/>
    <w:basedOn w:val="1"/>
    <w:next w:val="1"/>
    <w:semiHidden/>
    <w:qFormat/>
    <w:uiPriority w:val="0"/>
    <w:rPr>
      <w:rFonts w:ascii="Times New Roman" w:hAnsi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2820</Words>
  <Characters>2977</Characters>
  <Lines>38</Lines>
  <Paragraphs>10</Paragraphs>
  <TotalTime>1</TotalTime>
  <ScaleCrop>false</ScaleCrop>
  <LinksUpToDate>false</LinksUpToDate>
  <CharactersWithSpaces>2989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2025-06-11T06:49:00Z</dcterms:created>
  <dc:creator>Administrator</dc:creator>
  <cp:lastModifiedBy>桂明</cp:lastModifiedBy>
  <dcterms:modified xsi:type="dcterms:W3CDTF">2026-06-22T01:38:55Z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eyJoZGlkIjoiMzlmMDI2MjJkZTk1YTZmYWVmMjlmYzNmOTZhMmRlZjIiLCJ1c2VySWQiOiIxNjk2OTc0NjU2In0=</vt:lpwstr>
  </property>
  <property fmtid="{D5CDD505-2E9C-101B-9397-08002B2CF9AE}" pid="4" name="ICV">
    <vt:lpwstr>4D06037F632E4622A2CF392E23385F47_13</vt:lpwstr>
  </property>
</Properties>
</file>