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color w:val="auto"/>
          <w:sz w:val="44"/>
          <w:szCs w:val="44"/>
          <w:lang w:val="en-US" w:eastAsia="zh-CN"/>
        </w:rPr>
      </w:pPr>
    </w:p>
    <w:p>
      <w:pPr>
        <w:keepNext w:val="0"/>
        <w:keepLines w:val="0"/>
        <w:pageBreakBefore w:val="0"/>
        <w:widowControl/>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color w:val="auto"/>
          <w:sz w:val="44"/>
          <w:szCs w:val="44"/>
          <w:lang w:eastAsia="zh-CN"/>
        </w:rPr>
      </w:pPr>
      <w:r>
        <w:rPr>
          <w:rFonts w:hint="eastAsia" w:ascii="方正小标宋简体" w:hAnsi="方正小标宋简体" w:eastAsia="方正小标宋简体" w:cs="方正小标宋简体"/>
          <w:color w:val="auto"/>
          <w:sz w:val="44"/>
          <w:szCs w:val="44"/>
          <w:lang w:val="en-US" w:eastAsia="zh-CN"/>
        </w:rPr>
        <w:t>2025-2026年</w:t>
      </w:r>
      <w:r>
        <w:rPr>
          <w:rFonts w:hint="eastAsia" w:ascii="方正小标宋简体" w:hAnsi="方正小标宋简体" w:eastAsia="方正小标宋简体" w:cs="方正小标宋简体"/>
          <w:color w:val="auto"/>
          <w:sz w:val="44"/>
          <w:szCs w:val="44"/>
        </w:rPr>
        <w:t>武汉市民之家</w:t>
      </w:r>
      <w:r>
        <w:rPr>
          <w:rFonts w:hint="eastAsia" w:ascii="方正小标宋简体" w:hAnsi="方正小标宋简体" w:eastAsia="方正小标宋简体" w:cs="方正小标宋简体"/>
          <w:color w:val="auto"/>
          <w:sz w:val="44"/>
          <w:szCs w:val="44"/>
          <w:lang w:eastAsia="zh-CN"/>
        </w:rPr>
        <w:t>信息化运维</w:t>
      </w:r>
      <w:r>
        <w:rPr>
          <w:rFonts w:hint="eastAsia" w:ascii="方正小标宋简体" w:hAnsi="方正小标宋简体" w:eastAsia="方正小标宋简体" w:cs="方正小标宋简体"/>
          <w:color w:val="auto"/>
          <w:sz w:val="44"/>
          <w:szCs w:val="44"/>
        </w:rPr>
        <w:t>服务</w:t>
      </w:r>
      <w:r>
        <w:rPr>
          <w:rFonts w:hint="eastAsia" w:ascii="方正小标宋简体" w:hAnsi="方正小标宋简体" w:eastAsia="方正小标宋简体" w:cs="方正小标宋简体"/>
          <w:color w:val="auto"/>
          <w:sz w:val="44"/>
          <w:szCs w:val="44"/>
          <w:lang w:val="en-US" w:eastAsia="zh-CN"/>
        </w:rPr>
        <w:t>项目</w:t>
      </w:r>
      <w:r>
        <w:rPr>
          <w:rFonts w:hint="eastAsia" w:ascii="方正小标宋简体" w:hAnsi="方正小标宋简体" w:eastAsia="方正小标宋简体" w:cs="方正小标宋简体"/>
          <w:color w:val="auto"/>
          <w:sz w:val="44"/>
          <w:szCs w:val="44"/>
          <w:lang w:eastAsia="zh-CN"/>
        </w:rPr>
        <w:t>采购需求</w:t>
      </w:r>
    </w:p>
    <w:p>
      <w:pPr>
        <w:keepNext w:val="0"/>
        <w:keepLines w:val="0"/>
        <w:pageBreakBefore w:val="0"/>
        <w:widowControl/>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color w:val="auto"/>
          <w:sz w:val="44"/>
          <w:szCs w:val="44"/>
          <w:lang w:eastAsia="zh-CN"/>
        </w:rPr>
      </w:pPr>
    </w:p>
    <w:p>
      <w:pPr>
        <w:pStyle w:val="3"/>
        <w:spacing w:line="360" w:lineRule="auto"/>
        <w:ind w:firstLine="643" w:firstLineChars="200"/>
        <w:rPr>
          <w:rFonts w:hint="eastAsia" w:ascii="仿宋" w:hAnsi="仿宋" w:eastAsia="仿宋" w:cs="仿宋"/>
          <w:color w:val="auto"/>
          <w:szCs w:val="24"/>
        </w:rPr>
      </w:pPr>
      <w:bookmarkStart w:id="0" w:name="_Toc25251"/>
      <w:bookmarkEnd w:id="0"/>
      <w:bookmarkStart w:id="1" w:name="_Toc23094"/>
      <w:bookmarkEnd w:id="1"/>
      <w:bookmarkStart w:id="2" w:name="_Toc30039"/>
      <w:bookmarkEnd w:id="2"/>
      <w:bookmarkStart w:id="3" w:name="_Toc30226"/>
      <w:bookmarkEnd w:id="3"/>
      <w:bookmarkStart w:id="4" w:name="_Toc10553"/>
      <w:bookmarkEnd w:id="4"/>
      <w:bookmarkStart w:id="5" w:name="_Toc23383"/>
      <w:bookmarkEnd w:id="5"/>
      <w:bookmarkStart w:id="6" w:name="_Toc28377"/>
      <w:bookmarkEnd w:id="6"/>
      <w:bookmarkStart w:id="7" w:name="_Toc14435"/>
      <w:bookmarkEnd w:id="7"/>
      <w:r>
        <w:rPr>
          <w:rFonts w:hint="eastAsia" w:ascii="仿宋" w:hAnsi="仿宋" w:eastAsia="仿宋" w:cs="仿宋"/>
          <w:color w:val="auto"/>
          <w:szCs w:val="24"/>
        </w:rPr>
        <w:t>一、基本情况介绍</w:t>
      </w:r>
    </w:p>
    <w:p>
      <w:pPr>
        <w:spacing w:line="360" w:lineRule="auto"/>
        <w:ind w:firstLine="480" w:firstLineChars="2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武汉市投资促进局（武汉市政务服务局）是2024年武汉市机构改革组建的单位，为武汉市人民政府工作部门，负责贯彻落实党中央关于招商引资、投资促进、公共资源交易监管、政务服务、政府职能转变等工作的方针政策和决策部署，把坚持和加强党中央对招商引资、投资促进、公共资源交易监管、政务服务、政府职能转变等工作的集中统一领导落实到履行职责过程中，落实市委、市政府工作要求。2012年武汉市民之家政务服务大厅、相关部门办公场所启用至今，已持续运行13年时间，部分信息化设施设备已超过免费保修期，出现硬件设备故障或系统疑难问题时，受到资金、流程、供应商等多种因素限制，处理、解决问题效率较低,需提供平台开发支持及售后服务支持。</w:t>
      </w:r>
    </w:p>
    <w:p>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武汉市投资促进局</w:t>
      </w:r>
      <w:r>
        <w:rPr>
          <w:rFonts w:hint="eastAsia" w:ascii="仿宋" w:hAnsi="仿宋" w:eastAsia="仿宋" w:cs="仿宋"/>
          <w:color w:val="auto"/>
          <w:sz w:val="24"/>
          <w:szCs w:val="24"/>
        </w:rPr>
        <w:t>拟</w:t>
      </w:r>
      <w:r>
        <w:rPr>
          <w:rFonts w:hint="eastAsia" w:ascii="仿宋" w:hAnsi="仿宋" w:eastAsia="仿宋" w:cs="仿宋"/>
          <w:color w:val="auto"/>
          <w:sz w:val="24"/>
          <w:szCs w:val="24"/>
          <w:lang w:eastAsia="zh-CN"/>
        </w:rPr>
        <w:t>开展市民之家</w:t>
      </w:r>
      <w:r>
        <w:rPr>
          <w:rFonts w:hint="eastAsia" w:ascii="仿宋" w:hAnsi="仿宋" w:eastAsia="仿宋" w:cs="仿宋"/>
          <w:color w:val="auto"/>
          <w:sz w:val="24"/>
          <w:szCs w:val="24"/>
        </w:rPr>
        <w:t>信息化系统设备的运维服务</w:t>
      </w:r>
      <w:r>
        <w:rPr>
          <w:rFonts w:hint="eastAsia" w:ascii="仿宋" w:hAnsi="仿宋" w:eastAsia="仿宋" w:cs="仿宋"/>
          <w:color w:val="auto"/>
          <w:sz w:val="24"/>
          <w:szCs w:val="24"/>
          <w:lang w:eastAsia="zh-CN"/>
        </w:rPr>
        <w:t>项目采购</w:t>
      </w:r>
      <w:r>
        <w:rPr>
          <w:rFonts w:hint="eastAsia" w:ascii="仿宋" w:hAnsi="仿宋" w:eastAsia="仿宋" w:cs="仿宋"/>
          <w:color w:val="auto"/>
          <w:sz w:val="24"/>
          <w:szCs w:val="24"/>
        </w:rPr>
        <w:t>工作</w:t>
      </w:r>
      <w:r>
        <w:rPr>
          <w:rFonts w:hint="eastAsia" w:ascii="仿宋" w:hAnsi="仿宋" w:eastAsia="仿宋" w:cs="仿宋"/>
          <w:color w:val="auto"/>
          <w:sz w:val="24"/>
          <w:szCs w:val="24"/>
          <w:lang w:eastAsia="zh-CN"/>
        </w:rPr>
        <w:t>，需</w:t>
      </w:r>
      <w:r>
        <w:rPr>
          <w:rFonts w:hint="eastAsia" w:ascii="仿宋" w:hAnsi="仿宋" w:eastAsia="仿宋" w:cs="仿宋"/>
          <w:color w:val="auto"/>
          <w:sz w:val="24"/>
          <w:szCs w:val="24"/>
        </w:rPr>
        <w:t>具有同类型信息化系统建设</w:t>
      </w:r>
      <w:r>
        <w:rPr>
          <w:rFonts w:hint="eastAsia" w:ascii="仿宋" w:hAnsi="仿宋" w:eastAsia="仿宋" w:cs="仿宋"/>
          <w:color w:val="auto"/>
          <w:sz w:val="24"/>
          <w:szCs w:val="24"/>
          <w:lang w:eastAsia="zh-CN"/>
        </w:rPr>
        <w:t>运维</w:t>
      </w:r>
      <w:r>
        <w:rPr>
          <w:rFonts w:hint="eastAsia" w:ascii="仿宋" w:hAnsi="仿宋" w:eastAsia="仿宋" w:cs="仿宋"/>
          <w:color w:val="auto"/>
          <w:sz w:val="24"/>
          <w:szCs w:val="24"/>
        </w:rPr>
        <w:t>经验</w:t>
      </w:r>
      <w:r>
        <w:rPr>
          <w:rFonts w:hint="eastAsia" w:ascii="仿宋" w:hAnsi="仿宋" w:eastAsia="仿宋" w:cs="仿宋"/>
          <w:color w:val="auto"/>
          <w:sz w:val="24"/>
          <w:szCs w:val="24"/>
          <w:lang w:eastAsia="zh-CN"/>
        </w:rPr>
        <w:t>、且</w:t>
      </w:r>
      <w:r>
        <w:rPr>
          <w:rFonts w:hint="eastAsia" w:ascii="仿宋" w:hAnsi="仿宋" w:eastAsia="仿宋" w:cs="仿宋"/>
          <w:color w:val="auto"/>
          <w:sz w:val="24"/>
          <w:szCs w:val="24"/>
        </w:rPr>
        <w:t>具备</w:t>
      </w:r>
      <w:r>
        <w:rPr>
          <w:rFonts w:hint="eastAsia" w:ascii="仿宋" w:hAnsi="仿宋" w:eastAsia="仿宋" w:cs="仿宋"/>
          <w:color w:val="auto"/>
          <w:sz w:val="24"/>
          <w:szCs w:val="24"/>
          <w:lang w:eastAsia="zh-CN"/>
        </w:rPr>
        <w:t>建设维护</w:t>
      </w:r>
      <w:r>
        <w:rPr>
          <w:rFonts w:hint="eastAsia" w:ascii="仿宋" w:hAnsi="仿宋" w:eastAsia="仿宋" w:cs="仿宋"/>
          <w:color w:val="auto"/>
          <w:sz w:val="24"/>
          <w:szCs w:val="24"/>
        </w:rPr>
        <w:t>大型信息化系统专业服务</w:t>
      </w:r>
      <w:r>
        <w:rPr>
          <w:rFonts w:hint="eastAsia" w:ascii="仿宋" w:hAnsi="仿宋" w:eastAsia="仿宋" w:cs="仿宋"/>
          <w:color w:val="auto"/>
          <w:sz w:val="24"/>
          <w:szCs w:val="24"/>
          <w:lang w:eastAsia="zh-CN"/>
        </w:rPr>
        <w:t>力量</w:t>
      </w:r>
      <w:r>
        <w:rPr>
          <w:rFonts w:hint="eastAsia" w:ascii="仿宋" w:hAnsi="仿宋" w:eastAsia="仿宋" w:cs="仿宋"/>
          <w:color w:val="auto"/>
          <w:sz w:val="24"/>
          <w:szCs w:val="24"/>
        </w:rPr>
        <w:t>的团队，为市政务服务大厅和市投资促进局机关大楼提供</w:t>
      </w:r>
      <w:r>
        <w:rPr>
          <w:rFonts w:hint="eastAsia" w:ascii="仿宋" w:hAnsi="仿宋" w:eastAsia="仿宋" w:cs="仿宋"/>
          <w:color w:val="auto"/>
          <w:sz w:val="24"/>
          <w:szCs w:val="24"/>
          <w:lang w:eastAsia="zh-CN"/>
        </w:rPr>
        <w:t>专</w:t>
      </w:r>
      <w:r>
        <w:rPr>
          <w:rFonts w:hint="eastAsia" w:ascii="仿宋" w:hAnsi="仿宋" w:eastAsia="仿宋" w:cs="仿宋"/>
          <w:color w:val="auto"/>
          <w:sz w:val="24"/>
          <w:szCs w:val="24"/>
        </w:rPr>
        <w:t>业化</w:t>
      </w:r>
      <w:r>
        <w:rPr>
          <w:rFonts w:hint="eastAsia" w:ascii="仿宋" w:hAnsi="仿宋" w:eastAsia="仿宋" w:cs="仿宋"/>
          <w:color w:val="auto"/>
          <w:sz w:val="24"/>
          <w:szCs w:val="24"/>
          <w:lang w:eastAsia="zh-CN"/>
        </w:rPr>
        <w:t>运维</w:t>
      </w:r>
      <w:r>
        <w:rPr>
          <w:rFonts w:hint="eastAsia" w:ascii="仿宋" w:hAnsi="仿宋" w:eastAsia="仿宋" w:cs="仿宋"/>
          <w:color w:val="auto"/>
          <w:sz w:val="24"/>
          <w:szCs w:val="24"/>
        </w:rPr>
        <w:t>管理，协助</w:t>
      </w:r>
      <w:r>
        <w:rPr>
          <w:rFonts w:hint="eastAsia" w:ascii="仿宋" w:hAnsi="仿宋" w:eastAsia="仿宋" w:cs="仿宋"/>
          <w:color w:val="auto"/>
          <w:sz w:val="24"/>
          <w:szCs w:val="24"/>
          <w:lang w:val="en-US" w:eastAsia="zh-CN"/>
        </w:rPr>
        <w:t>武汉市投资促进局</w:t>
      </w:r>
      <w:r>
        <w:rPr>
          <w:rFonts w:hint="eastAsia" w:ascii="仿宋" w:hAnsi="仿宋" w:eastAsia="仿宋" w:cs="仿宋"/>
          <w:color w:val="auto"/>
          <w:sz w:val="24"/>
          <w:szCs w:val="24"/>
          <w:lang w:eastAsia="zh-CN"/>
        </w:rPr>
        <w:t>健全</w:t>
      </w:r>
      <w:r>
        <w:rPr>
          <w:rFonts w:hint="eastAsia" w:ascii="仿宋" w:hAnsi="仿宋" w:eastAsia="仿宋" w:cs="仿宋"/>
          <w:color w:val="auto"/>
          <w:sz w:val="24"/>
          <w:szCs w:val="24"/>
        </w:rPr>
        <w:t>科学规范的运维体系，从</w:t>
      </w:r>
      <w:r>
        <w:rPr>
          <w:rFonts w:hint="eastAsia" w:ascii="仿宋" w:hAnsi="仿宋" w:eastAsia="仿宋" w:cs="仿宋"/>
          <w:color w:val="auto"/>
          <w:sz w:val="24"/>
          <w:szCs w:val="24"/>
          <w:lang w:eastAsia="zh-CN"/>
        </w:rPr>
        <w:t>问题</w:t>
      </w:r>
      <w:r>
        <w:rPr>
          <w:rFonts w:hint="eastAsia" w:ascii="仿宋" w:hAnsi="仿宋" w:eastAsia="仿宋" w:cs="仿宋"/>
          <w:color w:val="auto"/>
          <w:sz w:val="24"/>
          <w:szCs w:val="24"/>
        </w:rPr>
        <w:t>故障驱动向</w:t>
      </w:r>
      <w:r>
        <w:rPr>
          <w:rFonts w:hint="eastAsia" w:ascii="仿宋" w:hAnsi="仿宋" w:eastAsia="仿宋" w:cs="仿宋"/>
          <w:color w:val="auto"/>
          <w:sz w:val="24"/>
          <w:szCs w:val="24"/>
          <w:lang w:eastAsia="zh-CN"/>
        </w:rPr>
        <w:t>应用</w:t>
      </w:r>
      <w:r>
        <w:rPr>
          <w:rFonts w:hint="eastAsia" w:ascii="仿宋" w:hAnsi="仿宋" w:eastAsia="仿宋" w:cs="仿宋"/>
          <w:color w:val="auto"/>
          <w:sz w:val="24"/>
          <w:szCs w:val="24"/>
        </w:rPr>
        <w:t>管理驱动转变，让信息化更好</w:t>
      </w:r>
      <w:r>
        <w:rPr>
          <w:rFonts w:hint="eastAsia" w:ascii="仿宋" w:hAnsi="仿宋" w:eastAsia="仿宋" w:cs="仿宋"/>
          <w:color w:val="auto"/>
          <w:sz w:val="24"/>
          <w:szCs w:val="24"/>
          <w:lang w:eastAsia="zh-CN"/>
        </w:rPr>
        <w:t>地</w:t>
      </w:r>
      <w:r>
        <w:rPr>
          <w:rFonts w:hint="eastAsia" w:ascii="仿宋" w:hAnsi="仿宋" w:eastAsia="仿宋" w:cs="仿宋"/>
          <w:color w:val="auto"/>
          <w:sz w:val="24"/>
          <w:szCs w:val="24"/>
        </w:rPr>
        <w:t>为业务保驾护航，更好</w:t>
      </w:r>
      <w:r>
        <w:rPr>
          <w:rFonts w:hint="eastAsia" w:ascii="仿宋" w:hAnsi="仿宋" w:eastAsia="仿宋" w:cs="仿宋"/>
          <w:color w:val="auto"/>
          <w:sz w:val="24"/>
          <w:szCs w:val="24"/>
          <w:lang w:eastAsia="zh-CN"/>
        </w:rPr>
        <w:t>地</w:t>
      </w:r>
      <w:r>
        <w:rPr>
          <w:rFonts w:hint="eastAsia" w:ascii="仿宋" w:hAnsi="仿宋" w:eastAsia="仿宋" w:cs="仿宋"/>
          <w:color w:val="auto"/>
          <w:sz w:val="24"/>
          <w:szCs w:val="24"/>
        </w:rPr>
        <w:t>助力发挥政府重要窗口作用。</w:t>
      </w:r>
    </w:p>
    <w:p>
      <w:pPr>
        <w:pStyle w:val="3"/>
        <w:spacing w:line="360" w:lineRule="auto"/>
        <w:ind w:firstLine="643" w:firstLineChars="200"/>
        <w:rPr>
          <w:rFonts w:hint="eastAsia" w:ascii="仿宋" w:hAnsi="仿宋" w:eastAsia="仿宋" w:cs="仿宋"/>
          <w:color w:val="auto"/>
          <w:szCs w:val="24"/>
        </w:rPr>
      </w:pPr>
      <w:bookmarkStart w:id="8" w:name="_Toc14860"/>
      <w:bookmarkEnd w:id="8"/>
      <w:bookmarkStart w:id="9" w:name="_Toc30559"/>
      <w:bookmarkEnd w:id="9"/>
      <w:bookmarkStart w:id="10" w:name="_Toc26930"/>
      <w:bookmarkEnd w:id="10"/>
      <w:bookmarkStart w:id="11" w:name="_Toc8861"/>
      <w:bookmarkEnd w:id="11"/>
      <w:bookmarkStart w:id="12" w:name="_Toc455818093"/>
      <w:bookmarkEnd w:id="12"/>
      <w:bookmarkStart w:id="13" w:name="_Toc17423"/>
      <w:bookmarkEnd w:id="13"/>
      <w:bookmarkStart w:id="14" w:name="_Toc24962"/>
      <w:bookmarkEnd w:id="14"/>
      <w:bookmarkStart w:id="15" w:name="_Toc10234"/>
      <w:bookmarkEnd w:id="15"/>
      <w:bookmarkStart w:id="16" w:name="_Toc8230"/>
      <w:bookmarkEnd w:id="16"/>
      <w:bookmarkStart w:id="17" w:name="_Toc426536275"/>
      <w:bookmarkEnd w:id="17"/>
      <w:r>
        <w:rPr>
          <w:rFonts w:hint="eastAsia" w:ascii="仿宋" w:hAnsi="仿宋" w:eastAsia="仿宋" w:cs="仿宋"/>
          <w:color w:val="auto"/>
          <w:szCs w:val="24"/>
        </w:rPr>
        <w:t>二、项目概述</w:t>
      </w:r>
    </w:p>
    <w:p>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2.1项目名称：202</w:t>
      </w:r>
      <w:r>
        <w:rPr>
          <w:rFonts w:hint="eastAsia" w:ascii="仿宋" w:hAnsi="仿宋" w:eastAsia="仿宋" w:cs="仿宋"/>
          <w:color w:val="auto"/>
          <w:sz w:val="24"/>
          <w:szCs w:val="24"/>
          <w:lang w:val="en-US" w:eastAsia="zh-CN"/>
        </w:rPr>
        <w:t>5-2026年</w:t>
      </w:r>
      <w:r>
        <w:rPr>
          <w:rFonts w:hint="eastAsia" w:ascii="仿宋" w:hAnsi="仿宋" w:eastAsia="仿宋" w:cs="仿宋"/>
          <w:color w:val="auto"/>
          <w:sz w:val="24"/>
          <w:szCs w:val="24"/>
        </w:rPr>
        <w:t>武汉市民之家</w:t>
      </w:r>
      <w:r>
        <w:rPr>
          <w:rFonts w:hint="eastAsia" w:ascii="仿宋" w:hAnsi="仿宋" w:eastAsia="仿宋" w:cs="仿宋"/>
          <w:color w:val="auto"/>
          <w:sz w:val="24"/>
          <w:szCs w:val="24"/>
          <w:lang w:eastAsia="zh-CN"/>
        </w:rPr>
        <w:t>信息化运维</w:t>
      </w:r>
      <w:r>
        <w:rPr>
          <w:rFonts w:hint="eastAsia" w:ascii="仿宋" w:hAnsi="仿宋" w:eastAsia="仿宋" w:cs="仿宋"/>
          <w:color w:val="auto"/>
          <w:sz w:val="24"/>
          <w:szCs w:val="24"/>
        </w:rPr>
        <w:t>服务。</w:t>
      </w:r>
    </w:p>
    <w:p>
      <w:pPr>
        <w:spacing w:line="360" w:lineRule="auto"/>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2.2项目信息化设备原值：</w:t>
      </w:r>
      <w:r>
        <w:rPr>
          <w:rFonts w:hint="eastAsia" w:ascii="仿宋" w:hAnsi="仿宋" w:eastAsia="仿宋" w:cs="仿宋"/>
          <w:color w:val="auto"/>
          <w:sz w:val="24"/>
          <w:szCs w:val="24"/>
          <w:highlight w:val="none"/>
          <w:u w:val="single"/>
          <w:lang w:eastAsia="zh-CN"/>
        </w:rPr>
        <w:t>约</w:t>
      </w:r>
      <w:r>
        <w:rPr>
          <w:rFonts w:hint="eastAsia" w:ascii="仿宋" w:hAnsi="仿宋" w:eastAsia="仿宋" w:cs="仿宋"/>
          <w:color w:val="auto"/>
          <w:sz w:val="24"/>
          <w:szCs w:val="24"/>
          <w:highlight w:val="none"/>
          <w:u w:val="single"/>
          <w:lang w:val="en-US" w:eastAsia="zh-CN"/>
        </w:rPr>
        <w:t>1736</w:t>
      </w:r>
      <w:r>
        <w:rPr>
          <w:rFonts w:hint="eastAsia" w:ascii="仿宋" w:hAnsi="仿宋" w:eastAsia="仿宋" w:cs="仿宋"/>
          <w:color w:val="auto"/>
          <w:sz w:val="24"/>
          <w:szCs w:val="24"/>
          <w:highlight w:val="none"/>
        </w:rPr>
        <w:t>万元</w:t>
      </w:r>
      <w:r>
        <w:rPr>
          <w:rFonts w:hint="eastAsia" w:ascii="仿宋" w:hAnsi="仿宋" w:eastAsia="仿宋" w:cs="仿宋"/>
          <w:color w:val="auto"/>
          <w:sz w:val="24"/>
          <w:szCs w:val="24"/>
          <w:highlight w:val="none"/>
          <w:lang w:eastAsia="zh-CN"/>
        </w:rPr>
        <w:t>。</w:t>
      </w:r>
    </w:p>
    <w:p>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2.3项目交付地点：按采购人要求交付。</w:t>
      </w:r>
    </w:p>
    <w:p>
      <w:pPr>
        <w:spacing w:line="360" w:lineRule="auto"/>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2.4合同模式：购买服务</w:t>
      </w:r>
      <w:r>
        <w:rPr>
          <w:rFonts w:hint="eastAsia" w:ascii="仿宋" w:hAnsi="仿宋" w:eastAsia="仿宋" w:cs="仿宋"/>
          <w:color w:val="auto"/>
          <w:sz w:val="24"/>
          <w:szCs w:val="24"/>
          <w:highlight w:val="none"/>
          <w:lang w:eastAsia="zh-CN"/>
        </w:rPr>
        <w:t>。</w:t>
      </w:r>
    </w:p>
    <w:p>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2.5项目总金额：</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u w:val="single"/>
          <w:lang w:val="en-US" w:eastAsia="zh-CN"/>
        </w:rPr>
        <w:t xml:space="preserve">140 </w:t>
      </w:r>
      <w:r>
        <w:rPr>
          <w:rFonts w:hint="eastAsia" w:ascii="仿宋" w:hAnsi="仿宋" w:eastAsia="仿宋" w:cs="仿宋"/>
          <w:color w:val="auto"/>
          <w:sz w:val="24"/>
          <w:szCs w:val="24"/>
          <w:highlight w:val="none"/>
        </w:rPr>
        <w:t>万元。</w:t>
      </w:r>
    </w:p>
    <w:p>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 xml:space="preserve">2.6报价要求：投标供应商投标报价应包含全部工作所需的一切费用，即投标总报价为“交钥匙”价。对于招标文件未列明，而投标供应商认为必需的费用也需列入投标总报价。对在合同实施过程中可能发生的其它费用（如：增加耗材、材料涨价、人工、运输成本增加等因素），采购人概不负责。 </w:t>
      </w:r>
    </w:p>
    <w:p>
      <w:pPr>
        <w:pStyle w:val="4"/>
        <w:spacing w:line="360" w:lineRule="auto"/>
        <w:ind w:firstLine="480" w:firstLineChars="200"/>
        <w:rPr>
          <w:rFonts w:hint="eastAsia" w:ascii="仿宋" w:hAnsi="仿宋" w:eastAsia="仿宋" w:cs="仿宋"/>
          <w:color w:val="auto"/>
          <w:kern w:val="2"/>
          <w:sz w:val="24"/>
          <w:szCs w:val="24"/>
          <w:highlight w:val="yellow"/>
          <w:lang w:val="en-US" w:eastAsia="zh-CN" w:bidi="ar-SA"/>
        </w:rPr>
      </w:pPr>
      <w:r>
        <w:rPr>
          <w:rFonts w:hint="eastAsia" w:ascii="仿宋" w:hAnsi="仿宋" w:eastAsia="仿宋" w:cs="仿宋"/>
          <w:color w:val="auto"/>
          <w:sz w:val="24"/>
          <w:szCs w:val="24"/>
        </w:rPr>
        <w:t>2.7服务期限：自合同签定之日起壹年，服务商需提供6</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 xml:space="preserve"> 8</w:t>
      </w:r>
      <w:r>
        <w:rPr>
          <w:rFonts w:hint="eastAsia" w:ascii="仿宋" w:hAnsi="仿宋" w:eastAsia="仿宋" w:cs="仿宋"/>
          <w:color w:val="auto"/>
          <w:sz w:val="24"/>
          <w:szCs w:val="24"/>
        </w:rPr>
        <w:t>小时的服务，即一周六天8:</w:t>
      </w:r>
      <w:r>
        <w:rPr>
          <w:rFonts w:hint="eastAsia" w:ascii="仿宋" w:hAnsi="仿宋" w:eastAsia="仿宋" w:cs="仿宋"/>
          <w:color w:val="auto"/>
          <w:sz w:val="24"/>
          <w:szCs w:val="24"/>
          <w:lang w:val="en-US" w:eastAsia="zh-CN"/>
        </w:rPr>
        <w:t>3</w:t>
      </w:r>
      <w:r>
        <w:rPr>
          <w:rFonts w:hint="eastAsia" w:ascii="仿宋" w:hAnsi="仿宋" w:eastAsia="仿宋" w:cs="仿宋"/>
          <w:color w:val="auto"/>
          <w:sz w:val="24"/>
          <w:szCs w:val="24"/>
        </w:rPr>
        <w:t>0-1</w:t>
      </w:r>
      <w:r>
        <w:rPr>
          <w:rFonts w:hint="eastAsia" w:ascii="仿宋" w:hAnsi="仿宋" w:eastAsia="仿宋" w:cs="仿宋"/>
          <w:color w:val="auto"/>
          <w:sz w:val="24"/>
          <w:szCs w:val="24"/>
          <w:lang w:val="en-US" w:eastAsia="zh-CN"/>
        </w:rPr>
        <w:t>7</w:t>
      </w: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3</w:t>
      </w:r>
      <w:r>
        <w:rPr>
          <w:rFonts w:hint="eastAsia" w:ascii="仿宋" w:hAnsi="仿宋" w:eastAsia="仿宋" w:cs="仿宋"/>
          <w:color w:val="auto"/>
          <w:sz w:val="24"/>
          <w:szCs w:val="24"/>
        </w:rPr>
        <w:t>0。</w:t>
      </w:r>
    </w:p>
    <w:p>
      <w:pPr>
        <w:pStyle w:val="3"/>
        <w:spacing w:line="360" w:lineRule="auto"/>
        <w:ind w:firstLine="643" w:firstLineChars="200"/>
        <w:rPr>
          <w:rFonts w:hint="eastAsia" w:ascii="仿宋" w:hAnsi="仿宋" w:eastAsia="仿宋" w:cs="仿宋"/>
          <w:color w:val="auto"/>
          <w:szCs w:val="24"/>
        </w:rPr>
      </w:pPr>
      <w:bookmarkStart w:id="18" w:name="_Toc26887"/>
      <w:bookmarkEnd w:id="18"/>
      <w:bookmarkStart w:id="19" w:name="_Toc18296"/>
      <w:bookmarkEnd w:id="19"/>
      <w:bookmarkStart w:id="20" w:name="_Toc31932"/>
      <w:bookmarkEnd w:id="20"/>
      <w:bookmarkStart w:id="21" w:name="_Toc15482"/>
      <w:bookmarkEnd w:id="21"/>
      <w:bookmarkStart w:id="22" w:name="_Toc7894"/>
      <w:bookmarkEnd w:id="22"/>
      <w:bookmarkStart w:id="23" w:name="_Toc26303"/>
      <w:bookmarkEnd w:id="23"/>
      <w:bookmarkStart w:id="24" w:name="_Toc1694"/>
      <w:bookmarkEnd w:id="24"/>
      <w:bookmarkStart w:id="25" w:name="_Toc27432"/>
      <w:bookmarkEnd w:id="25"/>
      <w:r>
        <w:rPr>
          <w:rFonts w:hint="eastAsia" w:ascii="仿宋" w:hAnsi="仿宋" w:eastAsia="仿宋" w:cs="仿宋"/>
          <w:color w:val="auto"/>
          <w:szCs w:val="24"/>
        </w:rPr>
        <w:t>三、IT运维服务内容及技术要求</w:t>
      </w:r>
    </w:p>
    <w:p>
      <w:pPr>
        <w:spacing w:line="360" w:lineRule="auto"/>
        <w:ind w:firstLine="480"/>
        <w:rPr>
          <w:rFonts w:hint="eastAsia" w:ascii="仿宋" w:hAnsi="仿宋" w:eastAsia="仿宋" w:cs="仿宋"/>
          <w:color w:val="auto"/>
          <w:sz w:val="24"/>
          <w:szCs w:val="24"/>
        </w:rPr>
      </w:pPr>
      <w:bookmarkStart w:id="26" w:name="_Toc22147"/>
      <w:bookmarkEnd w:id="26"/>
      <w:bookmarkStart w:id="27" w:name="_Toc2346"/>
      <w:bookmarkEnd w:id="27"/>
      <w:bookmarkStart w:id="28" w:name="_Toc4898"/>
      <w:bookmarkEnd w:id="28"/>
      <w:bookmarkStart w:id="29" w:name="_Toc22600"/>
      <w:bookmarkEnd w:id="29"/>
      <w:r>
        <w:rPr>
          <w:rFonts w:hint="eastAsia" w:ascii="仿宋" w:hAnsi="仿宋" w:eastAsia="仿宋" w:cs="仿宋"/>
          <w:color w:val="auto"/>
          <w:sz w:val="24"/>
          <w:szCs w:val="24"/>
        </w:rPr>
        <w:t>3.1 服务范围</w:t>
      </w:r>
    </w:p>
    <w:tbl>
      <w:tblPr>
        <w:tblStyle w:val="8"/>
        <w:tblpPr w:leftFromText="180" w:rightFromText="180" w:vertAnchor="text" w:horzAnchor="page" w:tblpXSpec="center" w:tblpY="204"/>
        <w:tblOverlap w:val="never"/>
        <w:tblW w:w="4998"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1059"/>
        <w:gridCol w:w="726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0" w:hRule="atLeast"/>
          <w:tblHeader/>
          <w:jc w:val="center"/>
        </w:trPr>
        <w:tc>
          <w:tcPr>
            <w:tcW w:w="636" w:type="pct"/>
            <w:tcBorders>
              <w:top w:val="single" w:color="auto" w:sz="4" w:space="0"/>
              <w:left w:val="single" w:color="auto" w:sz="4" w:space="0"/>
              <w:bottom w:val="single" w:color="auto" w:sz="4" w:space="0"/>
              <w:right w:val="single" w:color="auto" w:sz="4" w:space="0"/>
            </w:tcBorders>
            <w:noWrap w:val="0"/>
            <w:tcMar>
              <w:top w:w="12" w:type="dxa"/>
              <w:left w:w="12" w:type="dxa"/>
              <w:right w:w="12" w:type="dxa"/>
            </w:tcMar>
            <w:vAlign w:val="center"/>
          </w:tcPr>
          <w:p>
            <w:pPr>
              <w:keepNext w:val="0"/>
              <w:keepLines w:val="0"/>
              <w:pageBreakBefore w:val="0"/>
              <w:widowControl w:val="0"/>
              <w:suppressLineNumbers w:val="0"/>
              <w:kinsoku/>
              <w:wordWrap/>
              <w:overflowPunct/>
              <w:topLinePunct w:val="0"/>
              <w:autoSpaceDE/>
              <w:autoSpaceDN/>
              <w:bidi w:val="0"/>
              <w:adjustRightInd/>
              <w:snapToGrid/>
              <w:spacing w:line="300" w:lineRule="exact"/>
              <w:ind w:left="0"/>
              <w:jc w:val="center"/>
              <w:textAlignment w:val="center"/>
              <w:outlineLvl w:val="9"/>
              <w:rPr>
                <w:rFonts w:hint="eastAsia" w:ascii="黑体" w:hAnsi="黑体" w:eastAsia="黑体" w:cs="黑体"/>
                <w:b w:val="0"/>
                <w:bCs/>
                <w:i w:val="0"/>
                <w:color w:val="auto"/>
                <w:sz w:val="21"/>
                <w:szCs w:val="21"/>
                <w:highlight w:val="none"/>
                <w:u w:val="none"/>
                <w:shd w:val="clear" w:color="auto" w:fill="auto"/>
              </w:rPr>
            </w:pPr>
            <w:r>
              <w:rPr>
                <w:rFonts w:hint="eastAsia" w:ascii="黑体" w:hAnsi="黑体" w:eastAsia="黑体" w:cs="黑体"/>
                <w:b w:val="0"/>
                <w:bCs/>
                <w:i w:val="0"/>
                <w:color w:val="auto"/>
                <w:kern w:val="0"/>
                <w:sz w:val="21"/>
                <w:szCs w:val="21"/>
                <w:highlight w:val="none"/>
                <w:u w:val="none"/>
                <w:shd w:val="clear" w:color="auto" w:fill="auto"/>
                <w:lang w:val="en-US" w:eastAsia="zh-CN"/>
              </w:rPr>
              <w:t>服务类型</w:t>
            </w:r>
          </w:p>
        </w:tc>
        <w:tc>
          <w:tcPr>
            <w:tcW w:w="4363" w:type="pct"/>
            <w:tcBorders>
              <w:top w:val="single" w:color="auto" w:sz="4" w:space="0"/>
              <w:left w:val="single" w:color="auto" w:sz="4" w:space="0"/>
              <w:bottom w:val="single" w:color="auto" w:sz="4" w:space="0"/>
              <w:right w:val="single" w:color="auto" w:sz="4" w:space="0"/>
            </w:tcBorders>
            <w:noWrap w:val="0"/>
            <w:tcMar>
              <w:top w:w="12" w:type="dxa"/>
              <w:left w:w="12" w:type="dxa"/>
              <w:right w:w="12" w:type="dxa"/>
            </w:tcMar>
            <w:vAlign w:val="center"/>
          </w:tcPr>
          <w:p>
            <w:pPr>
              <w:keepNext w:val="0"/>
              <w:keepLines w:val="0"/>
              <w:pageBreakBefore w:val="0"/>
              <w:widowControl w:val="0"/>
              <w:suppressLineNumbers w:val="0"/>
              <w:kinsoku/>
              <w:wordWrap/>
              <w:overflowPunct/>
              <w:topLinePunct w:val="0"/>
              <w:autoSpaceDE/>
              <w:autoSpaceDN/>
              <w:bidi w:val="0"/>
              <w:adjustRightInd/>
              <w:snapToGrid/>
              <w:spacing w:line="300" w:lineRule="exact"/>
              <w:ind w:left="0"/>
              <w:jc w:val="center"/>
              <w:textAlignment w:val="center"/>
              <w:outlineLvl w:val="9"/>
              <w:rPr>
                <w:rFonts w:hint="eastAsia" w:ascii="黑体" w:hAnsi="黑体" w:eastAsia="黑体" w:cs="黑体"/>
                <w:b w:val="0"/>
                <w:bCs/>
                <w:i w:val="0"/>
                <w:color w:val="auto"/>
                <w:sz w:val="21"/>
                <w:szCs w:val="21"/>
                <w:highlight w:val="none"/>
                <w:u w:val="none"/>
                <w:shd w:val="clear" w:color="auto" w:fill="auto"/>
              </w:rPr>
            </w:pPr>
            <w:r>
              <w:rPr>
                <w:rFonts w:hint="eastAsia" w:ascii="黑体" w:hAnsi="黑体" w:eastAsia="黑体" w:cs="黑体"/>
                <w:b w:val="0"/>
                <w:bCs/>
                <w:i w:val="0"/>
                <w:color w:val="auto"/>
                <w:kern w:val="0"/>
                <w:sz w:val="21"/>
                <w:szCs w:val="21"/>
                <w:highlight w:val="none"/>
                <w:u w:val="none"/>
                <w:shd w:val="clear" w:color="auto" w:fill="auto"/>
                <w:lang w:val="en-US" w:eastAsia="zh-CN"/>
              </w:rPr>
              <w:t>服务范围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178" w:hRule="atLeast"/>
          <w:jc w:val="center"/>
        </w:trPr>
        <w:tc>
          <w:tcPr>
            <w:tcW w:w="636" w:type="pct"/>
            <w:tcBorders>
              <w:top w:val="single" w:color="auto" w:sz="4" w:space="0"/>
              <w:left w:val="single" w:color="auto" w:sz="4" w:space="0"/>
              <w:bottom w:val="single" w:color="auto" w:sz="4" w:space="0"/>
              <w:right w:val="single" w:color="auto" w:sz="4" w:space="0"/>
            </w:tcBorders>
            <w:noWrap w:val="0"/>
            <w:tcMar>
              <w:top w:w="12" w:type="dxa"/>
              <w:left w:w="12" w:type="dxa"/>
              <w:right w:w="12" w:type="dxa"/>
            </w:tcMar>
            <w:vAlign w:val="center"/>
          </w:tcPr>
          <w:p>
            <w:pPr>
              <w:keepNext w:val="0"/>
              <w:keepLines w:val="0"/>
              <w:pageBreakBefore w:val="0"/>
              <w:widowControl w:val="0"/>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1"/>
                <w:szCs w:val="21"/>
                <w:highlight w:val="none"/>
                <w:u w:val="none"/>
                <w:lang w:val="en-US" w:eastAsia="zh-CN"/>
              </w:rPr>
            </w:pPr>
            <w:r>
              <w:rPr>
                <w:rFonts w:hint="eastAsia" w:ascii="仿宋" w:hAnsi="仿宋" w:eastAsia="仿宋" w:cs="仿宋"/>
                <w:i w:val="0"/>
                <w:color w:val="000000"/>
                <w:sz w:val="21"/>
                <w:szCs w:val="21"/>
                <w:highlight w:val="none"/>
                <w:u w:val="none"/>
                <w:lang w:val="en-US" w:eastAsia="zh-CN"/>
              </w:rPr>
              <w:t>网络维护</w:t>
            </w:r>
          </w:p>
        </w:tc>
        <w:tc>
          <w:tcPr>
            <w:tcW w:w="4363" w:type="pct"/>
            <w:tcBorders>
              <w:top w:val="single" w:color="auto" w:sz="4" w:space="0"/>
              <w:left w:val="single" w:color="auto" w:sz="4" w:space="0"/>
              <w:bottom w:val="single" w:color="auto" w:sz="4" w:space="0"/>
              <w:right w:val="single" w:color="auto" w:sz="4" w:space="0"/>
            </w:tcBorders>
            <w:noWrap w:val="0"/>
            <w:tcMar>
              <w:top w:w="12" w:type="dxa"/>
              <w:left w:w="12" w:type="dxa"/>
              <w:right w:w="12" w:type="dxa"/>
            </w:tcMar>
            <w:vAlign w:val="center"/>
          </w:tcPr>
          <w:p>
            <w:pPr>
              <w:keepNext w:val="0"/>
              <w:keepLines w:val="0"/>
              <w:pageBreakBefore w:val="0"/>
              <w:widowControl w:val="0"/>
              <w:suppressLineNumbers w:val="0"/>
              <w:kinsoku/>
              <w:wordWrap/>
              <w:overflowPunct/>
              <w:topLinePunct w:val="0"/>
              <w:autoSpaceDE/>
              <w:autoSpaceDN/>
              <w:bidi w:val="0"/>
              <w:adjustRightInd/>
              <w:snapToGrid/>
              <w:spacing w:line="280" w:lineRule="exact"/>
              <w:ind w:left="0"/>
              <w:jc w:val="left"/>
              <w:textAlignment w:val="center"/>
              <w:outlineLvl w:val="9"/>
              <w:rPr>
                <w:rFonts w:hint="eastAsia" w:ascii="仿宋" w:hAnsi="仿宋" w:eastAsia="仿宋" w:cs="仿宋"/>
                <w:i w:val="0"/>
                <w:color w:val="000000"/>
                <w:sz w:val="21"/>
                <w:szCs w:val="21"/>
                <w:highlight w:val="none"/>
                <w:u w:val="none"/>
                <w:lang w:val="en-US" w:eastAsia="zh-CN"/>
              </w:rPr>
            </w:pPr>
            <w:r>
              <w:rPr>
                <w:rFonts w:hint="eastAsia" w:ascii="仿宋" w:hAnsi="仿宋" w:eastAsia="仿宋" w:cs="仿宋"/>
                <w:b w:val="0"/>
                <w:bCs/>
                <w:i w:val="0"/>
                <w:color w:val="auto"/>
                <w:kern w:val="0"/>
                <w:sz w:val="21"/>
                <w:szCs w:val="21"/>
                <w:highlight w:val="none"/>
                <w:u w:val="none"/>
                <w:shd w:val="clear" w:color="auto" w:fill="auto"/>
                <w:lang w:val="en-US" w:eastAsia="zh-CN"/>
              </w:rPr>
              <w:t>包括-1F新闻发布厅、市民大讲堂、食堂、配线间，</w:t>
            </w:r>
            <w:r>
              <w:rPr>
                <w:rFonts w:hint="eastAsia" w:ascii="仿宋" w:hAnsi="仿宋" w:eastAsia="仿宋" w:cs="仿宋"/>
                <w:b w:val="0"/>
                <w:bCs/>
                <w:i w:val="0"/>
                <w:color w:val="000000"/>
                <w:sz w:val="21"/>
                <w:szCs w:val="21"/>
                <w:highlight w:val="none"/>
                <w:u w:val="none"/>
                <w:lang w:val="en-US" w:eastAsia="zh-CN"/>
              </w:rPr>
              <w:t>1F、1AF、2F、2AF</w:t>
            </w:r>
            <w:r>
              <w:rPr>
                <w:rFonts w:hint="eastAsia" w:ascii="仿宋" w:hAnsi="仿宋" w:eastAsia="仿宋" w:cs="仿宋"/>
                <w:i w:val="0"/>
                <w:color w:val="000000"/>
                <w:sz w:val="21"/>
                <w:szCs w:val="21"/>
                <w:highlight w:val="none"/>
                <w:u w:val="none"/>
                <w:lang w:val="en-US" w:eastAsia="zh-CN"/>
              </w:rPr>
              <w:t>入驻部门窗口及后台办公室、配线间，</w:t>
            </w:r>
            <w:r>
              <w:rPr>
                <w:rFonts w:hint="eastAsia" w:ascii="仿宋" w:hAnsi="仿宋" w:eastAsia="仿宋" w:cs="仿宋"/>
                <w:b w:val="0"/>
                <w:bCs/>
                <w:spacing w:val="-2"/>
                <w:sz w:val="21"/>
                <w:szCs w:val="21"/>
                <w:highlight w:val="none"/>
              </w:rPr>
              <w:t>3F、4F、5F</w:t>
            </w:r>
            <w:r>
              <w:rPr>
                <w:rFonts w:hint="eastAsia" w:ascii="仿宋" w:hAnsi="仿宋" w:eastAsia="仿宋" w:cs="仿宋"/>
                <w:spacing w:val="-2"/>
                <w:sz w:val="21"/>
                <w:szCs w:val="21"/>
                <w:highlight w:val="none"/>
              </w:rPr>
              <w:t>拍卖大厅、开标室、评标室、入驻单位</w:t>
            </w:r>
            <w:r>
              <w:rPr>
                <w:rFonts w:hint="eastAsia" w:ascii="仿宋" w:hAnsi="仿宋" w:eastAsia="仿宋" w:cs="仿宋"/>
                <w:spacing w:val="-3"/>
                <w:sz w:val="21"/>
                <w:szCs w:val="21"/>
                <w:highlight w:val="none"/>
              </w:rPr>
              <w:t>、配线</w:t>
            </w:r>
            <w:r>
              <w:rPr>
                <w:rFonts w:hint="eastAsia" w:ascii="仿宋" w:hAnsi="仿宋" w:eastAsia="仿宋" w:cs="仿宋"/>
                <w:spacing w:val="5"/>
                <w:sz w:val="21"/>
                <w:szCs w:val="21"/>
                <w:highlight w:val="none"/>
              </w:rPr>
              <w:t>间</w:t>
            </w:r>
            <w:r>
              <w:rPr>
                <w:rFonts w:hint="eastAsia" w:ascii="仿宋" w:hAnsi="仿宋" w:eastAsia="仿宋" w:cs="仿宋"/>
                <w:spacing w:val="5"/>
                <w:sz w:val="21"/>
                <w:szCs w:val="21"/>
                <w:highlight w:val="none"/>
                <w:lang w:eastAsia="zh-CN"/>
              </w:rPr>
              <w:t>，</w:t>
            </w:r>
            <w:r>
              <w:rPr>
                <w:rFonts w:hint="eastAsia" w:ascii="仿宋" w:hAnsi="仿宋" w:eastAsia="仿宋" w:cs="仿宋"/>
                <w:b w:val="0"/>
                <w:bCs/>
                <w:spacing w:val="-3"/>
                <w:sz w:val="21"/>
                <w:szCs w:val="21"/>
                <w:highlight w:val="none"/>
              </w:rPr>
              <w:t>6</w:t>
            </w:r>
            <w:r>
              <w:rPr>
                <w:rFonts w:hint="eastAsia" w:ascii="仿宋" w:hAnsi="仿宋" w:eastAsia="仿宋" w:cs="仿宋"/>
                <w:b w:val="0"/>
                <w:bCs/>
                <w:spacing w:val="-3"/>
                <w:sz w:val="21"/>
                <w:szCs w:val="21"/>
                <w:highlight w:val="none"/>
                <w:lang w:val="en-US" w:eastAsia="zh-CN"/>
              </w:rPr>
              <w:t>F</w:t>
            </w:r>
            <w:r>
              <w:rPr>
                <w:rFonts w:hint="eastAsia" w:ascii="仿宋" w:hAnsi="仿宋" w:eastAsia="仿宋" w:cs="仿宋"/>
                <w:sz w:val="21"/>
                <w:szCs w:val="21"/>
                <w:highlight w:val="none"/>
              </w:rPr>
              <w:t>办公室、会议室、配线间等</w:t>
            </w:r>
            <w:r>
              <w:rPr>
                <w:rFonts w:hint="eastAsia" w:ascii="仿宋" w:hAnsi="仿宋" w:eastAsia="仿宋" w:cs="仿宋"/>
                <w:sz w:val="21"/>
                <w:szCs w:val="21"/>
                <w:highlight w:val="none"/>
                <w:lang w:eastAsia="zh-CN"/>
              </w:rPr>
              <w:t>区域</w:t>
            </w:r>
            <w:r>
              <w:rPr>
                <w:rFonts w:hint="eastAsia" w:ascii="仿宋" w:hAnsi="仿宋" w:eastAsia="仿宋" w:cs="仿宋"/>
                <w:sz w:val="21"/>
                <w:szCs w:val="21"/>
                <w:highlight w:val="none"/>
                <w:lang w:val="en-US" w:eastAsia="zh-CN"/>
              </w:rPr>
              <w:t>网络环境搭建和维护等工作，在应急情况下对终端点位网络面板损坏进行更换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64" w:hRule="atLeast"/>
          <w:jc w:val="center"/>
        </w:trPr>
        <w:tc>
          <w:tcPr>
            <w:tcW w:w="636" w:type="pct"/>
            <w:tcBorders>
              <w:top w:val="single" w:color="auto" w:sz="4" w:space="0"/>
              <w:left w:val="single" w:color="auto" w:sz="4" w:space="0"/>
              <w:bottom w:val="single" w:color="auto" w:sz="4" w:space="0"/>
              <w:right w:val="single" w:color="000000" w:sz="4" w:space="0"/>
            </w:tcBorders>
            <w:noWrap w:val="0"/>
            <w:tcMar>
              <w:top w:w="12" w:type="dxa"/>
              <w:left w:w="12" w:type="dxa"/>
              <w:right w:w="12" w:type="dxa"/>
            </w:tcMar>
            <w:vAlign w:val="center"/>
          </w:tcPr>
          <w:p>
            <w:pPr>
              <w:keepNext w:val="0"/>
              <w:keepLines w:val="0"/>
              <w:pageBreakBefore w:val="0"/>
              <w:widowControl w:val="0"/>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1"/>
                <w:szCs w:val="21"/>
                <w:highlight w:val="none"/>
                <w:u w:val="none"/>
                <w:lang w:val="en-US" w:eastAsia="zh-CN"/>
              </w:rPr>
            </w:pPr>
            <w:r>
              <w:rPr>
                <w:rFonts w:hint="eastAsia" w:ascii="仿宋" w:hAnsi="仿宋" w:eastAsia="仿宋" w:cs="仿宋"/>
                <w:i w:val="0"/>
                <w:color w:val="000000"/>
                <w:sz w:val="21"/>
                <w:szCs w:val="21"/>
                <w:highlight w:val="none"/>
                <w:u w:val="none"/>
                <w:lang w:val="en-US" w:eastAsia="zh-CN"/>
              </w:rPr>
              <w:t>硬件维护</w:t>
            </w:r>
          </w:p>
        </w:tc>
        <w:tc>
          <w:tcPr>
            <w:tcW w:w="4363" w:type="pct"/>
            <w:tcBorders>
              <w:top w:val="single" w:color="auto" w:sz="4" w:space="0"/>
              <w:left w:val="single" w:color="000000" w:sz="4" w:space="0"/>
              <w:bottom w:val="single" w:color="auto" w:sz="4" w:space="0"/>
              <w:right w:val="single" w:color="auto" w:sz="4" w:space="0"/>
            </w:tcBorders>
            <w:noWrap w:val="0"/>
            <w:tcMar>
              <w:top w:w="12" w:type="dxa"/>
              <w:left w:w="12" w:type="dxa"/>
              <w:right w:w="12" w:type="dxa"/>
            </w:tcMar>
            <w:vAlign w:val="center"/>
          </w:tcPr>
          <w:p>
            <w:pPr>
              <w:pStyle w:val="10"/>
              <w:keepNext w:val="0"/>
              <w:keepLines w:val="0"/>
              <w:pageBreakBefore w:val="0"/>
              <w:widowControl w:val="0"/>
              <w:kinsoku/>
              <w:wordWrap/>
              <w:overflowPunct/>
              <w:topLinePunct w:val="0"/>
              <w:autoSpaceDE/>
              <w:autoSpaceDN/>
              <w:bidi w:val="0"/>
              <w:adjustRightInd/>
              <w:snapToGrid/>
              <w:spacing w:line="280" w:lineRule="exact"/>
              <w:ind w:left="13" w:leftChars="0"/>
              <w:jc w:val="left"/>
              <w:rPr>
                <w:rFonts w:hint="eastAsia" w:ascii="仿宋" w:hAnsi="仿宋" w:eastAsia="仿宋" w:cs="仿宋"/>
                <w:i w:val="0"/>
                <w:color w:val="000000"/>
                <w:sz w:val="21"/>
                <w:szCs w:val="21"/>
                <w:highlight w:val="none"/>
                <w:u w:val="none"/>
                <w:lang w:val="en-US" w:eastAsia="zh-CN"/>
              </w:rPr>
            </w:pPr>
            <w:r>
              <w:rPr>
                <w:rFonts w:hint="eastAsia" w:ascii="仿宋" w:hAnsi="仿宋" w:eastAsia="仿宋" w:cs="仿宋"/>
                <w:b w:val="0"/>
                <w:bCs/>
                <w:i w:val="0"/>
                <w:color w:val="auto"/>
                <w:kern w:val="0"/>
                <w:sz w:val="21"/>
                <w:szCs w:val="21"/>
                <w:highlight w:val="none"/>
                <w:u w:val="none"/>
                <w:shd w:val="clear" w:color="auto" w:fill="auto"/>
                <w:lang w:val="en-US" w:eastAsia="zh-CN"/>
              </w:rPr>
              <w:t>包括-1F新闻发布厅、市民大讲堂、食堂、配线间，</w:t>
            </w:r>
            <w:r>
              <w:rPr>
                <w:rFonts w:hint="eastAsia" w:ascii="仿宋" w:hAnsi="仿宋" w:eastAsia="仿宋" w:cs="仿宋"/>
                <w:b w:val="0"/>
                <w:bCs/>
                <w:i w:val="0"/>
                <w:color w:val="000000"/>
                <w:sz w:val="21"/>
                <w:szCs w:val="21"/>
                <w:highlight w:val="none"/>
                <w:u w:val="none"/>
                <w:lang w:val="en-US" w:eastAsia="zh-CN"/>
              </w:rPr>
              <w:t>1F、1AF、2F、2AF</w:t>
            </w:r>
            <w:r>
              <w:rPr>
                <w:rFonts w:hint="eastAsia" w:ascii="仿宋" w:hAnsi="仿宋" w:eastAsia="仿宋" w:cs="仿宋"/>
                <w:i w:val="0"/>
                <w:color w:val="000000"/>
                <w:sz w:val="21"/>
                <w:szCs w:val="21"/>
                <w:highlight w:val="none"/>
                <w:u w:val="none"/>
                <w:lang w:val="en-US" w:eastAsia="zh-CN"/>
              </w:rPr>
              <w:t>入驻部门窗口及后台办公室、配线间，</w:t>
            </w:r>
            <w:r>
              <w:rPr>
                <w:rFonts w:hint="eastAsia" w:ascii="仿宋" w:hAnsi="仿宋" w:eastAsia="仿宋" w:cs="仿宋"/>
                <w:b w:val="0"/>
                <w:bCs/>
                <w:spacing w:val="-2"/>
                <w:sz w:val="21"/>
                <w:szCs w:val="21"/>
                <w:highlight w:val="none"/>
              </w:rPr>
              <w:t>3F、4F、5F</w:t>
            </w:r>
            <w:r>
              <w:rPr>
                <w:rFonts w:hint="eastAsia" w:ascii="仿宋" w:hAnsi="仿宋" w:eastAsia="仿宋" w:cs="仿宋"/>
                <w:spacing w:val="-2"/>
                <w:sz w:val="21"/>
                <w:szCs w:val="21"/>
                <w:highlight w:val="none"/>
              </w:rPr>
              <w:t>拍卖大厅、开标室、评标室、入驻单位、</w:t>
            </w:r>
            <w:r>
              <w:rPr>
                <w:rFonts w:hint="eastAsia" w:ascii="仿宋" w:hAnsi="仿宋" w:eastAsia="仿宋" w:cs="仿宋"/>
                <w:spacing w:val="-3"/>
                <w:sz w:val="21"/>
                <w:szCs w:val="21"/>
                <w:highlight w:val="none"/>
              </w:rPr>
              <w:t>配线</w:t>
            </w:r>
            <w:r>
              <w:rPr>
                <w:rFonts w:hint="eastAsia" w:ascii="仿宋" w:hAnsi="仿宋" w:eastAsia="仿宋" w:cs="仿宋"/>
                <w:spacing w:val="5"/>
                <w:sz w:val="21"/>
                <w:szCs w:val="21"/>
                <w:highlight w:val="none"/>
              </w:rPr>
              <w:t>间</w:t>
            </w:r>
            <w:r>
              <w:rPr>
                <w:rFonts w:hint="eastAsia" w:ascii="仿宋" w:hAnsi="仿宋" w:eastAsia="仿宋" w:cs="仿宋"/>
                <w:spacing w:val="5"/>
                <w:sz w:val="21"/>
                <w:szCs w:val="21"/>
                <w:highlight w:val="none"/>
                <w:lang w:val="en-US" w:eastAsia="zh-CN"/>
              </w:rPr>
              <w:t>，</w:t>
            </w:r>
            <w:r>
              <w:rPr>
                <w:rFonts w:hint="eastAsia" w:ascii="仿宋" w:hAnsi="仿宋" w:eastAsia="仿宋" w:cs="仿宋"/>
                <w:b w:val="0"/>
                <w:bCs/>
                <w:spacing w:val="-3"/>
                <w:sz w:val="21"/>
                <w:szCs w:val="21"/>
                <w:highlight w:val="none"/>
              </w:rPr>
              <w:t>6</w:t>
            </w:r>
            <w:r>
              <w:rPr>
                <w:rFonts w:hint="eastAsia" w:ascii="仿宋" w:hAnsi="仿宋" w:eastAsia="仿宋" w:cs="仿宋"/>
                <w:b w:val="0"/>
                <w:bCs/>
                <w:spacing w:val="-3"/>
                <w:sz w:val="21"/>
                <w:szCs w:val="21"/>
                <w:highlight w:val="none"/>
                <w:lang w:val="en-US" w:eastAsia="zh-CN"/>
              </w:rPr>
              <w:t>F</w:t>
            </w:r>
            <w:r>
              <w:rPr>
                <w:rFonts w:hint="eastAsia" w:ascii="仿宋" w:hAnsi="仿宋" w:eastAsia="仿宋" w:cs="仿宋"/>
                <w:sz w:val="21"/>
                <w:szCs w:val="21"/>
                <w:highlight w:val="none"/>
              </w:rPr>
              <w:t>办公室、会议室、配线间等</w:t>
            </w:r>
            <w:r>
              <w:rPr>
                <w:rFonts w:hint="eastAsia" w:ascii="仿宋" w:hAnsi="仿宋" w:eastAsia="仿宋" w:cs="仿宋"/>
                <w:sz w:val="21"/>
                <w:szCs w:val="21"/>
                <w:highlight w:val="none"/>
                <w:lang w:eastAsia="zh-CN"/>
              </w:rPr>
              <w:t>区域</w:t>
            </w:r>
            <w:r>
              <w:rPr>
                <w:rFonts w:hint="eastAsia" w:ascii="仿宋" w:hAnsi="仿宋" w:eastAsia="仿宋" w:cs="仿宋"/>
                <w:sz w:val="21"/>
                <w:szCs w:val="21"/>
                <w:highlight w:val="none"/>
                <w:lang w:val="en-US" w:eastAsia="zh-CN"/>
              </w:rPr>
              <w:t>硬件设备管理维护保养等工作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00" w:hRule="atLeast"/>
          <w:jc w:val="center"/>
        </w:trPr>
        <w:tc>
          <w:tcPr>
            <w:tcW w:w="636" w:type="pct"/>
            <w:vMerge w:val="restart"/>
            <w:tcBorders>
              <w:top w:val="single" w:color="auto" w:sz="4" w:space="0"/>
              <w:left w:val="single" w:color="auto" w:sz="4" w:space="0"/>
              <w:right w:val="single" w:color="auto" w:sz="4" w:space="0"/>
            </w:tcBorders>
            <w:noWrap w:val="0"/>
            <w:tcMar>
              <w:top w:w="12" w:type="dxa"/>
              <w:left w:w="12" w:type="dxa"/>
              <w:right w:w="12" w:type="dxa"/>
            </w:tcMar>
            <w:vAlign w:val="center"/>
          </w:tcPr>
          <w:p>
            <w:pPr>
              <w:keepNext w:val="0"/>
              <w:keepLines w:val="0"/>
              <w:pageBreakBefore w:val="0"/>
              <w:widowControl w:val="0"/>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i w:val="0"/>
                <w:color w:val="000000"/>
                <w:sz w:val="21"/>
                <w:szCs w:val="21"/>
                <w:highlight w:val="none"/>
                <w:u w:val="none"/>
                <w:lang w:val="en-US" w:eastAsia="zh-CN"/>
              </w:rPr>
            </w:pPr>
            <w:r>
              <w:rPr>
                <w:rFonts w:hint="eastAsia" w:ascii="仿宋" w:hAnsi="仿宋" w:eastAsia="仿宋" w:cs="仿宋"/>
                <w:i w:val="0"/>
                <w:color w:val="000000"/>
                <w:sz w:val="21"/>
                <w:szCs w:val="21"/>
                <w:highlight w:val="none"/>
                <w:u w:val="none"/>
                <w:lang w:val="en-US" w:eastAsia="zh-CN"/>
              </w:rPr>
              <w:t>现场服务</w:t>
            </w:r>
          </w:p>
        </w:tc>
        <w:tc>
          <w:tcPr>
            <w:tcW w:w="4363" w:type="pct"/>
            <w:tcBorders>
              <w:top w:val="single" w:color="auto" w:sz="4" w:space="0"/>
              <w:left w:val="single" w:color="auto" w:sz="4" w:space="0"/>
              <w:bottom w:val="single" w:color="auto" w:sz="4" w:space="0"/>
              <w:right w:val="single" w:color="auto" w:sz="4" w:space="0"/>
            </w:tcBorders>
            <w:noWrap w:val="0"/>
            <w:tcMar>
              <w:top w:w="12" w:type="dxa"/>
              <w:left w:w="12" w:type="dxa"/>
              <w:right w:w="12" w:type="dxa"/>
            </w:tcMar>
            <w:vAlign w:val="center"/>
          </w:tcPr>
          <w:p>
            <w:pPr>
              <w:keepNext w:val="0"/>
              <w:keepLines w:val="0"/>
              <w:pageBreakBefore w:val="0"/>
              <w:widowControl w:val="0"/>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color w:val="000000"/>
                <w:sz w:val="21"/>
                <w:szCs w:val="21"/>
                <w:highlight w:val="none"/>
                <w:u w:val="none"/>
                <w:lang w:val="en-US" w:eastAsia="zh-CN"/>
              </w:rPr>
            </w:pPr>
            <w:r>
              <w:rPr>
                <w:rFonts w:hint="eastAsia" w:ascii="仿宋" w:hAnsi="仿宋" w:eastAsia="仿宋" w:cs="仿宋"/>
                <w:i w:val="0"/>
                <w:color w:val="000000"/>
                <w:sz w:val="21"/>
                <w:szCs w:val="21"/>
                <w:highlight w:val="none"/>
                <w:u w:val="none"/>
                <w:lang w:val="en-US" w:eastAsia="zh-CN"/>
              </w:rPr>
              <w:t>办公耗材、配件更换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00" w:hRule="atLeast"/>
          <w:jc w:val="center"/>
        </w:trPr>
        <w:tc>
          <w:tcPr>
            <w:tcW w:w="636" w:type="pct"/>
            <w:vMerge w:val="continue"/>
            <w:tcBorders>
              <w:left w:val="single" w:color="auto" w:sz="4" w:space="0"/>
              <w:right w:val="single" w:color="auto" w:sz="4" w:space="0"/>
            </w:tcBorders>
            <w:noWrap w:val="0"/>
            <w:tcMar>
              <w:top w:w="12" w:type="dxa"/>
              <w:left w:w="12" w:type="dxa"/>
              <w:right w:w="12" w:type="dxa"/>
            </w:tcMar>
            <w:vAlign w:val="center"/>
          </w:tcPr>
          <w:p>
            <w:pPr>
              <w:keepNext w:val="0"/>
              <w:keepLines w:val="0"/>
              <w:pageBreakBefore w:val="0"/>
              <w:widowControl w:val="0"/>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color w:val="000000"/>
                <w:sz w:val="21"/>
                <w:szCs w:val="21"/>
                <w:highlight w:val="none"/>
                <w:u w:val="none"/>
                <w:lang w:val="en-US" w:eastAsia="zh-CN"/>
              </w:rPr>
            </w:pPr>
          </w:p>
        </w:tc>
        <w:tc>
          <w:tcPr>
            <w:tcW w:w="4363" w:type="pct"/>
            <w:tcBorders>
              <w:top w:val="single" w:color="auto" w:sz="4" w:space="0"/>
              <w:left w:val="single" w:color="auto" w:sz="4" w:space="0"/>
              <w:bottom w:val="single" w:color="auto" w:sz="4" w:space="0"/>
              <w:right w:val="single" w:color="auto" w:sz="4" w:space="0"/>
            </w:tcBorders>
            <w:noWrap w:val="0"/>
            <w:tcMar>
              <w:top w:w="12" w:type="dxa"/>
              <w:left w:w="12" w:type="dxa"/>
              <w:right w:w="12" w:type="dxa"/>
            </w:tcMar>
            <w:vAlign w:val="center"/>
          </w:tcPr>
          <w:p>
            <w:pPr>
              <w:keepNext w:val="0"/>
              <w:keepLines w:val="0"/>
              <w:pageBreakBefore w:val="0"/>
              <w:widowControl w:val="0"/>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color w:val="000000"/>
                <w:sz w:val="21"/>
                <w:szCs w:val="21"/>
                <w:highlight w:val="none"/>
                <w:u w:val="none"/>
                <w:lang w:val="en-US" w:eastAsia="zh-CN"/>
              </w:rPr>
            </w:pPr>
            <w:r>
              <w:rPr>
                <w:rFonts w:hint="eastAsia" w:ascii="仿宋" w:hAnsi="仿宋" w:eastAsia="仿宋" w:cs="仿宋"/>
                <w:i w:val="0"/>
                <w:color w:val="000000"/>
                <w:sz w:val="21"/>
                <w:szCs w:val="21"/>
                <w:highlight w:val="none"/>
                <w:u w:val="none"/>
                <w:lang w:val="en-US" w:eastAsia="zh-CN"/>
              </w:rPr>
              <w:t>办公及人员考核系统软件维护</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00" w:hRule="atLeast"/>
          <w:jc w:val="center"/>
        </w:trPr>
        <w:tc>
          <w:tcPr>
            <w:tcW w:w="636" w:type="pct"/>
            <w:vMerge w:val="continue"/>
            <w:tcBorders>
              <w:left w:val="single" w:color="auto" w:sz="4" w:space="0"/>
              <w:right w:val="single" w:color="auto" w:sz="4" w:space="0"/>
            </w:tcBorders>
            <w:noWrap w:val="0"/>
            <w:tcMar>
              <w:top w:w="12" w:type="dxa"/>
              <w:left w:w="12" w:type="dxa"/>
              <w:right w:w="12" w:type="dxa"/>
            </w:tcMar>
            <w:vAlign w:val="center"/>
          </w:tcPr>
          <w:p>
            <w:pPr>
              <w:keepNext w:val="0"/>
              <w:keepLines w:val="0"/>
              <w:pageBreakBefore w:val="0"/>
              <w:widowControl w:val="0"/>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color w:val="000000"/>
                <w:sz w:val="21"/>
                <w:szCs w:val="21"/>
                <w:highlight w:val="none"/>
                <w:u w:val="none"/>
                <w:lang w:val="en-US" w:eastAsia="zh-CN"/>
              </w:rPr>
            </w:pPr>
          </w:p>
        </w:tc>
        <w:tc>
          <w:tcPr>
            <w:tcW w:w="4363" w:type="pct"/>
            <w:tcBorders>
              <w:top w:val="single" w:color="auto" w:sz="4" w:space="0"/>
              <w:left w:val="single" w:color="auto" w:sz="4" w:space="0"/>
              <w:bottom w:val="single" w:color="auto" w:sz="4" w:space="0"/>
              <w:right w:val="single" w:color="auto" w:sz="4" w:space="0"/>
            </w:tcBorders>
            <w:noWrap w:val="0"/>
            <w:tcMar>
              <w:top w:w="12" w:type="dxa"/>
              <w:left w:w="12" w:type="dxa"/>
              <w:right w:w="12" w:type="dxa"/>
            </w:tcMar>
            <w:vAlign w:val="center"/>
          </w:tcPr>
          <w:p>
            <w:pPr>
              <w:keepNext w:val="0"/>
              <w:keepLines w:val="0"/>
              <w:pageBreakBefore w:val="0"/>
              <w:widowControl w:val="0"/>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color w:val="000000"/>
                <w:sz w:val="21"/>
                <w:szCs w:val="21"/>
                <w:highlight w:val="none"/>
                <w:u w:val="none"/>
                <w:lang w:val="en-US" w:eastAsia="zh-CN"/>
              </w:rPr>
            </w:pPr>
            <w:r>
              <w:rPr>
                <w:rFonts w:hint="eastAsia" w:ascii="仿宋" w:hAnsi="仿宋" w:eastAsia="仿宋" w:cs="仿宋"/>
                <w:i w:val="0"/>
                <w:color w:val="000000"/>
                <w:sz w:val="21"/>
                <w:szCs w:val="21"/>
                <w:highlight w:val="none"/>
                <w:u w:val="none"/>
                <w:lang w:val="en-US" w:eastAsia="zh-CN"/>
              </w:rPr>
              <w:t>配线间每日巡查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00" w:hRule="atLeast"/>
          <w:jc w:val="center"/>
        </w:trPr>
        <w:tc>
          <w:tcPr>
            <w:tcW w:w="636" w:type="pct"/>
            <w:vMerge w:val="continue"/>
            <w:tcBorders>
              <w:left w:val="single" w:color="auto" w:sz="4" w:space="0"/>
              <w:bottom w:val="single" w:color="auto" w:sz="4" w:space="0"/>
              <w:right w:val="single" w:color="auto" w:sz="4" w:space="0"/>
            </w:tcBorders>
            <w:noWrap w:val="0"/>
            <w:tcMar>
              <w:top w:w="12" w:type="dxa"/>
              <w:left w:w="12" w:type="dxa"/>
              <w:right w:w="12" w:type="dxa"/>
            </w:tcMar>
            <w:vAlign w:val="center"/>
          </w:tcPr>
          <w:p>
            <w:pPr>
              <w:keepNext w:val="0"/>
              <w:keepLines w:val="0"/>
              <w:pageBreakBefore w:val="0"/>
              <w:widowControl w:val="0"/>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color w:val="000000"/>
                <w:sz w:val="21"/>
                <w:szCs w:val="21"/>
                <w:highlight w:val="none"/>
                <w:u w:val="none"/>
                <w:lang w:val="en-US" w:eastAsia="zh-CN"/>
              </w:rPr>
            </w:pPr>
          </w:p>
        </w:tc>
        <w:tc>
          <w:tcPr>
            <w:tcW w:w="4363" w:type="pct"/>
            <w:tcBorders>
              <w:top w:val="single" w:color="auto" w:sz="4" w:space="0"/>
              <w:left w:val="single" w:color="auto" w:sz="4" w:space="0"/>
              <w:bottom w:val="single" w:color="auto" w:sz="4" w:space="0"/>
              <w:right w:val="single" w:color="auto" w:sz="4" w:space="0"/>
            </w:tcBorders>
            <w:noWrap w:val="0"/>
            <w:tcMar>
              <w:top w:w="12" w:type="dxa"/>
              <w:left w:w="12" w:type="dxa"/>
              <w:right w:w="12" w:type="dxa"/>
            </w:tcMar>
            <w:vAlign w:val="center"/>
          </w:tcPr>
          <w:p>
            <w:pPr>
              <w:keepNext w:val="0"/>
              <w:keepLines w:val="0"/>
              <w:pageBreakBefore w:val="0"/>
              <w:widowControl w:val="0"/>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color w:val="000000"/>
                <w:sz w:val="21"/>
                <w:szCs w:val="21"/>
                <w:highlight w:val="none"/>
                <w:u w:val="none"/>
                <w:lang w:val="en-US" w:eastAsia="zh-CN"/>
              </w:rPr>
            </w:pPr>
            <w:r>
              <w:rPr>
                <w:rFonts w:hint="eastAsia" w:ascii="仿宋" w:hAnsi="仿宋" w:eastAsia="仿宋" w:cs="仿宋"/>
                <w:i w:val="0"/>
                <w:color w:val="000000"/>
                <w:sz w:val="21"/>
                <w:szCs w:val="21"/>
                <w:highlight w:val="none"/>
                <w:u w:val="none"/>
                <w:lang w:val="en-US" w:eastAsia="zh-CN"/>
              </w:rPr>
              <w:t>-1F-6F范围内设备每日巡查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00" w:hRule="atLeast"/>
          <w:jc w:val="center"/>
        </w:trPr>
        <w:tc>
          <w:tcPr>
            <w:tcW w:w="636" w:type="pct"/>
            <w:vMerge w:val="continue"/>
            <w:tcBorders>
              <w:top w:val="single" w:color="auto" w:sz="4" w:space="0"/>
              <w:left w:val="single" w:color="auto" w:sz="4" w:space="0"/>
              <w:right w:val="single" w:color="auto" w:sz="4" w:space="0"/>
            </w:tcBorders>
            <w:noWrap w:val="0"/>
            <w:tcMar>
              <w:top w:w="12" w:type="dxa"/>
              <w:left w:w="12" w:type="dxa"/>
              <w:right w:w="12" w:type="dxa"/>
            </w:tcMar>
            <w:vAlign w:val="center"/>
          </w:tcPr>
          <w:p>
            <w:pPr>
              <w:keepNext w:val="0"/>
              <w:keepLines w:val="0"/>
              <w:pageBreakBefore w:val="0"/>
              <w:widowControl w:val="0"/>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color w:val="000000"/>
                <w:sz w:val="21"/>
                <w:szCs w:val="21"/>
                <w:highlight w:val="none"/>
                <w:u w:val="none"/>
                <w:lang w:val="en-US" w:eastAsia="zh-CN"/>
              </w:rPr>
            </w:pPr>
          </w:p>
        </w:tc>
        <w:tc>
          <w:tcPr>
            <w:tcW w:w="4363" w:type="pct"/>
            <w:tcBorders>
              <w:top w:val="single" w:color="auto" w:sz="4" w:space="0"/>
              <w:left w:val="single" w:color="auto" w:sz="4" w:space="0"/>
              <w:bottom w:val="single" w:color="auto" w:sz="4" w:space="0"/>
              <w:right w:val="single" w:color="auto" w:sz="4" w:space="0"/>
            </w:tcBorders>
            <w:noWrap w:val="0"/>
            <w:tcMar>
              <w:top w:w="12" w:type="dxa"/>
              <w:left w:w="12" w:type="dxa"/>
              <w:right w:w="12" w:type="dxa"/>
            </w:tcMar>
            <w:vAlign w:val="center"/>
          </w:tcPr>
          <w:p>
            <w:pPr>
              <w:keepNext w:val="0"/>
              <w:keepLines w:val="0"/>
              <w:pageBreakBefore w:val="0"/>
              <w:widowControl w:val="0"/>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color w:val="000000"/>
                <w:sz w:val="21"/>
                <w:szCs w:val="21"/>
                <w:highlight w:val="none"/>
                <w:u w:val="none"/>
                <w:lang w:val="en-US" w:eastAsia="zh-CN"/>
              </w:rPr>
            </w:pPr>
            <w:r>
              <w:rPr>
                <w:rFonts w:hint="eastAsia" w:ascii="仿宋" w:hAnsi="仿宋" w:eastAsia="仿宋" w:cs="仿宋"/>
                <w:i w:val="0"/>
                <w:color w:val="000000"/>
                <w:sz w:val="21"/>
                <w:szCs w:val="21"/>
                <w:highlight w:val="none"/>
                <w:u w:val="none"/>
                <w:lang w:val="en-US" w:eastAsia="zh-CN"/>
              </w:rPr>
              <w:t>中庭大屏和挂墙电视按要求播放不同内容以及屏保</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00" w:hRule="atLeast"/>
          <w:jc w:val="center"/>
        </w:trPr>
        <w:tc>
          <w:tcPr>
            <w:tcW w:w="636" w:type="pct"/>
            <w:vMerge w:val="continue"/>
            <w:tcBorders>
              <w:left w:val="single" w:color="auto" w:sz="4" w:space="0"/>
              <w:right w:val="single" w:color="auto" w:sz="4" w:space="0"/>
            </w:tcBorders>
            <w:noWrap w:val="0"/>
            <w:tcMar>
              <w:top w:w="12" w:type="dxa"/>
              <w:left w:w="12" w:type="dxa"/>
              <w:right w:w="12" w:type="dxa"/>
            </w:tcMar>
            <w:vAlign w:val="center"/>
          </w:tcPr>
          <w:p>
            <w:pPr>
              <w:keepNext w:val="0"/>
              <w:keepLines w:val="0"/>
              <w:pageBreakBefore w:val="0"/>
              <w:widowControl w:val="0"/>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color w:val="000000"/>
                <w:sz w:val="21"/>
                <w:szCs w:val="21"/>
                <w:highlight w:val="none"/>
                <w:u w:val="none"/>
                <w:lang w:val="en-US" w:eastAsia="zh-CN"/>
              </w:rPr>
            </w:pPr>
          </w:p>
        </w:tc>
        <w:tc>
          <w:tcPr>
            <w:tcW w:w="4363" w:type="pct"/>
            <w:tcBorders>
              <w:top w:val="single" w:color="auto" w:sz="4" w:space="0"/>
              <w:left w:val="single" w:color="auto" w:sz="4" w:space="0"/>
              <w:bottom w:val="single" w:color="auto" w:sz="4" w:space="0"/>
              <w:right w:val="single" w:color="auto" w:sz="4" w:space="0"/>
            </w:tcBorders>
            <w:noWrap w:val="0"/>
            <w:tcMar>
              <w:top w:w="12" w:type="dxa"/>
              <w:left w:w="12" w:type="dxa"/>
              <w:right w:w="12" w:type="dxa"/>
            </w:tcMar>
            <w:vAlign w:val="center"/>
          </w:tcPr>
          <w:p>
            <w:pPr>
              <w:keepNext w:val="0"/>
              <w:keepLines w:val="0"/>
              <w:pageBreakBefore w:val="0"/>
              <w:widowControl w:val="0"/>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color w:val="000000"/>
                <w:sz w:val="21"/>
                <w:szCs w:val="21"/>
                <w:highlight w:val="none"/>
                <w:u w:val="none"/>
                <w:lang w:val="en-US" w:eastAsia="zh-CN"/>
              </w:rPr>
            </w:pPr>
            <w:r>
              <w:rPr>
                <w:rFonts w:hint="eastAsia" w:ascii="仿宋" w:hAnsi="仿宋" w:eastAsia="仿宋" w:cs="仿宋"/>
                <w:i w:val="0"/>
                <w:color w:val="000000"/>
                <w:sz w:val="21"/>
                <w:szCs w:val="21"/>
                <w:highlight w:val="none"/>
                <w:u w:val="none"/>
                <w:lang w:val="en-US" w:eastAsia="zh-CN"/>
              </w:rPr>
              <w:t>大厅条屏内容变更、考勤录入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00" w:hRule="atLeast"/>
          <w:jc w:val="center"/>
        </w:trPr>
        <w:tc>
          <w:tcPr>
            <w:tcW w:w="636" w:type="pct"/>
            <w:vMerge w:val="continue"/>
            <w:tcBorders>
              <w:left w:val="single" w:color="auto" w:sz="4" w:space="0"/>
              <w:right w:val="single" w:color="auto" w:sz="4" w:space="0"/>
            </w:tcBorders>
            <w:noWrap w:val="0"/>
            <w:tcMar>
              <w:top w:w="12" w:type="dxa"/>
              <w:left w:w="12" w:type="dxa"/>
              <w:right w:w="12" w:type="dxa"/>
            </w:tcMar>
            <w:vAlign w:val="center"/>
          </w:tcPr>
          <w:p>
            <w:pPr>
              <w:keepNext w:val="0"/>
              <w:keepLines w:val="0"/>
              <w:pageBreakBefore w:val="0"/>
              <w:widowControl w:val="0"/>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color w:val="000000"/>
                <w:sz w:val="21"/>
                <w:szCs w:val="21"/>
                <w:highlight w:val="none"/>
                <w:u w:val="none"/>
                <w:lang w:val="en-US" w:eastAsia="zh-CN"/>
              </w:rPr>
            </w:pPr>
          </w:p>
        </w:tc>
        <w:tc>
          <w:tcPr>
            <w:tcW w:w="4363" w:type="pct"/>
            <w:tcBorders>
              <w:top w:val="single" w:color="auto" w:sz="4" w:space="0"/>
              <w:left w:val="single" w:color="auto" w:sz="4" w:space="0"/>
              <w:bottom w:val="single" w:color="auto" w:sz="4" w:space="0"/>
              <w:right w:val="single" w:color="auto" w:sz="4" w:space="0"/>
            </w:tcBorders>
            <w:noWrap w:val="0"/>
            <w:tcMar>
              <w:top w:w="12" w:type="dxa"/>
              <w:left w:w="12" w:type="dxa"/>
              <w:right w:w="12" w:type="dxa"/>
            </w:tcMar>
            <w:vAlign w:val="center"/>
          </w:tcPr>
          <w:p>
            <w:pPr>
              <w:keepNext w:val="0"/>
              <w:keepLines w:val="0"/>
              <w:pageBreakBefore w:val="0"/>
              <w:widowControl w:val="0"/>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color w:val="000000"/>
                <w:sz w:val="21"/>
                <w:szCs w:val="21"/>
                <w:highlight w:val="none"/>
                <w:u w:val="none"/>
                <w:lang w:val="en-US" w:eastAsia="zh-CN"/>
              </w:rPr>
            </w:pPr>
            <w:r>
              <w:rPr>
                <w:rFonts w:hint="eastAsia" w:ascii="仿宋" w:hAnsi="仿宋" w:eastAsia="仿宋" w:cs="仿宋"/>
                <w:i w:val="0"/>
                <w:color w:val="000000"/>
                <w:sz w:val="21"/>
                <w:szCs w:val="21"/>
                <w:highlight w:val="none"/>
                <w:u w:val="none"/>
                <w:lang w:val="en-US" w:eastAsia="zh-CN"/>
              </w:rPr>
              <w:t>各类保障活动的现场网络和设备保障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00" w:hRule="atLeast"/>
          <w:jc w:val="center"/>
        </w:trPr>
        <w:tc>
          <w:tcPr>
            <w:tcW w:w="636" w:type="pct"/>
            <w:vMerge w:val="continue"/>
            <w:tcBorders>
              <w:left w:val="single" w:color="auto" w:sz="4" w:space="0"/>
              <w:right w:val="single" w:color="auto" w:sz="4" w:space="0"/>
            </w:tcBorders>
            <w:noWrap w:val="0"/>
            <w:tcMar>
              <w:top w:w="12" w:type="dxa"/>
              <w:left w:w="12" w:type="dxa"/>
              <w:right w:w="12" w:type="dxa"/>
            </w:tcMar>
            <w:vAlign w:val="center"/>
          </w:tcPr>
          <w:p>
            <w:pPr>
              <w:keepNext w:val="0"/>
              <w:keepLines w:val="0"/>
              <w:pageBreakBefore w:val="0"/>
              <w:widowControl w:val="0"/>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color w:val="000000"/>
                <w:sz w:val="21"/>
                <w:szCs w:val="21"/>
                <w:highlight w:val="none"/>
                <w:u w:val="none"/>
                <w:lang w:val="en-US" w:eastAsia="zh-CN"/>
              </w:rPr>
            </w:pPr>
          </w:p>
        </w:tc>
        <w:tc>
          <w:tcPr>
            <w:tcW w:w="4363" w:type="pct"/>
            <w:tcBorders>
              <w:top w:val="single" w:color="auto" w:sz="4" w:space="0"/>
              <w:left w:val="single" w:color="auto" w:sz="4" w:space="0"/>
              <w:bottom w:val="single" w:color="auto" w:sz="4" w:space="0"/>
              <w:right w:val="single" w:color="auto" w:sz="4" w:space="0"/>
            </w:tcBorders>
            <w:noWrap w:val="0"/>
            <w:tcMar>
              <w:top w:w="12" w:type="dxa"/>
              <w:left w:w="12" w:type="dxa"/>
              <w:right w:w="12" w:type="dxa"/>
            </w:tcMar>
            <w:vAlign w:val="center"/>
          </w:tcPr>
          <w:p>
            <w:pPr>
              <w:keepNext w:val="0"/>
              <w:keepLines w:val="0"/>
              <w:pageBreakBefore w:val="0"/>
              <w:widowControl w:val="0"/>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color w:val="000000"/>
                <w:sz w:val="21"/>
                <w:szCs w:val="21"/>
                <w:highlight w:val="none"/>
                <w:u w:val="none"/>
                <w:lang w:val="en-US" w:eastAsia="zh-CN"/>
              </w:rPr>
            </w:pPr>
            <w:r>
              <w:rPr>
                <w:rFonts w:hint="eastAsia" w:ascii="仿宋" w:hAnsi="仿宋" w:eastAsia="仿宋" w:cs="仿宋"/>
                <w:spacing w:val="1"/>
                <w:sz w:val="21"/>
                <w:szCs w:val="21"/>
                <w:highlight w:val="none"/>
              </w:rPr>
              <w:t>根据要求提供各项会议的协助支持(如网络安</w:t>
            </w:r>
            <w:r>
              <w:rPr>
                <w:rFonts w:hint="eastAsia" w:ascii="仿宋" w:hAnsi="仿宋" w:eastAsia="仿宋" w:cs="仿宋"/>
                <w:sz w:val="21"/>
                <w:szCs w:val="21"/>
                <w:highlight w:val="none"/>
              </w:rPr>
              <w:t>全视频点</w:t>
            </w:r>
            <w:r>
              <w:rPr>
                <w:rFonts w:hint="eastAsia" w:ascii="仿宋" w:hAnsi="仿宋" w:eastAsia="仿宋" w:cs="仿宋"/>
                <w:spacing w:val="2"/>
                <w:sz w:val="21"/>
                <w:szCs w:val="21"/>
                <w:highlight w:val="none"/>
              </w:rPr>
              <w:t>名、开展大楼网络安全防护、安装正版化软件插件等)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77" w:hRule="atLeast"/>
          <w:jc w:val="center"/>
        </w:trPr>
        <w:tc>
          <w:tcPr>
            <w:tcW w:w="636" w:type="pct"/>
            <w:vMerge w:val="continue"/>
            <w:tcBorders>
              <w:left w:val="single" w:color="auto" w:sz="4" w:space="0"/>
              <w:right w:val="single" w:color="auto" w:sz="4" w:space="0"/>
            </w:tcBorders>
            <w:noWrap w:val="0"/>
            <w:tcMar>
              <w:top w:w="12" w:type="dxa"/>
              <w:left w:w="12" w:type="dxa"/>
              <w:right w:w="12" w:type="dxa"/>
            </w:tcMar>
            <w:vAlign w:val="center"/>
          </w:tcPr>
          <w:p>
            <w:pPr>
              <w:keepNext w:val="0"/>
              <w:keepLines w:val="0"/>
              <w:pageBreakBefore w:val="0"/>
              <w:widowControl w:val="0"/>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color w:val="000000"/>
                <w:sz w:val="21"/>
                <w:szCs w:val="21"/>
                <w:highlight w:val="none"/>
                <w:u w:val="none"/>
                <w:lang w:val="en-US" w:eastAsia="zh-CN"/>
              </w:rPr>
            </w:pPr>
          </w:p>
        </w:tc>
        <w:tc>
          <w:tcPr>
            <w:tcW w:w="4363" w:type="pct"/>
            <w:tcBorders>
              <w:top w:val="single" w:color="auto" w:sz="4" w:space="0"/>
              <w:left w:val="single" w:color="auto" w:sz="4" w:space="0"/>
              <w:bottom w:val="single" w:color="auto" w:sz="4" w:space="0"/>
              <w:right w:val="single" w:color="auto" w:sz="4" w:space="0"/>
            </w:tcBorders>
            <w:noWrap w:val="0"/>
            <w:tcMar>
              <w:top w:w="12" w:type="dxa"/>
              <w:left w:w="12" w:type="dxa"/>
              <w:right w:w="12" w:type="dxa"/>
            </w:tcMar>
            <w:vAlign w:val="center"/>
          </w:tcPr>
          <w:p>
            <w:pPr>
              <w:keepNext w:val="0"/>
              <w:keepLines w:val="0"/>
              <w:pageBreakBefore w:val="0"/>
              <w:widowControl w:val="0"/>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color w:val="000000"/>
                <w:sz w:val="21"/>
                <w:szCs w:val="21"/>
                <w:highlight w:val="none"/>
                <w:u w:val="none"/>
                <w:lang w:val="en-US" w:eastAsia="zh-CN"/>
              </w:rPr>
            </w:pPr>
            <w:r>
              <w:rPr>
                <w:rFonts w:hint="eastAsia" w:ascii="仿宋" w:hAnsi="仿宋" w:eastAsia="仿宋" w:cs="仿宋"/>
                <w:i w:val="0"/>
                <w:color w:val="000000"/>
                <w:sz w:val="21"/>
                <w:szCs w:val="21"/>
                <w:highlight w:val="none"/>
                <w:u w:val="none"/>
                <w:lang w:val="en-US" w:eastAsia="zh-CN"/>
              </w:rPr>
              <w:t>协助信息中心参与网络安全运维，对有安全事件IP地址定位物理位置，进行设备维护</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8" w:hRule="atLeast"/>
          <w:jc w:val="center"/>
        </w:trPr>
        <w:tc>
          <w:tcPr>
            <w:tcW w:w="636" w:type="pct"/>
            <w:vMerge w:val="continue"/>
            <w:tcBorders>
              <w:left w:val="single" w:color="auto" w:sz="4" w:space="0"/>
              <w:right w:val="single" w:color="auto" w:sz="4" w:space="0"/>
            </w:tcBorders>
            <w:noWrap w:val="0"/>
            <w:tcMar>
              <w:top w:w="12" w:type="dxa"/>
              <w:left w:w="12" w:type="dxa"/>
              <w:right w:w="12" w:type="dxa"/>
            </w:tcMar>
            <w:vAlign w:val="center"/>
          </w:tcPr>
          <w:p>
            <w:pPr>
              <w:keepNext w:val="0"/>
              <w:keepLines w:val="0"/>
              <w:pageBreakBefore w:val="0"/>
              <w:widowControl w:val="0"/>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color w:val="000000"/>
                <w:sz w:val="21"/>
                <w:szCs w:val="21"/>
                <w:highlight w:val="none"/>
                <w:u w:val="none"/>
                <w:lang w:val="en-US" w:eastAsia="zh-CN"/>
              </w:rPr>
            </w:pPr>
          </w:p>
        </w:tc>
        <w:tc>
          <w:tcPr>
            <w:tcW w:w="4363" w:type="pct"/>
            <w:tcBorders>
              <w:top w:val="single" w:color="auto" w:sz="4" w:space="0"/>
              <w:left w:val="single" w:color="auto" w:sz="4" w:space="0"/>
              <w:bottom w:val="single" w:color="auto" w:sz="4" w:space="0"/>
              <w:right w:val="single" w:color="auto" w:sz="4" w:space="0"/>
            </w:tcBorders>
            <w:noWrap w:val="0"/>
            <w:tcMar>
              <w:top w:w="12" w:type="dxa"/>
              <w:left w:w="12" w:type="dxa"/>
              <w:right w:w="12" w:type="dxa"/>
            </w:tcMar>
            <w:vAlign w:val="center"/>
          </w:tcPr>
          <w:p>
            <w:pPr>
              <w:keepNext w:val="0"/>
              <w:keepLines w:val="0"/>
              <w:pageBreakBefore w:val="0"/>
              <w:widowControl w:val="0"/>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color w:val="000000"/>
                <w:sz w:val="21"/>
                <w:szCs w:val="21"/>
                <w:highlight w:val="none"/>
                <w:u w:val="none"/>
                <w:lang w:val="en-US" w:eastAsia="zh-CN"/>
              </w:rPr>
            </w:pPr>
            <w:r>
              <w:rPr>
                <w:rFonts w:hint="eastAsia" w:ascii="仿宋" w:hAnsi="仿宋" w:eastAsia="仿宋" w:cs="仿宋"/>
                <w:i w:val="0"/>
                <w:color w:val="000000"/>
                <w:sz w:val="21"/>
                <w:szCs w:val="21"/>
                <w:highlight w:val="none"/>
                <w:u w:val="none"/>
                <w:lang w:val="en-US" w:eastAsia="zh-CN"/>
              </w:rPr>
              <w:t>汇总每周相关信息化设备、系统运行状态、运维记录和安全事件处置情况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0" w:hRule="atLeast"/>
          <w:jc w:val="center"/>
        </w:trPr>
        <w:tc>
          <w:tcPr>
            <w:tcW w:w="636" w:type="pct"/>
            <w:vMerge w:val="continue"/>
            <w:tcBorders>
              <w:left w:val="single" w:color="auto" w:sz="4" w:space="0"/>
              <w:right w:val="single" w:color="auto" w:sz="4" w:space="0"/>
            </w:tcBorders>
            <w:noWrap w:val="0"/>
            <w:tcMar>
              <w:top w:w="12" w:type="dxa"/>
              <w:left w:w="12" w:type="dxa"/>
              <w:right w:w="12" w:type="dxa"/>
            </w:tcMar>
            <w:vAlign w:val="center"/>
          </w:tcPr>
          <w:p>
            <w:pPr>
              <w:keepNext w:val="0"/>
              <w:keepLines w:val="0"/>
              <w:pageBreakBefore w:val="0"/>
              <w:widowControl w:val="0"/>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color w:val="000000"/>
                <w:sz w:val="21"/>
                <w:szCs w:val="21"/>
                <w:highlight w:val="none"/>
                <w:u w:val="none"/>
                <w:lang w:val="en-US" w:eastAsia="zh-CN"/>
              </w:rPr>
            </w:pPr>
          </w:p>
        </w:tc>
        <w:tc>
          <w:tcPr>
            <w:tcW w:w="4363" w:type="pct"/>
            <w:tcBorders>
              <w:top w:val="single" w:color="auto" w:sz="4" w:space="0"/>
              <w:left w:val="single" w:color="auto" w:sz="4" w:space="0"/>
              <w:bottom w:val="single" w:color="auto" w:sz="4" w:space="0"/>
              <w:right w:val="single" w:color="auto" w:sz="4" w:space="0"/>
            </w:tcBorders>
            <w:noWrap w:val="0"/>
            <w:tcMar>
              <w:top w:w="12" w:type="dxa"/>
              <w:left w:w="12" w:type="dxa"/>
              <w:right w:w="12" w:type="dxa"/>
            </w:tcMar>
            <w:vAlign w:val="center"/>
          </w:tcPr>
          <w:p>
            <w:pPr>
              <w:keepNext w:val="0"/>
              <w:keepLines w:val="0"/>
              <w:pageBreakBefore w:val="0"/>
              <w:widowControl w:val="0"/>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color w:val="000000"/>
                <w:sz w:val="21"/>
                <w:szCs w:val="21"/>
                <w:highlight w:val="none"/>
                <w:u w:val="none"/>
                <w:lang w:val="en-US" w:eastAsia="zh-CN"/>
              </w:rPr>
            </w:pPr>
            <w:r>
              <w:rPr>
                <w:rFonts w:hint="eastAsia" w:ascii="仿宋" w:hAnsi="仿宋" w:eastAsia="仿宋" w:cs="仿宋"/>
                <w:i w:val="0"/>
                <w:color w:val="000000"/>
                <w:sz w:val="21"/>
                <w:szCs w:val="21"/>
                <w:highlight w:val="none"/>
                <w:u w:val="none"/>
                <w:lang w:val="en-US" w:eastAsia="zh-CN"/>
              </w:rPr>
              <w:t>叫号机内容的更改、统计窗口业务量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70" w:hRule="atLeast"/>
          <w:jc w:val="center"/>
        </w:trPr>
        <w:tc>
          <w:tcPr>
            <w:tcW w:w="636" w:type="pct"/>
            <w:vMerge w:val="continue"/>
            <w:tcBorders>
              <w:left w:val="single" w:color="auto" w:sz="4" w:space="0"/>
              <w:bottom w:val="single" w:color="auto" w:sz="4" w:space="0"/>
              <w:right w:val="single" w:color="auto" w:sz="4" w:space="0"/>
            </w:tcBorders>
            <w:noWrap w:val="0"/>
            <w:tcMar>
              <w:top w:w="12" w:type="dxa"/>
              <w:left w:w="12" w:type="dxa"/>
              <w:right w:w="12" w:type="dxa"/>
            </w:tcMar>
            <w:vAlign w:val="center"/>
          </w:tcPr>
          <w:p>
            <w:pPr>
              <w:keepNext w:val="0"/>
              <w:keepLines w:val="0"/>
              <w:pageBreakBefore w:val="0"/>
              <w:widowControl w:val="0"/>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color w:val="000000"/>
                <w:sz w:val="21"/>
                <w:szCs w:val="21"/>
                <w:highlight w:val="none"/>
                <w:u w:val="none"/>
                <w:lang w:val="en-US" w:eastAsia="zh-CN"/>
              </w:rPr>
            </w:pPr>
          </w:p>
        </w:tc>
        <w:tc>
          <w:tcPr>
            <w:tcW w:w="4363" w:type="pct"/>
            <w:tcBorders>
              <w:top w:val="single" w:color="auto" w:sz="4" w:space="0"/>
              <w:left w:val="single" w:color="auto" w:sz="4" w:space="0"/>
              <w:bottom w:val="single" w:color="auto" w:sz="4" w:space="0"/>
              <w:right w:val="single" w:color="auto" w:sz="4" w:space="0"/>
            </w:tcBorders>
            <w:noWrap w:val="0"/>
            <w:tcMar>
              <w:top w:w="12" w:type="dxa"/>
              <w:left w:w="12" w:type="dxa"/>
              <w:right w:w="12" w:type="dxa"/>
            </w:tcMar>
            <w:vAlign w:val="center"/>
          </w:tcPr>
          <w:p>
            <w:pPr>
              <w:keepNext w:val="0"/>
              <w:keepLines w:val="0"/>
              <w:pageBreakBefore w:val="0"/>
              <w:widowControl w:val="0"/>
              <w:suppressLineNumbers w:val="0"/>
              <w:kinsoku/>
              <w:wordWrap/>
              <w:overflowPunct/>
              <w:topLinePunct w:val="0"/>
              <w:autoSpaceDE/>
              <w:autoSpaceDN/>
              <w:bidi w:val="0"/>
              <w:adjustRightInd/>
              <w:snapToGrid/>
              <w:spacing w:line="300" w:lineRule="exact"/>
              <w:jc w:val="left"/>
              <w:textAlignment w:val="center"/>
              <w:rPr>
                <w:rFonts w:hint="eastAsia" w:ascii="仿宋" w:hAnsi="仿宋" w:eastAsia="仿宋" w:cs="仿宋"/>
                <w:i w:val="0"/>
                <w:color w:val="000000"/>
                <w:sz w:val="21"/>
                <w:szCs w:val="21"/>
                <w:highlight w:val="none"/>
                <w:u w:val="none"/>
                <w:lang w:val="en-US" w:eastAsia="zh-CN"/>
              </w:rPr>
            </w:pPr>
            <w:r>
              <w:rPr>
                <w:rFonts w:hint="eastAsia" w:ascii="仿宋" w:hAnsi="仿宋" w:eastAsia="仿宋" w:cs="仿宋"/>
                <w:spacing w:val="1"/>
                <w:sz w:val="21"/>
                <w:szCs w:val="21"/>
                <w:highlight w:val="none"/>
              </w:rPr>
              <w:t>完成</w:t>
            </w:r>
            <w:r>
              <w:rPr>
                <w:rFonts w:hint="eastAsia" w:ascii="仿宋" w:hAnsi="仿宋" w:eastAsia="仿宋" w:cs="仿宋"/>
                <w:spacing w:val="1"/>
                <w:sz w:val="21"/>
                <w:szCs w:val="21"/>
                <w:highlight w:val="none"/>
                <w:lang w:eastAsia="zh-CN"/>
              </w:rPr>
              <w:t>市投促</w:t>
            </w:r>
            <w:r>
              <w:rPr>
                <w:rFonts w:hint="eastAsia" w:ascii="仿宋" w:hAnsi="仿宋" w:eastAsia="仿宋" w:cs="仿宋"/>
                <w:spacing w:val="1"/>
                <w:sz w:val="21"/>
                <w:szCs w:val="21"/>
                <w:highlight w:val="none"/>
              </w:rPr>
              <w:t>局交办的其他工作</w:t>
            </w:r>
          </w:p>
        </w:tc>
      </w:tr>
    </w:tbl>
    <w:p>
      <w:pPr>
        <w:pStyle w:val="5"/>
        <w:rPr>
          <w:rFonts w:hint="eastAsia"/>
          <w:color w:val="auto"/>
        </w:rPr>
      </w:pPr>
    </w:p>
    <w:p>
      <w:pPr>
        <w:spacing w:line="360" w:lineRule="auto"/>
        <w:ind w:firstLine="480" w:firstLineChars="200"/>
        <w:rPr>
          <w:rFonts w:hint="eastAsia" w:ascii="仿宋" w:hAnsi="仿宋" w:eastAsia="仿宋" w:cs="仿宋"/>
          <w:color w:val="auto"/>
          <w:sz w:val="24"/>
          <w:szCs w:val="24"/>
        </w:rPr>
      </w:pPr>
      <w:bookmarkStart w:id="30" w:name="_Toc18814"/>
      <w:bookmarkEnd w:id="30"/>
      <w:bookmarkStart w:id="31" w:name="_Toc1914"/>
      <w:bookmarkEnd w:id="31"/>
      <w:bookmarkStart w:id="32" w:name="_Toc17632"/>
      <w:bookmarkEnd w:id="32"/>
      <w:bookmarkStart w:id="33" w:name="_Toc13584"/>
      <w:bookmarkEnd w:id="33"/>
      <w:r>
        <w:rPr>
          <w:rFonts w:hint="eastAsia" w:ascii="仿宋" w:hAnsi="仿宋" w:eastAsia="仿宋" w:cs="仿宋"/>
          <w:color w:val="auto"/>
          <w:sz w:val="24"/>
          <w:szCs w:val="24"/>
        </w:rPr>
        <w:t>3.2 网络维护范围</w:t>
      </w:r>
    </w:p>
    <w:p>
      <w:pPr>
        <w:spacing w:line="360" w:lineRule="auto"/>
        <w:ind w:firstLine="640"/>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负责大楼网络面板</w:t>
      </w:r>
      <w:r>
        <w:rPr>
          <w:rFonts w:hint="eastAsia" w:ascii="仿宋" w:hAnsi="仿宋" w:eastAsia="仿宋" w:cs="仿宋"/>
          <w:color w:val="auto"/>
          <w:sz w:val="24"/>
          <w:szCs w:val="24"/>
        </w:rPr>
        <w:t>至办公及辅助IT类网络</w:t>
      </w:r>
      <w:r>
        <w:rPr>
          <w:rFonts w:hint="eastAsia" w:ascii="仿宋" w:hAnsi="仿宋" w:eastAsia="仿宋" w:cs="仿宋"/>
          <w:color w:val="auto"/>
          <w:sz w:val="24"/>
          <w:szCs w:val="24"/>
          <w:lang w:val="en-US" w:eastAsia="zh-CN"/>
        </w:rPr>
        <w:t>主干网络平台的</w:t>
      </w:r>
      <w:r>
        <w:rPr>
          <w:rFonts w:hint="eastAsia" w:ascii="仿宋" w:hAnsi="仿宋" w:eastAsia="仿宋" w:cs="仿宋"/>
          <w:color w:val="auto"/>
          <w:sz w:val="24"/>
          <w:szCs w:val="24"/>
        </w:rPr>
        <w:t>连通性测试</w:t>
      </w:r>
      <w:r>
        <w:rPr>
          <w:rFonts w:hint="eastAsia" w:ascii="仿宋" w:hAnsi="仿宋" w:eastAsia="仿宋" w:cs="仿宋"/>
          <w:color w:val="auto"/>
          <w:sz w:val="24"/>
          <w:szCs w:val="24"/>
          <w:lang w:val="en-US" w:eastAsia="zh-CN"/>
        </w:rPr>
        <w:t>和</w:t>
      </w:r>
      <w:r>
        <w:rPr>
          <w:rFonts w:hint="eastAsia" w:ascii="仿宋" w:hAnsi="仿宋" w:eastAsia="仿宋" w:cs="仿宋"/>
          <w:color w:val="auto"/>
          <w:sz w:val="24"/>
          <w:szCs w:val="24"/>
        </w:rPr>
        <w:t>基本维护工</w:t>
      </w:r>
      <w:r>
        <w:rPr>
          <w:rFonts w:hint="eastAsia" w:ascii="仿宋" w:hAnsi="仿宋" w:eastAsia="仿宋" w:cs="仿宋"/>
          <w:color w:val="auto"/>
          <w:sz w:val="24"/>
          <w:szCs w:val="24"/>
          <w:lang w:val="en-US" w:eastAsia="zh-CN"/>
        </w:rPr>
        <w:t>作日常管理和维护，针对大楼（-1F至6F）所有网络设备终端提供网络环境搭建（政务外网、政务内网），对网络面板故障提供应急处理方案，其中不负责部分专网（税务、公积金、银行、出入境、公安、交通、消防、住更）；大楼内各终端的网络开通、管理和维护；核心机房的服务器、配线间交换机等设备的网络通畅。</w:t>
      </w:r>
    </w:p>
    <w:p>
      <w:pPr>
        <w:spacing w:line="360" w:lineRule="auto"/>
        <w:ind w:firstLine="640"/>
        <w:rPr>
          <w:rFonts w:hint="eastAsia" w:ascii="仿宋" w:hAnsi="仿宋" w:eastAsia="仿宋" w:cs="仿宋"/>
          <w:color w:val="auto"/>
          <w:sz w:val="24"/>
          <w:szCs w:val="24"/>
        </w:rPr>
      </w:pPr>
      <w:bookmarkStart w:id="34" w:name="_Toc14008"/>
      <w:bookmarkEnd w:id="34"/>
      <w:bookmarkStart w:id="35" w:name="_Toc21998"/>
      <w:bookmarkEnd w:id="35"/>
      <w:bookmarkStart w:id="36" w:name="_Toc3950"/>
      <w:bookmarkEnd w:id="36"/>
      <w:bookmarkStart w:id="37" w:name="_Toc5208"/>
      <w:bookmarkEnd w:id="37"/>
      <w:r>
        <w:rPr>
          <w:rFonts w:hint="eastAsia" w:ascii="仿宋" w:hAnsi="仿宋" w:eastAsia="仿宋" w:cs="仿宋"/>
          <w:color w:val="auto"/>
          <w:sz w:val="24"/>
          <w:szCs w:val="24"/>
        </w:rPr>
        <w:t>3.3 设备维护范围</w:t>
      </w:r>
    </w:p>
    <w:p>
      <w:pPr>
        <w:spacing w:line="360" w:lineRule="auto"/>
        <w:ind w:firstLine="640"/>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针对显示设备、网络设备、会议设备、公共管理设备提供设备维护和巡检服务，办公室设备提供设备维护。</w:t>
      </w:r>
    </w:p>
    <w:p>
      <w:pPr>
        <w:pStyle w:val="11"/>
        <w:numPr>
          <w:ilvl w:val="0"/>
          <w:numId w:val="0"/>
        </w:numPr>
        <w:spacing w:line="360" w:lineRule="auto"/>
        <w:ind w:left="0" w:leftChars="0" w:firstLine="241" w:firstLineChars="100"/>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rPr>
        <w:t xml:space="preserve">   </w:t>
      </w:r>
      <w:r>
        <w:rPr>
          <w:rFonts w:hint="eastAsia" w:ascii="仿宋" w:hAnsi="仿宋" w:eastAsia="仿宋" w:cs="仿宋"/>
          <w:b/>
          <w:bCs/>
          <w:color w:val="auto"/>
          <w:sz w:val="24"/>
          <w:szCs w:val="24"/>
        </w:rPr>
        <w:t>包含但不仅限于以下设备：</w:t>
      </w:r>
    </w:p>
    <w:p>
      <w:pPr>
        <w:pStyle w:val="11"/>
        <w:numPr>
          <w:ilvl w:val="0"/>
          <w:numId w:val="0"/>
        </w:numPr>
        <w:ind w:left="422" w:leftChars="0"/>
        <w:rPr>
          <w:rFonts w:hint="eastAsia" w:ascii="仿宋" w:hAnsi="仿宋" w:eastAsia="仿宋" w:cs="仿宋"/>
          <w:color w:val="auto"/>
          <w:kern w:val="2"/>
          <w:sz w:val="24"/>
          <w:szCs w:val="24"/>
          <w:lang w:val="en-US" w:eastAsia="zh-CN" w:bidi="ar-SA"/>
        </w:rPr>
      </w:pPr>
    </w:p>
    <w:tbl>
      <w:tblPr>
        <w:tblStyle w:val="8"/>
        <w:tblW w:w="499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36"/>
        <w:gridCol w:w="2395"/>
        <w:gridCol w:w="2092"/>
        <w:gridCol w:w="1865"/>
        <w:gridCol w:w="121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8" w:hRule="atLeast"/>
          <w:jc w:val="center"/>
        </w:trPr>
        <w:tc>
          <w:tcPr>
            <w:tcW w:w="55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rPr>
                <w:rFonts w:hint="eastAsia" w:ascii="仿宋" w:hAnsi="仿宋" w:eastAsia="仿宋" w:cs="仿宋"/>
                <w:b/>
                <w:bCs/>
                <w:i w:val="0"/>
                <w:iCs w:val="0"/>
                <w:color w:val="000000" w:themeColor="text1"/>
                <w:sz w:val="28"/>
                <w:szCs w:val="28"/>
                <w:u w:val="none"/>
                <w14:textFill>
                  <w14:solidFill>
                    <w14:schemeClr w14:val="tx1"/>
                  </w14:solidFill>
                </w14:textFill>
              </w:rPr>
            </w:pPr>
            <w:r>
              <w:rPr>
                <w:rFonts w:hint="eastAsia" w:ascii="仿宋" w:hAnsi="仿宋" w:eastAsia="仿宋" w:cs="仿宋"/>
                <w:b/>
                <w:bCs/>
                <w:i w:val="0"/>
                <w:iCs w:val="0"/>
                <w:color w:val="000000" w:themeColor="text1"/>
                <w:kern w:val="0"/>
                <w:sz w:val="28"/>
                <w:szCs w:val="28"/>
                <w:u w:val="none"/>
                <w:lang w:val="en-US" w:eastAsia="zh-CN" w:bidi="ar"/>
                <w14:textFill>
                  <w14:solidFill>
                    <w14:schemeClr w14:val="tx1"/>
                  </w14:solidFill>
                </w14:textFill>
              </w:rPr>
              <w:t>类型</w:t>
            </w:r>
          </w:p>
        </w:tc>
        <w:tc>
          <w:tcPr>
            <w:tcW w:w="140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rPr>
                <w:rFonts w:hint="eastAsia" w:ascii="仿宋" w:hAnsi="仿宋" w:eastAsia="仿宋" w:cs="仿宋"/>
                <w:b/>
                <w:bCs/>
                <w:i w:val="0"/>
                <w:iCs w:val="0"/>
                <w:color w:val="000000" w:themeColor="text1"/>
                <w:sz w:val="28"/>
                <w:szCs w:val="28"/>
                <w:u w:val="none"/>
                <w14:textFill>
                  <w14:solidFill>
                    <w14:schemeClr w14:val="tx1"/>
                  </w14:solidFill>
                </w14:textFill>
              </w:rPr>
            </w:pPr>
            <w:r>
              <w:rPr>
                <w:rFonts w:hint="eastAsia" w:ascii="仿宋" w:hAnsi="仿宋" w:eastAsia="仿宋" w:cs="仿宋"/>
                <w:b/>
                <w:bCs/>
                <w:i w:val="0"/>
                <w:iCs w:val="0"/>
                <w:color w:val="000000" w:themeColor="text1"/>
                <w:kern w:val="0"/>
                <w:sz w:val="28"/>
                <w:szCs w:val="28"/>
                <w:u w:val="none"/>
                <w:lang w:val="en-US" w:eastAsia="zh-CN" w:bidi="ar"/>
                <w14:textFill>
                  <w14:solidFill>
                    <w14:schemeClr w14:val="tx1"/>
                  </w14:solidFill>
                </w14:textFill>
              </w:rPr>
              <w:t>设备名称</w:t>
            </w:r>
          </w:p>
        </w:tc>
        <w:tc>
          <w:tcPr>
            <w:tcW w:w="122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rPr>
                <w:rFonts w:hint="eastAsia" w:ascii="仿宋" w:hAnsi="仿宋" w:eastAsia="仿宋" w:cs="仿宋"/>
                <w:b/>
                <w:bCs/>
                <w:i w:val="0"/>
                <w:iCs w:val="0"/>
                <w:color w:val="000000" w:themeColor="text1"/>
                <w:sz w:val="28"/>
                <w:szCs w:val="28"/>
                <w:u w:val="none"/>
                <w14:textFill>
                  <w14:solidFill>
                    <w14:schemeClr w14:val="tx1"/>
                  </w14:solidFill>
                </w14:textFill>
              </w:rPr>
            </w:pPr>
            <w:r>
              <w:rPr>
                <w:rFonts w:hint="eastAsia" w:ascii="仿宋" w:hAnsi="仿宋" w:eastAsia="仿宋" w:cs="仿宋"/>
                <w:b/>
                <w:bCs/>
                <w:i w:val="0"/>
                <w:iCs w:val="0"/>
                <w:color w:val="000000" w:themeColor="text1"/>
                <w:kern w:val="0"/>
                <w:sz w:val="28"/>
                <w:szCs w:val="28"/>
                <w:u w:val="none"/>
                <w:lang w:val="en-US" w:eastAsia="zh-CN" w:bidi="ar"/>
                <w14:textFill>
                  <w14:solidFill>
                    <w14:schemeClr w14:val="tx1"/>
                  </w14:solidFill>
                </w14:textFill>
              </w:rPr>
              <w:t>设备分布</w:t>
            </w:r>
          </w:p>
        </w:tc>
        <w:tc>
          <w:tcPr>
            <w:tcW w:w="109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rPr>
                <w:rFonts w:hint="eastAsia" w:ascii="仿宋" w:hAnsi="仿宋" w:eastAsia="仿宋" w:cs="仿宋"/>
                <w:b/>
                <w:bCs/>
                <w:i w:val="0"/>
                <w:iCs w:val="0"/>
                <w:color w:val="000000" w:themeColor="text1"/>
                <w:sz w:val="28"/>
                <w:szCs w:val="28"/>
                <w:u w:val="none"/>
                <w14:textFill>
                  <w14:solidFill>
                    <w14:schemeClr w14:val="tx1"/>
                  </w14:solidFill>
                </w14:textFill>
              </w:rPr>
            </w:pPr>
            <w:r>
              <w:rPr>
                <w:rFonts w:hint="eastAsia" w:ascii="仿宋" w:hAnsi="仿宋" w:eastAsia="仿宋" w:cs="仿宋"/>
                <w:b/>
                <w:bCs/>
                <w:i w:val="0"/>
                <w:iCs w:val="0"/>
                <w:color w:val="000000" w:themeColor="text1"/>
                <w:kern w:val="0"/>
                <w:sz w:val="28"/>
                <w:szCs w:val="28"/>
                <w:u w:val="none"/>
                <w:lang w:val="en-US" w:eastAsia="zh-CN" w:bidi="ar"/>
                <w14:textFill>
                  <w14:solidFill>
                    <w14:schemeClr w14:val="tx1"/>
                  </w14:solidFill>
                </w14:textFill>
              </w:rPr>
              <w:t>设备数量</w:t>
            </w:r>
          </w:p>
        </w:tc>
        <w:tc>
          <w:tcPr>
            <w:tcW w:w="71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rPr>
                <w:rFonts w:hint="eastAsia" w:ascii="仿宋" w:hAnsi="仿宋" w:eastAsia="仿宋" w:cs="仿宋"/>
                <w:b/>
                <w:bCs/>
                <w:i w:val="0"/>
                <w:iCs w:val="0"/>
                <w:color w:val="000000" w:themeColor="text1"/>
                <w:sz w:val="28"/>
                <w:szCs w:val="28"/>
                <w:u w:val="none"/>
                <w14:textFill>
                  <w14:solidFill>
                    <w14:schemeClr w14:val="tx1"/>
                  </w14:solidFill>
                </w14:textFill>
              </w:rPr>
            </w:pPr>
            <w:r>
              <w:rPr>
                <w:rFonts w:hint="eastAsia" w:ascii="仿宋" w:hAnsi="仿宋" w:eastAsia="仿宋" w:cs="仿宋"/>
                <w:b/>
                <w:bCs/>
                <w:i w:val="0"/>
                <w:iCs w:val="0"/>
                <w:color w:val="000000" w:themeColor="text1"/>
                <w:kern w:val="0"/>
                <w:sz w:val="28"/>
                <w:szCs w:val="28"/>
                <w:u w:val="none"/>
                <w:lang w:val="en-US" w:eastAsia="zh-CN" w:bidi="ar"/>
                <w14:textFill>
                  <w14:solidFill>
                    <w14:schemeClr w14:val="tx1"/>
                  </w14:solidFill>
                </w14:textFill>
              </w:rPr>
              <w:t>单位</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jc w:val="center"/>
        </w:trPr>
        <w:tc>
          <w:tcPr>
            <w:tcW w:w="550" w:type="pct"/>
            <w:vMerge w:val="restart"/>
            <w:tcBorders>
              <w:top w:val="single" w:color="000000" w:sz="4" w:space="0"/>
              <w:left w:val="single" w:color="000000" w:sz="4" w:space="0"/>
              <w:right w:val="single" w:color="000000" w:sz="4" w:space="0"/>
            </w:tcBorders>
            <w:shd w:val="clear" w:color="auto" w:fill="auto"/>
            <w:vAlign w:val="center"/>
          </w:tcPr>
          <w:p>
            <w:pPr>
              <w:widowControl/>
              <w:spacing w:line="240" w:lineRule="auto"/>
              <w:ind w:firstLine="0" w:firstLineChars="0"/>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lang w:val="en-US" w:eastAsia="zh-CN"/>
              </w:rPr>
              <w:t>显示设备 公共区域设备</w:t>
            </w:r>
          </w:p>
        </w:tc>
        <w:tc>
          <w:tcPr>
            <w:tcW w:w="1407" w:type="pct"/>
            <w:tcBorders>
              <w:top w:val="single" w:color="000000" w:sz="4" w:space="0"/>
              <w:left w:val="single" w:color="000000" w:sz="4" w:space="0"/>
              <w:right w:val="single" w:color="000000" w:sz="4" w:space="0"/>
            </w:tcBorders>
            <w:shd w:val="clear" w:color="auto" w:fill="auto"/>
            <w:vAlign w:val="center"/>
          </w:tcPr>
          <w:p>
            <w:pPr>
              <w:widowControl/>
              <w:spacing w:line="240" w:lineRule="auto"/>
              <w:ind w:firstLine="0" w:firstLineChars="0"/>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lang w:val="en-US" w:eastAsia="zh-CN"/>
              </w:rPr>
              <w:t>LED条屏</w:t>
            </w:r>
          </w:p>
        </w:tc>
        <w:tc>
          <w:tcPr>
            <w:tcW w:w="122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lang w:val="en-US" w:eastAsia="zh-CN"/>
              </w:rPr>
              <w:t>一、二楼审批大厅</w:t>
            </w:r>
          </w:p>
        </w:tc>
        <w:tc>
          <w:tcPr>
            <w:tcW w:w="109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lang w:val="en-US" w:eastAsia="zh-CN"/>
              </w:rPr>
              <w:t>188</w:t>
            </w:r>
          </w:p>
        </w:tc>
        <w:tc>
          <w:tcPr>
            <w:tcW w:w="715" w:type="pct"/>
            <w:tcBorders>
              <w:top w:val="single" w:color="000000" w:sz="4" w:space="0"/>
              <w:left w:val="single" w:color="000000" w:sz="4" w:space="0"/>
              <w:bottom w:val="nil"/>
              <w:right w:val="single" w:color="000000" w:sz="4" w:space="0"/>
            </w:tcBorders>
            <w:shd w:val="clear" w:color="auto" w:fill="auto"/>
            <w:vAlign w:val="center"/>
          </w:tcPr>
          <w:p>
            <w:pPr>
              <w:widowControl/>
              <w:spacing w:line="240" w:lineRule="auto"/>
              <w:ind w:firstLine="0" w:firstLineChars="0"/>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lang w:val="en-US" w:eastAsia="zh-CN"/>
              </w:rPr>
              <w:t>平方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jc w:val="center"/>
        </w:trPr>
        <w:tc>
          <w:tcPr>
            <w:tcW w:w="550" w:type="pct"/>
            <w:vMerge w:val="continue"/>
            <w:tcBorders>
              <w:left w:val="single" w:color="000000" w:sz="4" w:space="0"/>
              <w:right w:val="single" w:color="000000" w:sz="4" w:space="0"/>
            </w:tcBorders>
            <w:shd w:val="clear" w:color="auto" w:fill="auto"/>
            <w:vAlign w:val="center"/>
          </w:tcPr>
          <w:p>
            <w:pPr>
              <w:widowControl/>
              <w:spacing w:line="240" w:lineRule="auto"/>
              <w:ind w:firstLine="0" w:firstLineChars="0"/>
              <w:jc w:val="center"/>
              <w:rPr>
                <w:rFonts w:hint="eastAsia" w:ascii="仿宋" w:hAnsi="仿宋" w:eastAsia="仿宋" w:cs="仿宋"/>
                <w:color w:val="auto"/>
                <w:kern w:val="0"/>
                <w:sz w:val="24"/>
                <w:szCs w:val="24"/>
              </w:rPr>
            </w:pPr>
          </w:p>
        </w:tc>
        <w:tc>
          <w:tcPr>
            <w:tcW w:w="1407"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lang w:val="en-US" w:eastAsia="zh-CN"/>
              </w:rPr>
              <w:t>播放器</w:t>
            </w:r>
          </w:p>
        </w:tc>
        <w:tc>
          <w:tcPr>
            <w:tcW w:w="122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lang w:val="en-US" w:eastAsia="zh-CN"/>
              </w:rPr>
              <w:t>一、二楼审批大厅</w:t>
            </w:r>
          </w:p>
        </w:tc>
        <w:tc>
          <w:tcPr>
            <w:tcW w:w="109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lang w:val="en-US" w:eastAsia="zh-CN"/>
              </w:rPr>
              <w:t>29</w:t>
            </w:r>
          </w:p>
        </w:tc>
        <w:tc>
          <w:tcPr>
            <w:tcW w:w="715"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lang w:val="en-US" w:eastAsia="zh-CN"/>
              </w:rPr>
              <w:t>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jc w:val="center"/>
        </w:trPr>
        <w:tc>
          <w:tcPr>
            <w:tcW w:w="550" w:type="pct"/>
            <w:vMerge w:val="continue"/>
            <w:tcBorders>
              <w:left w:val="single" w:color="000000" w:sz="4" w:space="0"/>
              <w:right w:val="single" w:color="000000" w:sz="4" w:space="0"/>
            </w:tcBorders>
            <w:shd w:val="clear" w:color="auto" w:fill="auto"/>
            <w:vAlign w:val="center"/>
          </w:tcPr>
          <w:p>
            <w:pPr>
              <w:widowControl/>
              <w:spacing w:line="240" w:lineRule="auto"/>
              <w:ind w:firstLine="0" w:firstLineChars="0"/>
              <w:jc w:val="center"/>
              <w:rPr>
                <w:rFonts w:hint="eastAsia" w:ascii="仿宋" w:hAnsi="仿宋" w:eastAsia="仿宋" w:cs="仿宋"/>
                <w:color w:val="auto"/>
                <w:kern w:val="0"/>
                <w:sz w:val="24"/>
                <w:szCs w:val="24"/>
              </w:rPr>
            </w:pPr>
          </w:p>
        </w:tc>
        <w:tc>
          <w:tcPr>
            <w:tcW w:w="1407"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lang w:val="en-US" w:eastAsia="zh-CN"/>
              </w:rPr>
              <w:t>叫号机</w:t>
            </w:r>
          </w:p>
        </w:tc>
        <w:tc>
          <w:tcPr>
            <w:tcW w:w="122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lang w:val="en-US" w:eastAsia="zh-CN"/>
              </w:rPr>
              <w:t>一、二楼审批大厅</w:t>
            </w:r>
          </w:p>
        </w:tc>
        <w:tc>
          <w:tcPr>
            <w:tcW w:w="109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lang w:val="en-US" w:eastAsia="zh-CN"/>
              </w:rPr>
              <w:t>6</w:t>
            </w:r>
          </w:p>
        </w:tc>
        <w:tc>
          <w:tcPr>
            <w:tcW w:w="715"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lang w:val="en-US" w:eastAsia="zh-CN"/>
              </w:rPr>
              <w:t>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jc w:val="center"/>
        </w:trPr>
        <w:tc>
          <w:tcPr>
            <w:tcW w:w="550" w:type="pct"/>
            <w:vMerge w:val="continue"/>
            <w:tcBorders>
              <w:left w:val="single" w:color="000000" w:sz="4" w:space="0"/>
              <w:right w:val="single" w:color="000000" w:sz="4" w:space="0"/>
            </w:tcBorders>
            <w:shd w:val="clear" w:color="auto" w:fill="auto"/>
            <w:vAlign w:val="center"/>
          </w:tcPr>
          <w:p>
            <w:pPr>
              <w:widowControl/>
              <w:spacing w:line="240" w:lineRule="auto"/>
              <w:ind w:firstLine="0" w:firstLineChars="0"/>
              <w:jc w:val="center"/>
              <w:rPr>
                <w:rFonts w:hint="eastAsia" w:ascii="仿宋" w:hAnsi="仿宋" w:eastAsia="仿宋" w:cs="仿宋"/>
                <w:color w:val="auto"/>
                <w:kern w:val="0"/>
                <w:sz w:val="24"/>
                <w:szCs w:val="24"/>
              </w:rPr>
            </w:pPr>
          </w:p>
        </w:tc>
        <w:tc>
          <w:tcPr>
            <w:tcW w:w="1407"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lang w:val="en-US" w:eastAsia="zh-CN"/>
              </w:rPr>
              <w:t>考勤机</w:t>
            </w:r>
          </w:p>
        </w:tc>
        <w:tc>
          <w:tcPr>
            <w:tcW w:w="122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lang w:val="en-US" w:eastAsia="zh-CN"/>
              </w:rPr>
              <w:t>全楼区域</w:t>
            </w:r>
          </w:p>
        </w:tc>
        <w:tc>
          <w:tcPr>
            <w:tcW w:w="109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lang w:val="en-US" w:eastAsia="zh-CN"/>
              </w:rPr>
              <w:t>18</w:t>
            </w:r>
          </w:p>
        </w:tc>
        <w:tc>
          <w:tcPr>
            <w:tcW w:w="715"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lang w:val="en-US" w:eastAsia="zh-CN"/>
              </w:rPr>
              <w:t>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jc w:val="center"/>
        </w:trPr>
        <w:tc>
          <w:tcPr>
            <w:tcW w:w="550" w:type="pct"/>
            <w:vMerge w:val="continue"/>
            <w:tcBorders>
              <w:left w:val="single" w:color="000000" w:sz="4" w:space="0"/>
              <w:right w:val="single" w:color="000000" w:sz="4" w:space="0"/>
            </w:tcBorders>
            <w:shd w:val="clear" w:color="auto" w:fill="auto"/>
            <w:vAlign w:val="center"/>
          </w:tcPr>
          <w:p>
            <w:pPr>
              <w:widowControl/>
              <w:spacing w:line="240" w:lineRule="auto"/>
              <w:ind w:firstLine="0" w:firstLineChars="0"/>
              <w:jc w:val="center"/>
              <w:rPr>
                <w:rFonts w:hint="eastAsia" w:ascii="仿宋" w:hAnsi="仿宋" w:eastAsia="仿宋" w:cs="仿宋"/>
                <w:color w:val="auto"/>
                <w:kern w:val="0"/>
                <w:sz w:val="24"/>
                <w:szCs w:val="24"/>
              </w:rPr>
            </w:pPr>
          </w:p>
        </w:tc>
        <w:tc>
          <w:tcPr>
            <w:tcW w:w="1407" w:type="pct"/>
            <w:tcBorders>
              <w:top w:val="single" w:color="000000" w:sz="4" w:space="0"/>
              <w:left w:val="single" w:color="000000" w:sz="4" w:space="0"/>
              <w:right w:val="single" w:color="000000" w:sz="4" w:space="0"/>
            </w:tcBorders>
            <w:shd w:val="clear" w:color="auto" w:fill="auto"/>
            <w:vAlign w:val="center"/>
          </w:tcPr>
          <w:p>
            <w:pPr>
              <w:widowControl/>
              <w:spacing w:line="240" w:lineRule="auto"/>
              <w:ind w:firstLine="0" w:firstLineChars="0"/>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lang w:val="en-US" w:eastAsia="zh-CN"/>
              </w:rPr>
              <w:t>宣传引导屏显设备</w:t>
            </w:r>
          </w:p>
        </w:tc>
        <w:tc>
          <w:tcPr>
            <w:tcW w:w="122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lang w:val="en-US" w:eastAsia="zh-CN"/>
              </w:rPr>
              <w:t>一、二楼审批大厅</w:t>
            </w:r>
          </w:p>
        </w:tc>
        <w:tc>
          <w:tcPr>
            <w:tcW w:w="109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lang w:val="en-US" w:eastAsia="zh-CN"/>
              </w:rPr>
              <w:t>29</w:t>
            </w:r>
          </w:p>
        </w:tc>
        <w:tc>
          <w:tcPr>
            <w:tcW w:w="715"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lang w:val="en-US" w:eastAsia="zh-CN"/>
              </w:rPr>
              <w:t>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2" w:hRule="atLeast"/>
          <w:jc w:val="center"/>
        </w:trPr>
        <w:tc>
          <w:tcPr>
            <w:tcW w:w="550" w:type="pct"/>
            <w:vMerge w:val="continue"/>
            <w:tcBorders>
              <w:left w:val="single" w:color="000000" w:sz="4" w:space="0"/>
              <w:right w:val="single" w:color="000000" w:sz="4" w:space="0"/>
            </w:tcBorders>
            <w:shd w:val="clear" w:color="auto" w:fill="auto"/>
            <w:vAlign w:val="center"/>
          </w:tcPr>
          <w:p>
            <w:pPr>
              <w:widowControl/>
              <w:spacing w:line="240" w:lineRule="auto"/>
              <w:ind w:firstLine="0" w:firstLineChars="0"/>
              <w:jc w:val="center"/>
              <w:rPr>
                <w:rFonts w:hint="eastAsia" w:ascii="仿宋" w:hAnsi="仿宋" w:eastAsia="仿宋" w:cs="仿宋"/>
                <w:color w:val="auto"/>
                <w:kern w:val="0"/>
                <w:sz w:val="24"/>
                <w:szCs w:val="24"/>
              </w:rPr>
            </w:pPr>
          </w:p>
        </w:tc>
        <w:tc>
          <w:tcPr>
            <w:tcW w:w="1407"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lang w:val="en-US" w:eastAsia="zh-CN"/>
              </w:rPr>
              <w:t>市民之家电子监察视频监控系统平台</w:t>
            </w:r>
          </w:p>
        </w:tc>
        <w:tc>
          <w:tcPr>
            <w:tcW w:w="122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lang w:val="en-US" w:eastAsia="zh-CN"/>
              </w:rPr>
              <w:t>一楼配线间</w:t>
            </w:r>
          </w:p>
        </w:tc>
        <w:tc>
          <w:tcPr>
            <w:tcW w:w="109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lang w:val="en-US" w:eastAsia="zh-CN"/>
              </w:rPr>
              <w:t>1</w:t>
            </w:r>
          </w:p>
        </w:tc>
        <w:tc>
          <w:tcPr>
            <w:tcW w:w="715"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lang w:val="en-US" w:eastAsia="zh-CN"/>
              </w:rPr>
              <w:t>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2" w:hRule="atLeast"/>
          <w:jc w:val="center"/>
        </w:trPr>
        <w:tc>
          <w:tcPr>
            <w:tcW w:w="550" w:type="pct"/>
            <w:vMerge w:val="continue"/>
            <w:tcBorders>
              <w:left w:val="single" w:color="000000" w:sz="4" w:space="0"/>
              <w:right w:val="single" w:color="000000" w:sz="4" w:space="0"/>
            </w:tcBorders>
            <w:shd w:val="clear" w:color="auto" w:fill="auto"/>
            <w:vAlign w:val="center"/>
          </w:tcPr>
          <w:p>
            <w:pPr>
              <w:widowControl/>
              <w:spacing w:line="240" w:lineRule="auto"/>
              <w:ind w:firstLine="0" w:firstLineChars="0"/>
              <w:jc w:val="center"/>
              <w:rPr>
                <w:rFonts w:hint="eastAsia" w:ascii="仿宋" w:hAnsi="仿宋" w:eastAsia="仿宋" w:cs="仿宋"/>
                <w:color w:val="auto"/>
                <w:kern w:val="0"/>
                <w:sz w:val="24"/>
                <w:szCs w:val="24"/>
              </w:rPr>
            </w:pPr>
          </w:p>
        </w:tc>
        <w:tc>
          <w:tcPr>
            <w:tcW w:w="1407"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center"/>
              <w:rPr>
                <w:rFonts w:hint="eastAsia" w:ascii="仿宋" w:hAnsi="仿宋" w:eastAsia="仿宋" w:cs="仿宋"/>
                <w:color w:val="auto"/>
                <w:kern w:val="0"/>
                <w:sz w:val="24"/>
                <w:szCs w:val="24"/>
                <w:lang w:val="en-US" w:eastAsia="zh-CN"/>
              </w:rPr>
            </w:pPr>
            <w:r>
              <w:rPr>
                <w:rFonts w:hint="eastAsia" w:ascii="仿宋" w:hAnsi="仿宋" w:eastAsia="仿宋" w:cs="仿宋"/>
                <w:sz w:val="24"/>
                <w:szCs w:val="24"/>
                <w:highlight w:val="none"/>
                <w:lang w:val="en-US" w:eastAsia="zh-CN"/>
              </w:rPr>
              <w:t>市民大讲堂LED互动大屏</w:t>
            </w:r>
          </w:p>
        </w:tc>
        <w:tc>
          <w:tcPr>
            <w:tcW w:w="122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center"/>
              <w:rPr>
                <w:rFonts w:hint="eastAsia" w:ascii="仿宋" w:hAnsi="仿宋" w:eastAsia="仿宋" w:cs="仿宋"/>
                <w:color w:val="auto"/>
                <w:kern w:val="0"/>
                <w:sz w:val="24"/>
                <w:szCs w:val="24"/>
                <w:lang w:val="en-US" w:eastAsia="zh-CN"/>
              </w:rPr>
            </w:pPr>
            <w:r>
              <w:rPr>
                <w:rFonts w:hint="eastAsia" w:ascii="仿宋" w:hAnsi="仿宋" w:eastAsia="仿宋" w:cs="仿宋"/>
                <w:sz w:val="24"/>
                <w:szCs w:val="24"/>
                <w:highlight w:val="none"/>
                <w:lang w:eastAsia="zh-CN"/>
              </w:rPr>
              <w:t>负一楼</w:t>
            </w:r>
          </w:p>
        </w:tc>
        <w:tc>
          <w:tcPr>
            <w:tcW w:w="109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center"/>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1</w:t>
            </w:r>
          </w:p>
        </w:tc>
        <w:tc>
          <w:tcPr>
            <w:tcW w:w="715"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center"/>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2" w:hRule="atLeast"/>
          <w:jc w:val="center"/>
        </w:trPr>
        <w:tc>
          <w:tcPr>
            <w:tcW w:w="550" w:type="pct"/>
            <w:vMerge w:val="continue"/>
            <w:tcBorders>
              <w:left w:val="single" w:color="000000" w:sz="4" w:space="0"/>
              <w:right w:val="single" w:color="000000" w:sz="4" w:space="0"/>
            </w:tcBorders>
            <w:shd w:val="clear" w:color="auto" w:fill="auto"/>
            <w:vAlign w:val="center"/>
          </w:tcPr>
          <w:p>
            <w:pPr>
              <w:widowControl/>
              <w:spacing w:line="240" w:lineRule="auto"/>
              <w:ind w:firstLine="0" w:firstLineChars="0"/>
              <w:jc w:val="center"/>
              <w:rPr>
                <w:rFonts w:hint="eastAsia" w:ascii="仿宋" w:hAnsi="仿宋" w:eastAsia="仿宋" w:cs="仿宋"/>
                <w:color w:val="auto"/>
                <w:kern w:val="0"/>
                <w:sz w:val="24"/>
                <w:szCs w:val="24"/>
              </w:rPr>
            </w:pPr>
          </w:p>
        </w:tc>
        <w:tc>
          <w:tcPr>
            <w:tcW w:w="1407"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center"/>
              <w:rPr>
                <w:rFonts w:hint="eastAsia" w:ascii="仿宋" w:hAnsi="仿宋" w:eastAsia="仿宋" w:cs="仿宋"/>
                <w:color w:val="auto"/>
                <w:kern w:val="0"/>
                <w:sz w:val="24"/>
                <w:szCs w:val="24"/>
                <w:lang w:val="en-US" w:eastAsia="zh-CN"/>
              </w:rPr>
            </w:pPr>
            <w:r>
              <w:rPr>
                <w:rFonts w:hint="eastAsia" w:ascii="仿宋" w:hAnsi="仿宋" w:eastAsia="仿宋" w:cs="仿宋"/>
                <w:sz w:val="24"/>
                <w:szCs w:val="24"/>
                <w:highlight w:val="none"/>
                <w:lang w:eastAsia="zh-CN"/>
              </w:rPr>
              <w:t>食堂</w:t>
            </w:r>
            <w:r>
              <w:rPr>
                <w:rFonts w:hint="eastAsia" w:ascii="仿宋" w:hAnsi="仿宋" w:eastAsia="仿宋" w:cs="仿宋"/>
                <w:sz w:val="24"/>
                <w:szCs w:val="24"/>
                <w:highlight w:val="none"/>
                <w:lang w:val="en-US" w:eastAsia="zh-CN"/>
              </w:rPr>
              <w:t>LED展示大屏</w:t>
            </w:r>
          </w:p>
        </w:tc>
        <w:tc>
          <w:tcPr>
            <w:tcW w:w="122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center"/>
              <w:rPr>
                <w:rFonts w:hint="eastAsia" w:ascii="仿宋" w:hAnsi="仿宋" w:eastAsia="仿宋" w:cs="仿宋"/>
                <w:color w:val="auto"/>
                <w:kern w:val="0"/>
                <w:sz w:val="24"/>
                <w:szCs w:val="24"/>
                <w:lang w:val="en-US" w:eastAsia="zh-CN"/>
              </w:rPr>
            </w:pPr>
            <w:r>
              <w:rPr>
                <w:rFonts w:hint="eastAsia" w:ascii="仿宋" w:hAnsi="仿宋" w:eastAsia="仿宋" w:cs="仿宋"/>
                <w:sz w:val="24"/>
                <w:szCs w:val="24"/>
                <w:highlight w:val="none"/>
                <w:lang w:eastAsia="zh-CN"/>
              </w:rPr>
              <w:t>负一楼</w:t>
            </w:r>
          </w:p>
        </w:tc>
        <w:tc>
          <w:tcPr>
            <w:tcW w:w="109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center"/>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1</w:t>
            </w:r>
          </w:p>
        </w:tc>
        <w:tc>
          <w:tcPr>
            <w:tcW w:w="715"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center"/>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2" w:hRule="atLeast"/>
          <w:jc w:val="center"/>
        </w:trPr>
        <w:tc>
          <w:tcPr>
            <w:tcW w:w="550" w:type="pct"/>
            <w:vMerge w:val="continue"/>
            <w:tcBorders>
              <w:left w:val="single" w:color="000000" w:sz="4" w:space="0"/>
              <w:right w:val="single" w:color="000000" w:sz="4" w:space="0"/>
            </w:tcBorders>
            <w:shd w:val="clear" w:color="auto" w:fill="auto"/>
            <w:vAlign w:val="center"/>
          </w:tcPr>
          <w:p>
            <w:pPr>
              <w:widowControl/>
              <w:spacing w:line="240" w:lineRule="auto"/>
              <w:ind w:firstLine="0" w:firstLineChars="0"/>
              <w:jc w:val="center"/>
              <w:rPr>
                <w:rFonts w:hint="eastAsia" w:ascii="仿宋" w:hAnsi="仿宋" w:eastAsia="仿宋" w:cs="仿宋"/>
                <w:color w:val="auto"/>
                <w:kern w:val="0"/>
                <w:sz w:val="24"/>
                <w:szCs w:val="24"/>
              </w:rPr>
            </w:pPr>
          </w:p>
        </w:tc>
        <w:tc>
          <w:tcPr>
            <w:tcW w:w="1407"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土地交易中心</w:t>
            </w:r>
            <w:r>
              <w:rPr>
                <w:rFonts w:hint="eastAsia" w:ascii="仿宋" w:hAnsi="仿宋" w:eastAsia="仿宋" w:cs="仿宋"/>
                <w:sz w:val="24"/>
                <w:szCs w:val="24"/>
                <w:highlight w:val="none"/>
                <w:lang w:val="en-US" w:eastAsia="zh-CN"/>
              </w:rPr>
              <w:t>LED展示大屏</w:t>
            </w:r>
          </w:p>
        </w:tc>
        <w:tc>
          <w:tcPr>
            <w:tcW w:w="122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center"/>
              <w:rPr>
                <w:rFonts w:hint="eastAsia" w:ascii="仿宋" w:hAnsi="仿宋" w:eastAsia="仿宋" w:cs="仿宋"/>
                <w:color w:val="auto"/>
                <w:kern w:val="0"/>
                <w:sz w:val="24"/>
                <w:szCs w:val="24"/>
                <w:lang w:val="en-US" w:eastAsia="zh-CN"/>
              </w:rPr>
            </w:pPr>
            <w:r>
              <w:rPr>
                <w:rFonts w:hint="eastAsia" w:ascii="仿宋" w:hAnsi="仿宋" w:eastAsia="仿宋" w:cs="仿宋"/>
                <w:sz w:val="24"/>
                <w:szCs w:val="24"/>
                <w:highlight w:val="none"/>
                <w:lang w:eastAsia="zh-CN"/>
              </w:rPr>
              <w:t>三楼</w:t>
            </w:r>
          </w:p>
        </w:tc>
        <w:tc>
          <w:tcPr>
            <w:tcW w:w="109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center"/>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1</w:t>
            </w:r>
          </w:p>
        </w:tc>
        <w:tc>
          <w:tcPr>
            <w:tcW w:w="715"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center"/>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6" w:hRule="atLeast"/>
          <w:jc w:val="center"/>
        </w:trPr>
        <w:tc>
          <w:tcPr>
            <w:tcW w:w="550" w:type="pct"/>
            <w:vMerge w:val="continue"/>
            <w:tcBorders>
              <w:left w:val="single" w:color="000000" w:sz="4" w:space="0"/>
              <w:right w:val="single" w:color="000000" w:sz="4" w:space="0"/>
            </w:tcBorders>
            <w:shd w:val="clear" w:color="auto" w:fill="auto"/>
            <w:vAlign w:val="center"/>
          </w:tcPr>
          <w:p>
            <w:pPr>
              <w:widowControl/>
              <w:spacing w:line="240" w:lineRule="auto"/>
              <w:ind w:firstLine="0" w:firstLineChars="0"/>
              <w:jc w:val="center"/>
              <w:rPr>
                <w:rFonts w:hint="eastAsia" w:ascii="仿宋" w:hAnsi="仿宋" w:eastAsia="仿宋" w:cs="仿宋"/>
                <w:color w:val="auto"/>
                <w:kern w:val="0"/>
                <w:sz w:val="24"/>
                <w:szCs w:val="24"/>
              </w:rPr>
            </w:pPr>
          </w:p>
        </w:tc>
        <w:tc>
          <w:tcPr>
            <w:tcW w:w="1407"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center"/>
              <w:rPr>
                <w:rFonts w:hint="default"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公共资源交易中心LED互动大屏</w:t>
            </w:r>
          </w:p>
        </w:tc>
        <w:tc>
          <w:tcPr>
            <w:tcW w:w="122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center"/>
              <w:rPr>
                <w:rFonts w:hint="default"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四楼交易大厅</w:t>
            </w:r>
          </w:p>
        </w:tc>
        <w:tc>
          <w:tcPr>
            <w:tcW w:w="109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center"/>
              <w:rPr>
                <w:rFonts w:hint="default"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1</w:t>
            </w:r>
          </w:p>
        </w:tc>
        <w:tc>
          <w:tcPr>
            <w:tcW w:w="715"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center"/>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2" w:hRule="atLeast"/>
          <w:jc w:val="center"/>
        </w:trPr>
        <w:tc>
          <w:tcPr>
            <w:tcW w:w="550" w:type="pct"/>
            <w:vMerge w:val="continue"/>
            <w:tcBorders>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center"/>
              <w:rPr>
                <w:rFonts w:hint="eastAsia" w:ascii="仿宋" w:hAnsi="仿宋" w:eastAsia="仿宋" w:cs="仿宋"/>
                <w:color w:val="auto"/>
                <w:kern w:val="0"/>
                <w:sz w:val="24"/>
                <w:szCs w:val="24"/>
              </w:rPr>
            </w:pPr>
          </w:p>
        </w:tc>
        <w:tc>
          <w:tcPr>
            <w:tcW w:w="1407"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center"/>
              <w:rPr>
                <w:rFonts w:hint="default" w:ascii="仿宋" w:hAnsi="仿宋" w:eastAsia="仿宋" w:cs="仿宋"/>
                <w:color w:val="auto"/>
                <w:kern w:val="0"/>
                <w:sz w:val="24"/>
                <w:szCs w:val="24"/>
                <w:lang w:val="en-US" w:eastAsia="zh-CN"/>
              </w:rPr>
            </w:pPr>
            <w:r>
              <w:rPr>
                <w:rFonts w:hint="eastAsia" w:ascii="仿宋" w:hAnsi="仿宋" w:eastAsia="仿宋" w:cs="仿宋"/>
                <w:sz w:val="24"/>
                <w:szCs w:val="24"/>
                <w:highlight w:val="none"/>
                <w:lang w:eastAsia="zh-CN"/>
              </w:rPr>
              <w:t>会议室</w:t>
            </w:r>
            <w:r>
              <w:rPr>
                <w:rFonts w:hint="eastAsia" w:ascii="仿宋" w:hAnsi="仿宋" w:eastAsia="仿宋" w:cs="仿宋"/>
                <w:sz w:val="24"/>
                <w:szCs w:val="24"/>
                <w:highlight w:val="none"/>
                <w:lang w:val="en-US" w:eastAsia="zh-CN"/>
              </w:rPr>
              <w:t>LED互动大屏</w:t>
            </w:r>
          </w:p>
        </w:tc>
        <w:tc>
          <w:tcPr>
            <w:tcW w:w="122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center"/>
              <w:rPr>
                <w:rFonts w:hint="eastAsia" w:ascii="仿宋" w:hAnsi="仿宋" w:eastAsia="仿宋" w:cs="仿宋"/>
                <w:color w:val="auto"/>
                <w:kern w:val="0"/>
                <w:sz w:val="24"/>
                <w:szCs w:val="24"/>
                <w:lang w:val="en-US" w:eastAsia="zh-CN"/>
              </w:rPr>
            </w:pPr>
            <w:r>
              <w:rPr>
                <w:rFonts w:hint="eastAsia" w:ascii="仿宋" w:hAnsi="仿宋" w:eastAsia="仿宋" w:cs="仿宋"/>
                <w:sz w:val="24"/>
                <w:szCs w:val="24"/>
                <w:highlight w:val="none"/>
                <w:lang w:val="en-US" w:eastAsia="zh-CN"/>
              </w:rPr>
              <w:t>四、</w:t>
            </w:r>
            <w:r>
              <w:rPr>
                <w:rFonts w:hint="eastAsia" w:ascii="仿宋" w:hAnsi="仿宋" w:eastAsia="仿宋" w:cs="仿宋"/>
                <w:sz w:val="24"/>
                <w:szCs w:val="24"/>
                <w:highlight w:val="none"/>
                <w:lang w:eastAsia="zh-CN"/>
              </w:rPr>
              <w:t>六楼</w:t>
            </w:r>
          </w:p>
        </w:tc>
        <w:tc>
          <w:tcPr>
            <w:tcW w:w="109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center"/>
              <w:rPr>
                <w:rFonts w:hint="default"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3</w:t>
            </w:r>
          </w:p>
        </w:tc>
        <w:tc>
          <w:tcPr>
            <w:tcW w:w="715"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center"/>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6" w:hRule="atLeast"/>
          <w:jc w:val="center"/>
        </w:trPr>
        <w:tc>
          <w:tcPr>
            <w:tcW w:w="55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lang w:val="en-US" w:eastAsia="zh-CN"/>
              </w:rPr>
              <w:t>办公设备</w:t>
            </w:r>
          </w:p>
        </w:tc>
        <w:tc>
          <w:tcPr>
            <w:tcW w:w="1407"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lang w:val="en-US" w:eastAsia="zh-CN"/>
              </w:rPr>
              <w:t>台式主机</w:t>
            </w:r>
          </w:p>
        </w:tc>
        <w:tc>
          <w:tcPr>
            <w:tcW w:w="122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lang w:val="en-US" w:eastAsia="zh-CN"/>
              </w:rPr>
              <w:t>-1F、1F、1AF、2F、2AF、3F、4F、5F、6F</w:t>
            </w:r>
          </w:p>
        </w:tc>
        <w:tc>
          <w:tcPr>
            <w:tcW w:w="109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center"/>
              <w:rPr>
                <w:rFonts w:hint="default" w:ascii="仿宋" w:hAnsi="仿宋" w:eastAsia="仿宋" w:cs="仿宋"/>
                <w:color w:val="auto"/>
                <w:kern w:val="0"/>
                <w:sz w:val="24"/>
                <w:szCs w:val="24"/>
                <w:lang w:val="en-US"/>
              </w:rPr>
            </w:pPr>
            <w:r>
              <w:rPr>
                <w:rFonts w:hint="eastAsia" w:ascii="仿宋" w:hAnsi="仿宋" w:eastAsia="仿宋" w:cs="仿宋"/>
                <w:color w:val="auto"/>
                <w:kern w:val="0"/>
                <w:sz w:val="24"/>
                <w:szCs w:val="24"/>
                <w:lang w:val="en-US" w:eastAsia="zh-CN"/>
              </w:rPr>
              <w:t>466</w:t>
            </w:r>
          </w:p>
        </w:tc>
        <w:tc>
          <w:tcPr>
            <w:tcW w:w="715"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lang w:val="en-US" w:eastAsia="zh-CN"/>
              </w:rPr>
              <w:t>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8" w:hRule="atLeast"/>
          <w:jc w:val="center"/>
        </w:trPr>
        <w:tc>
          <w:tcPr>
            <w:tcW w:w="55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center"/>
              <w:rPr>
                <w:rFonts w:hint="eastAsia" w:ascii="仿宋" w:hAnsi="仿宋" w:eastAsia="仿宋" w:cs="仿宋"/>
                <w:color w:val="auto"/>
                <w:kern w:val="0"/>
                <w:sz w:val="24"/>
                <w:szCs w:val="24"/>
              </w:rPr>
            </w:pPr>
          </w:p>
        </w:tc>
        <w:tc>
          <w:tcPr>
            <w:tcW w:w="1407"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lang w:val="en-US" w:eastAsia="zh-CN"/>
              </w:rPr>
              <w:t>显示器</w:t>
            </w:r>
          </w:p>
        </w:tc>
        <w:tc>
          <w:tcPr>
            <w:tcW w:w="122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lang w:val="en-US" w:eastAsia="zh-CN"/>
              </w:rPr>
              <w:t>-1F、1F、1AF、2F、2AF、3F、4F、5F、6F</w:t>
            </w:r>
          </w:p>
        </w:tc>
        <w:tc>
          <w:tcPr>
            <w:tcW w:w="109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center"/>
              <w:rPr>
                <w:rFonts w:hint="default" w:ascii="仿宋" w:hAnsi="仿宋" w:eastAsia="仿宋" w:cs="仿宋"/>
                <w:color w:val="auto"/>
                <w:kern w:val="0"/>
                <w:sz w:val="24"/>
                <w:szCs w:val="24"/>
                <w:lang w:val="en-US"/>
              </w:rPr>
            </w:pPr>
            <w:r>
              <w:rPr>
                <w:rFonts w:hint="eastAsia" w:ascii="仿宋" w:hAnsi="仿宋" w:eastAsia="仿宋" w:cs="仿宋"/>
                <w:color w:val="auto"/>
                <w:kern w:val="0"/>
                <w:sz w:val="24"/>
                <w:szCs w:val="24"/>
                <w:lang w:val="en-US" w:eastAsia="zh-CN"/>
              </w:rPr>
              <w:t>577</w:t>
            </w:r>
          </w:p>
        </w:tc>
        <w:tc>
          <w:tcPr>
            <w:tcW w:w="715"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lang w:val="en-US" w:eastAsia="zh-CN"/>
              </w:rPr>
              <w:t>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jc w:val="center"/>
        </w:trPr>
        <w:tc>
          <w:tcPr>
            <w:tcW w:w="55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center"/>
              <w:rPr>
                <w:rFonts w:hint="eastAsia" w:ascii="仿宋" w:hAnsi="仿宋" w:eastAsia="仿宋" w:cs="仿宋"/>
                <w:color w:val="auto"/>
                <w:kern w:val="0"/>
                <w:sz w:val="24"/>
                <w:szCs w:val="24"/>
              </w:rPr>
            </w:pPr>
          </w:p>
        </w:tc>
        <w:tc>
          <w:tcPr>
            <w:tcW w:w="1407"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lang w:val="en-US" w:eastAsia="zh-CN"/>
              </w:rPr>
              <w:t>打印机</w:t>
            </w:r>
          </w:p>
        </w:tc>
        <w:tc>
          <w:tcPr>
            <w:tcW w:w="122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lang w:val="en-US" w:eastAsia="zh-CN"/>
              </w:rPr>
              <w:t>办公区</w:t>
            </w:r>
          </w:p>
        </w:tc>
        <w:tc>
          <w:tcPr>
            <w:tcW w:w="109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center"/>
              <w:rPr>
                <w:rFonts w:hint="default" w:ascii="仿宋" w:hAnsi="仿宋" w:eastAsia="仿宋" w:cs="仿宋"/>
                <w:color w:val="auto"/>
                <w:kern w:val="0"/>
                <w:sz w:val="24"/>
                <w:szCs w:val="24"/>
                <w:lang w:val="en-US"/>
              </w:rPr>
            </w:pPr>
            <w:r>
              <w:rPr>
                <w:rFonts w:hint="eastAsia" w:ascii="仿宋" w:hAnsi="仿宋" w:eastAsia="仿宋" w:cs="仿宋"/>
                <w:color w:val="auto"/>
                <w:kern w:val="0"/>
                <w:sz w:val="24"/>
                <w:szCs w:val="24"/>
                <w:lang w:val="en-US" w:eastAsia="zh-CN"/>
              </w:rPr>
              <w:t>38</w:t>
            </w:r>
          </w:p>
        </w:tc>
        <w:tc>
          <w:tcPr>
            <w:tcW w:w="715" w:type="pct"/>
            <w:tcBorders>
              <w:top w:val="single" w:color="000000" w:sz="4" w:space="0"/>
              <w:left w:val="single" w:color="000000" w:sz="4" w:space="0"/>
              <w:bottom w:val="nil"/>
              <w:right w:val="single" w:color="000000" w:sz="4" w:space="0"/>
            </w:tcBorders>
            <w:shd w:val="clear" w:color="auto" w:fill="auto"/>
            <w:vAlign w:val="center"/>
          </w:tcPr>
          <w:p>
            <w:pPr>
              <w:widowControl/>
              <w:spacing w:line="240" w:lineRule="auto"/>
              <w:ind w:firstLine="0" w:firstLineChars="0"/>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lang w:val="en-US" w:eastAsia="zh-CN"/>
              </w:rPr>
              <w:t>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6" w:hRule="atLeast"/>
          <w:jc w:val="center"/>
        </w:trPr>
        <w:tc>
          <w:tcPr>
            <w:tcW w:w="55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lang w:val="en-US" w:eastAsia="zh-CN"/>
              </w:rPr>
              <w:t>机房及配线间设备</w:t>
            </w:r>
          </w:p>
        </w:tc>
        <w:tc>
          <w:tcPr>
            <w:tcW w:w="1407"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lang w:val="en-US" w:eastAsia="zh-CN"/>
              </w:rPr>
              <w:t>配线间各类交换机</w:t>
            </w:r>
          </w:p>
        </w:tc>
        <w:tc>
          <w:tcPr>
            <w:tcW w:w="122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lang w:val="en-US" w:eastAsia="zh-CN"/>
              </w:rPr>
              <w:t>楼层配线间</w:t>
            </w:r>
          </w:p>
        </w:tc>
        <w:tc>
          <w:tcPr>
            <w:tcW w:w="109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center"/>
              <w:rPr>
                <w:rFonts w:hint="default" w:ascii="仿宋" w:hAnsi="仿宋" w:eastAsia="仿宋" w:cs="仿宋"/>
                <w:color w:val="auto"/>
                <w:kern w:val="0"/>
                <w:sz w:val="24"/>
                <w:szCs w:val="24"/>
                <w:lang w:val="en-US"/>
              </w:rPr>
            </w:pPr>
            <w:r>
              <w:rPr>
                <w:rFonts w:hint="eastAsia" w:ascii="仿宋" w:hAnsi="仿宋" w:eastAsia="仿宋" w:cs="仿宋"/>
                <w:color w:val="auto"/>
                <w:kern w:val="0"/>
                <w:sz w:val="24"/>
                <w:szCs w:val="24"/>
                <w:lang w:val="en-US" w:eastAsia="zh-CN"/>
              </w:rPr>
              <w:t>33</w:t>
            </w:r>
          </w:p>
        </w:tc>
        <w:tc>
          <w:tcPr>
            <w:tcW w:w="715"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lang w:val="en-US" w:eastAsia="zh-CN"/>
              </w:rPr>
              <w:t>台</w:t>
            </w:r>
          </w:p>
        </w:tc>
      </w:tr>
    </w:tbl>
    <w:p>
      <w:pPr>
        <w:pStyle w:val="11"/>
        <w:numPr>
          <w:ilvl w:val="0"/>
          <w:numId w:val="0"/>
        </w:numPr>
        <w:ind w:left="422" w:leftChars="0"/>
        <w:rPr>
          <w:rFonts w:hint="eastAsia" w:ascii="仿宋" w:hAnsi="仿宋" w:eastAsia="仿宋" w:cs="仿宋"/>
          <w:color w:val="auto"/>
          <w:kern w:val="2"/>
          <w:sz w:val="24"/>
          <w:szCs w:val="24"/>
          <w:lang w:val="en-US" w:eastAsia="zh-CN" w:bidi="ar-SA"/>
        </w:rPr>
      </w:pPr>
    </w:p>
    <w:p>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3.4 软件维护范围</w:t>
      </w:r>
    </w:p>
    <w:p>
      <w:pPr>
        <w:pStyle w:val="5"/>
        <w:keepNext w:val="0"/>
        <w:keepLines w:val="0"/>
        <w:pageBreakBefore w:val="0"/>
        <w:widowControl w:val="0"/>
        <w:kinsoku/>
        <w:wordWrap/>
        <w:overflowPunct/>
        <w:topLinePunct w:val="0"/>
        <w:autoSpaceDE/>
        <w:autoSpaceDN/>
        <w:bidi w:val="0"/>
        <w:adjustRightInd/>
        <w:snapToGrid/>
        <w:spacing w:after="0" w:line="360" w:lineRule="auto"/>
        <w:ind w:firstLine="480" w:firstLineChars="200"/>
        <w:outlineLvl w:val="9"/>
        <w:rPr>
          <w:rFonts w:hint="eastAsia"/>
          <w:color w:val="auto"/>
        </w:rPr>
      </w:pPr>
      <w:r>
        <w:rPr>
          <w:rFonts w:hint="eastAsia" w:ascii="仿宋" w:hAnsi="仿宋" w:eastAsia="仿宋" w:cs="仿宋"/>
          <w:b w:val="0"/>
          <w:bCs w:val="0"/>
          <w:color w:val="auto"/>
          <w:sz w:val="24"/>
          <w:szCs w:val="24"/>
        </w:rPr>
        <w:t>包含但不仅限于以下</w:t>
      </w:r>
      <w:r>
        <w:rPr>
          <w:rFonts w:hint="eastAsia" w:ascii="仿宋" w:hAnsi="仿宋" w:eastAsia="仿宋" w:cs="仿宋"/>
          <w:b w:val="0"/>
          <w:bCs w:val="0"/>
          <w:color w:val="auto"/>
          <w:sz w:val="24"/>
          <w:szCs w:val="24"/>
          <w:lang w:val="en-US" w:eastAsia="zh-CN"/>
        </w:rPr>
        <w:t>系统平台</w:t>
      </w:r>
      <w:r>
        <w:rPr>
          <w:rFonts w:hint="eastAsia" w:ascii="仿宋" w:hAnsi="仿宋" w:eastAsia="仿宋" w:cs="仿宋"/>
          <w:b w:val="0"/>
          <w:bCs w:val="0"/>
          <w:color w:val="auto"/>
          <w:sz w:val="24"/>
          <w:szCs w:val="24"/>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outlineLvl w:val="9"/>
        <w:rPr>
          <w:rFonts w:hint="eastAsia" w:ascii="仿宋" w:hAnsi="仿宋" w:eastAsia="仿宋" w:cs="仿宋"/>
          <w:color w:val="auto"/>
          <w:sz w:val="24"/>
          <w:szCs w:val="24"/>
        </w:rPr>
      </w:pPr>
      <w:r>
        <w:rPr>
          <w:rFonts w:hint="eastAsia" w:ascii="仿宋" w:hAnsi="仿宋" w:eastAsia="仿宋" w:cs="仿宋"/>
          <w:color w:val="auto"/>
          <w:sz w:val="24"/>
          <w:szCs w:val="24"/>
        </w:rPr>
        <w:t>武汉</w:t>
      </w:r>
      <w:r>
        <w:rPr>
          <w:rFonts w:hint="eastAsia" w:ascii="仿宋" w:hAnsi="仿宋" w:eastAsia="仿宋" w:cs="仿宋"/>
          <w:color w:val="auto"/>
          <w:sz w:val="24"/>
          <w:szCs w:val="24"/>
          <w:lang w:eastAsia="zh-CN"/>
        </w:rPr>
        <w:t>市民之家人员考勤管理</w:t>
      </w:r>
      <w:r>
        <w:rPr>
          <w:rFonts w:hint="eastAsia" w:ascii="仿宋" w:hAnsi="仿宋" w:eastAsia="仿宋" w:cs="仿宋"/>
          <w:color w:val="auto"/>
          <w:sz w:val="24"/>
          <w:szCs w:val="24"/>
        </w:rPr>
        <w:t>系统</w:t>
      </w:r>
      <w:r>
        <w:rPr>
          <w:rFonts w:hint="eastAsia" w:ascii="仿宋" w:hAnsi="仿宋" w:eastAsia="仿宋" w:cs="仿宋"/>
          <w:color w:val="auto"/>
          <w:sz w:val="24"/>
          <w:szCs w:val="24"/>
          <w:lang w:val="en-US" w:eastAsia="zh-CN"/>
        </w:rPr>
        <w:t>、条屏叫号系统、</w:t>
      </w:r>
      <w:r>
        <w:rPr>
          <w:rFonts w:hint="eastAsia" w:ascii="仿宋" w:hAnsi="仿宋" w:eastAsia="仿宋" w:cs="仿宋"/>
          <w:color w:val="auto"/>
          <w:sz w:val="24"/>
          <w:szCs w:val="24"/>
        </w:rPr>
        <w:t>电子监察视频监控系统</w:t>
      </w:r>
      <w:r>
        <w:rPr>
          <w:rFonts w:hint="eastAsia" w:ascii="仿宋" w:hAnsi="仿宋" w:eastAsia="仿宋" w:cs="仿宋"/>
          <w:color w:val="auto"/>
          <w:sz w:val="24"/>
          <w:szCs w:val="24"/>
          <w:lang w:val="en-US" w:eastAsia="zh-CN"/>
        </w:rPr>
        <w:t>平台、终端杀毒软件</w:t>
      </w:r>
      <w:r>
        <w:rPr>
          <w:rFonts w:hint="eastAsia" w:ascii="仿宋" w:hAnsi="仿宋" w:eastAsia="仿宋" w:cs="仿宋"/>
          <w:color w:val="auto"/>
          <w:sz w:val="24"/>
          <w:szCs w:val="24"/>
        </w:rPr>
        <w:t>。</w:t>
      </w:r>
    </w:p>
    <w:p>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3.5运维要求说明：</w:t>
      </w:r>
    </w:p>
    <w:p>
      <w:pPr>
        <w:spacing w:line="360" w:lineRule="auto"/>
        <w:ind w:firstLine="640"/>
        <w:rPr>
          <w:rFonts w:hint="eastAsia" w:ascii="仿宋" w:hAnsi="仿宋" w:eastAsia="仿宋" w:cs="仿宋"/>
          <w:color w:val="auto"/>
          <w:sz w:val="24"/>
          <w:szCs w:val="24"/>
        </w:rPr>
      </w:pPr>
      <w:r>
        <w:rPr>
          <w:rFonts w:hint="eastAsia" w:ascii="仿宋" w:hAnsi="仿宋" w:eastAsia="仿宋" w:cs="仿宋"/>
          <w:color w:val="auto"/>
          <w:sz w:val="24"/>
          <w:szCs w:val="24"/>
        </w:rPr>
        <w:t>服务提供商需根据不同的信息化设备资产通过不同的运维方式提供服务，费用包含全服务周期中所有软、硬件故障恢复及产生的相关费用（含新增设备的维护）</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需对</w:t>
      </w:r>
      <w:r>
        <w:rPr>
          <w:rFonts w:hint="eastAsia" w:ascii="仿宋" w:hAnsi="仿宋" w:eastAsia="仿宋" w:cs="仿宋"/>
          <w:color w:val="auto"/>
          <w:sz w:val="24"/>
          <w:szCs w:val="24"/>
        </w:rPr>
        <w:t>在合同实施过程中可能发生的其它费用（如：增加耗材、材料涨价、人工、运输成本增加等因素）</w:t>
      </w:r>
      <w:r>
        <w:rPr>
          <w:rFonts w:hint="eastAsia" w:ascii="仿宋" w:hAnsi="仿宋" w:eastAsia="仿宋" w:cs="仿宋"/>
          <w:color w:val="auto"/>
          <w:sz w:val="24"/>
          <w:szCs w:val="24"/>
          <w:lang w:val="en-US" w:eastAsia="zh-CN"/>
        </w:rPr>
        <w:t>不再另外支付做出相关承诺</w:t>
      </w:r>
      <w:r>
        <w:rPr>
          <w:rFonts w:hint="eastAsia" w:ascii="仿宋" w:hAnsi="仿宋" w:eastAsia="仿宋" w:cs="仿宋"/>
          <w:color w:val="auto"/>
          <w:sz w:val="24"/>
          <w:szCs w:val="24"/>
        </w:rPr>
        <w:t>。</w:t>
      </w:r>
    </w:p>
    <w:p>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3.5.1需提供</w:t>
      </w:r>
      <w:r>
        <w:rPr>
          <w:rFonts w:hint="eastAsia" w:ascii="仿宋" w:hAnsi="仿宋" w:eastAsia="仿宋" w:cs="仿宋"/>
          <w:color w:val="auto"/>
          <w:sz w:val="24"/>
          <w:szCs w:val="24"/>
          <w:lang w:val="en-US" w:eastAsia="zh-CN"/>
        </w:rPr>
        <w:t>现场</w:t>
      </w:r>
      <w:r>
        <w:rPr>
          <w:rFonts w:hint="eastAsia" w:ascii="仿宋" w:hAnsi="仿宋" w:eastAsia="仿宋" w:cs="仿宋"/>
          <w:color w:val="auto"/>
          <w:sz w:val="24"/>
          <w:szCs w:val="24"/>
        </w:rPr>
        <w:t>备品备件的产品</w:t>
      </w:r>
    </w:p>
    <w:p>
      <w:pPr>
        <w:spacing w:line="360" w:lineRule="auto"/>
        <w:ind w:firstLine="640"/>
        <w:rPr>
          <w:rFonts w:hint="eastAsia" w:ascii="仿宋" w:hAnsi="仿宋" w:eastAsia="仿宋" w:cs="仿宋"/>
          <w:color w:val="auto"/>
          <w:sz w:val="24"/>
          <w:szCs w:val="24"/>
        </w:rPr>
      </w:pPr>
      <w:r>
        <w:rPr>
          <w:rFonts w:hint="eastAsia" w:ascii="仿宋" w:hAnsi="仿宋" w:eastAsia="仿宋" w:cs="仿宋"/>
          <w:color w:val="auto"/>
          <w:sz w:val="24"/>
          <w:szCs w:val="24"/>
        </w:rPr>
        <w:t>上表中列出的投影仪、监控系统前端设备、办公用电脑等</w:t>
      </w:r>
      <w:r>
        <w:rPr>
          <w:rFonts w:hint="eastAsia" w:ascii="仿宋" w:hAnsi="仿宋" w:eastAsia="仿宋" w:cs="仿宋"/>
          <w:color w:val="auto"/>
          <w:sz w:val="24"/>
          <w:szCs w:val="24"/>
          <w:lang w:val="en-US" w:eastAsia="zh-CN"/>
        </w:rPr>
        <w:t>设备</w:t>
      </w:r>
      <w:r>
        <w:rPr>
          <w:rFonts w:hint="eastAsia" w:ascii="仿宋" w:hAnsi="仿宋" w:eastAsia="仿宋" w:cs="仿宋"/>
          <w:color w:val="auto"/>
          <w:sz w:val="24"/>
          <w:szCs w:val="24"/>
        </w:rPr>
        <w:t>出现故障时，且故障件的维修价值不高，服务商需</w:t>
      </w:r>
      <w:r>
        <w:rPr>
          <w:rFonts w:hint="eastAsia" w:ascii="仿宋" w:hAnsi="仿宋" w:eastAsia="仿宋" w:cs="仿宋"/>
          <w:color w:val="auto"/>
          <w:sz w:val="24"/>
          <w:szCs w:val="24"/>
          <w:lang w:val="en-US" w:eastAsia="zh-CN"/>
        </w:rPr>
        <w:t>提供备品备件</w:t>
      </w:r>
      <w:r>
        <w:rPr>
          <w:rFonts w:hint="eastAsia" w:ascii="仿宋" w:hAnsi="仿宋" w:eastAsia="仿宋" w:cs="仿宋"/>
          <w:color w:val="auto"/>
          <w:sz w:val="24"/>
          <w:szCs w:val="24"/>
        </w:rPr>
        <w:t>进行现场更换；1小时内未解决故障恢复生产的，需提供备机供采购人应急使用，并提供备件列表提高维修效率。</w:t>
      </w:r>
    </w:p>
    <w:p>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3.5.</w:t>
      </w:r>
      <w:r>
        <w:rPr>
          <w:rFonts w:hint="eastAsia" w:ascii="仿宋" w:hAnsi="仿宋" w:eastAsia="仿宋" w:cs="仿宋"/>
          <w:color w:val="auto"/>
          <w:sz w:val="24"/>
          <w:szCs w:val="24"/>
          <w:lang w:val="en-US" w:eastAsia="zh-CN"/>
        </w:rPr>
        <w:t>2</w:t>
      </w:r>
      <w:r>
        <w:rPr>
          <w:rFonts w:hint="eastAsia" w:ascii="仿宋" w:hAnsi="仿宋" w:eastAsia="仿宋" w:cs="仿宋"/>
          <w:color w:val="auto"/>
          <w:sz w:val="24"/>
          <w:szCs w:val="24"/>
        </w:rPr>
        <w:t>软件维护要求</w:t>
      </w:r>
    </w:p>
    <w:p>
      <w:pPr>
        <w:spacing w:line="360" w:lineRule="auto"/>
        <w:ind w:firstLine="64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1）</w:t>
      </w:r>
      <w:r>
        <w:rPr>
          <w:rFonts w:hint="eastAsia" w:ascii="仿宋" w:hAnsi="仿宋" w:eastAsia="仿宋" w:cs="仿宋"/>
          <w:color w:val="auto"/>
          <w:sz w:val="24"/>
          <w:szCs w:val="24"/>
          <w:lang w:val="en-US" w:eastAsia="zh-CN"/>
        </w:rPr>
        <w:t>随时响应武汉市投资促进局在日常使用软件系统过程中碰到的问题，如：对系统使用过程中（如操作系统、浏览器、辅助软件）遇到的问题进行解答，以电话支持、按周巡检相结合的方式进行维护；</w:t>
      </w:r>
    </w:p>
    <w:p>
      <w:pPr>
        <w:spacing w:line="360" w:lineRule="auto"/>
        <w:ind w:firstLine="64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2）</w:t>
      </w:r>
      <w:r>
        <w:rPr>
          <w:rFonts w:hint="eastAsia" w:ascii="仿宋" w:hAnsi="仿宋" w:eastAsia="仿宋" w:cs="仿宋"/>
          <w:color w:val="auto"/>
          <w:sz w:val="24"/>
          <w:szCs w:val="24"/>
          <w:lang w:val="en-US" w:eastAsia="zh-CN"/>
        </w:rPr>
        <w:t>系统出现的重大软件问题，包括但不限于突然断电等意外导致系统登录出错、操作系统或数据库等故障时，需提供现场服务；</w:t>
      </w:r>
    </w:p>
    <w:p>
      <w:pPr>
        <w:spacing w:line="360" w:lineRule="auto"/>
        <w:ind w:firstLine="64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3）</w:t>
      </w:r>
      <w:r>
        <w:rPr>
          <w:rFonts w:hint="eastAsia" w:ascii="仿宋" w:hAnsi="仿宋" w:eastAsia="仿宋" w:cs="仿宋"/>
          <w:color w:val="auto"/>
          <w:sz w:val="24"/>
          <w:szCs w:val="24"/>
          <w:lang w:val="en-US" w:eastAsia="zh-CN"/>
        </w:rPr>
        <w:t>需对相关软件进行安全防范，操作系统方面的安全检查工作，具体包括：操作系统、数据库的补丁、密码强度、端口的安全防范；应用系统的漏洞检测、密码强度方面的加固；数据库及文件的日常备份和巡检机制。</w:t>
      </w:r>
    </w:p>
    <w:p>
      <w:pPr>
        <w:spacing w:line="360" w:lineRule="auto"/>
        <w:ind w:firstLine="640"/>
        <w:rPr>
          <w:rFonts w:hint="eastAsia"/>
          <w:color w:val="auto"/>
        </w:rPr>
      </w:pPr>
      <w:r>
        <w:rPr>
          <w:rFonts w:hint="eastAsia" w:ascii="仿宋" w:hAnsi="仿宋" w:eastAsia="仿宋" w:cs="仿宋"/>
          <w:color w:val="auto"/>
          <w:sz w:val="24"/>
          <w:szCs w:val="24"/>
        </w:rPr>
        <w:t>4）</w:t>
      </w:r>
      <w:r>
        <w:rPr>
          <w:rFonts w:hint="eastAsia" w:ascii="仿宋" w:hAnsi="仿宋" w:eastAsia="仿宋" w:cs="仿宋"/>
          <w:color w:val="auto"/>
          <w:sz w:val="24"/>
          <w:szCs w:val="24"/>
          <w:lang w:val="en-US" w:eastAsia="zh-CN"/>
        </w:rPr>
        <w:t>配合武汉市投资促进局完成系统调试和相关人员的培训工作。</w:t>
      </w:r>
    </w:p>
    <w:p>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3.5.</w:t>
      </w:r>
      <w:r>
        <w:rPr>
          <w:rFonts w:hint="eastAsia" w:ascii="仿宋" w:hAnsi="仿宋" w:eastAsia="仿宋" w:cs="仿宋"/>
          <w:color w:val="auto"/>
          <w:sz w:val="24"/>
          <w:szCs w:val="24"/>
          <w:lang w:val="en-US" w:eastAsia="zh-CN"/>
        </w:rPr>
        <w:t>3</w:t>
      </w:r>
      <w:r>
        <w:rPr>
          <w:rFonts w:hint="eastAsia" w:ascii="仿宋" w:hAnsi="仿宋" w:eastAsia="仿宋" w:cs="仿宋"/>
          <w:color w:val="auto"/>
          <w:sz w:val="24"/>
          <w:szCs w:val="24"/>
        </w:rPr>
        <w:t>运行管理工作的其他要求</w:t>
      </w:r>
    </w:p>
    <w:p>
      <w:pPr>
        <w:spacing w:line="360" w:lineRule="auto"/>
        <w:ind w:firstLine="640"/>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武汉市投资促进局</w:t>
      </w:r>
      <w:r>
        <w:rPr>
          <w:rFonts w:hint="eastAsia" w:ascii="仿宋" w:hAnsi="仿宋" w:eastAsia="仿宋" w:cs="仿宋"/>
          <w:color w:val="auto"/>
          <w:sz w:val="24"/>
          <w:szCs w:val="24"/>
        </w:rPr>
        <w:t>提供办公场所，所有服务所需的终端设备、调试设备均由服务商自行提供。所有驻场人员均接受</w:t>
      </w:r>
      <w:r>
        <w:rPr>
          <w:rFonts w:hint="eastAsia" w:ascii="仿宋" w:hAnsi="仿宋" w:eastAsia="仿宋" w:cs="仿宋"/>
          <w:color w:val="auto"/>
          <w:sz w:val="24"/>
          <w:szCs w:val="24"/>
          <w:lang w:val="en-US" w:eastAsia="zh-CN"/>
        </w:rPr>
        <w:t>市投资促进局</w:t>
      </w:r>
      <w:r>
        <w:rPr>
          <w:rFonts w:hint="eastAsia" w:ascii="仿宋" w:hAnsi="仿宋" w:eastAsia="仿宋" w:cs="仿宋"/>
          <w:color w:val="auto"/>
          <w:sz w:val="24"/>
          <w:szCs w:val="24"/>
        </w:rPr>
        <w:t>的考核和评估，合格后的人员变更需提交变更申请，在</w:t>
      </w:r>
      <w:r>
        <w:rPr>
          <w:rFonts w:hint="eastAsia" w:ascii="仿宋" w:hAnsi="仿宋" w:eastAsia="仿宋" w:cs="仿宋"/>
          <w:color w:val="auto"/>
          <w:sz w:val="24"/>
          <w:szCs w:val="24"/>
          <w:lang w:val="en-US" w:eastAsia="zh-CN"/>
        </w:rPr>
        <w:t>市投资促进局</w:t>
      </w:r>
      <w:r>
        <w:rPr>
          <w:rFonts w:hint="eastAsia" w:ascii="仿宋" w:hAnsi="仿宋" w:eastAsia="仿宋" w:cs="仿宋"/>
          <w:color w:val="auto"/>
          <w:sz w:val="24"/>
          <w:szCs w:val="24"/>
        </w:rPr>
        <w:t>批准后方可变更。</w:t>
      </w:r>
    </w:p>
    <w:p>
      <w:pPr>
        <w:spacing w:line="360" w:lineRule="auto"/>
        <w:ind w:firstLine="480" w:firstLineChars="200"/>
        <w:rPr>
          <w:rFonts w:hint="eastAsia" w:ascii="仿宋" w:hAnsi="仿宋" w:eastAsia="仿宋" w:cs="仿宋"/>
          <w:color w:val="auto"/>
          <w:sz w:val="24"/>
          <w:highlight w:val="yellow"/>
        </w:rPr>
      </w:pPr>
      <w:r>
        <w:rPr>
          <w:rFonts w:hint="eastAsia" w:ascii="仿宋" w:hAnsi="仿宋" w:eastAsia="仿宋" w:cs="仿宋"/>
          <w:color w:val="auto"/>
          <w:sz w:val="24"/>
        </w:rPr>
        <w:t>3.5.</w:t>
      </w:r>
      <w:r>
        <w:rPr>
          <w:rFonts w:hint="eastAsia" w:ascii="仿宋" w:hAnsi="仿宋" w:eastAsia="仿宋" w:cs="仿宋"/>
          <w:color w:val="auto"/>
          <w:sz w:val="24"/>
          <w:lang w:val="en-US" w:eastAsia="zh-CN"/>
        </w:rPr>
        <w:t>4</w:t>
      </w:r>
      <w:r>
        <w:rPr>
          <w:rFonts w:hint="eastAsia" w:ascii="仿宋" w:hAnsi="仿宋" w:eastAsia="仿宋" w:cs="仿宋"/>
          <w:color w:val="auto"/>
          <w:sz w:val="24"/>
        </w:rPr>
        <w:t>技术服务要求（人工）</w:t>
      </w:r>
    </w:p>
    <w:p>
      <w:pPr>
        <w:spacing w:line="360" w:lineRule="auto"/>
        <w:ind w:firstLine="64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服务商须提供不少于5名的固定现场服务人员（不含项目经理），向我局提供服务人员相关履历、认证证书、项目经验等，如遇突发事件，须紧急再增派不少于4人同时开展现场维护工作。服务商须提供驻场人数、驻场时间的服务承诺。</w:t>
      </w:r>
    </w:p>
    <w:p>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3.6运维技术要求说明：</w:t>
      </w:r>
    </w:p>
    <w:p>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3.6.</w:t>
      </w:r>
      <w:r>
        <w:rPr>
          <w:rFonts w:hint="eastAsia" w:ascii="仿宋" w:hAnsi="仿宋" w:eastAsia="仿宋" w:cs="仿宋"/>
          <w:color w:val="auto"/>
          <w:sz w:val="24"/>
          <w:szCs w:val="24"/>
          <w:lang w:val="en-US" w:eastAsia="zh-CN"/>
        </w:rPr>
        <w:t>1</w:t>
      </w:r>
      <w:r>
        <w:rPr>
          <w:rFonts w:hint="eastAsia" w:ascii="仿宋" w:hAnsi="仿宋" w:eastAsia="仿宋" w:cs="仿宋"/>
          <w:color w:val="auto"/>
          <w:sz w:val="24"/>
          <w:szCs w:val="24"/>
        </w:rPr>
        <w:t xml:space="preserve"> 屏显类设备运维管理要求</w:t>
      </w:r>
    </w:p>
    <w:p>
      <w:pPr>
        <w:spacing w:line="360" w:lineRule="auto"/>
        <w:ind w:firstLine="640"/>
        <w:rPr>
          <w:rFonts w:hint="eastAsia" w:ascii="仿宋" w:hAnsi="仿宋" w:eastAsia="仿宋" w:cs="仿宋"/>
          <w:color w:val="auto"/>
          <w:sz w:val="24"/>
          <w:szCs w:val="24"/>
        </w:rPr>
      </w:pPr>
      <w:r>
        <w:rPr>
          <w:rFonts w:hint="eastAsia" w:ascii="仿宋" w:hAnsi="仿宋" w:eastAsia="仿宋" w:cs="仿宋"/>
          <w:color w:val="auto"/>
          <w:sz w:val="24"/>
          <w:szCs w:val="24"/>
        </w:rPr>
        <w:t>屏显类设备外观清洁无污物，安装支架连接牢固，图像清晰，色彩正常、无花屏、闪烁及缺行现象，信息刷新及时正常。</w:t>
      </w:r>
    </w:p>
    <w:p>
      <w:pPr>
        <w:spacing w:line="360" w:lineRule="auto"/>
        <w:ind w:firstLine="640"/>
        <w:rPr>
          <w:rFonts w:hint="eastAsia" w:ascii="仿宋" w:hAnsi="仿宋" w:eastAsia="仿宋" w:cs="仿宋"/>
          <w:color w:val="auto"/>
          <w:sz w:val="24"/>
          <w:szCs w:val="24"/>
        </w:rPr>
      </w:pPr>
      <w:r>
        <w:rPr>
          <w:rFonts w:hint="eastAsia" w:ascii="仿宋" w:hAnsi="仿宋" w:eastAsia="仿宋" w:cs="仿宋"/>
          <w:color w:val="auto"/>
          <w:sz w:val="24"/>
          <w:szCs w:val="24"/>
        </w:rPr>
        <w:t>定时定量，制定详细的计划对屏显类前端设备、后台支持运营系统终端设备、控制间设备进行巡检，清洁、保养，对隐患进行排除。</w:t>
      </w:r>
    </w:p>
    <w:p>
      <w:pPr>
        <w:spacing w:line="360" w:lineRule="auto"/>
        <w:ind w:firstLine="640"/>
        <w:rPr>
          <w:rFonts w:hint="eastAsia" w:ascii="仿宋" w:hAnsi="仿宋" w:eastAsia="仿宋" w:cs="仿宋"/>
          <w:color w:val="auto"/>
          <w:sz w:val="24"/>
          <w:szCs w:val="24"/>
        </w:rPr>
      </w:pPr>
      <w:r>
        <w:rPr>
          <w:rFonts w:hint="eastAsia" w:ascii="仿宋" w:hAnsi="仿宋" w:eastAsia="仿宋" w:cs="仿宋"/>
          <w:color w:val="auto"/>
          <w:sz w:val="24"/>
          <w:szCs w:val="24"/>
        </w:rPr>
        <w:t>做好备机备件的管理管控工作，要求故障设备在2小时内恢复生产。</w:t>
      </w:r>
    </w:p>
    <w:p>
      <w:pPr>
        <w:spacing w:line="360" w:lineRule="auto"/>
        <w:ind w:firstLine="640"/>
        <w:rPr>
          <w:rFonts w:hint="eastAsia" w:ascii="仿宋" w:hAnsi="仿宋" w:eastAsia="仿宋" w:cs="仿宋"/>
          <w:color w:val="auto"/>
          <w:sz w:val="24"/>
          <w:szCs w:val="24"/>
        </w:rPr>
      </w:pPr>
      <w:r>
        <w:rPr>
          <w:rFonts w:hint="eastAsia" w:ascii="仿宋" w:hAnsi="仿宋" w:eastAsia="仿宋" w:cs="仿宋"/>
          <w:color w:val="auto"/>
          <w:sz w:val="24"/>
          <w:szCs w:val="24"/>
        </w:rPr>
        <w:t>在法定节假日及重大活动期间，配合用户完成运行、保障及巡检工作。</w:t>
      </w:r>
    </w:p>
    <w:p>
      <w:pPr>
        <w:spacing w:line="360" w:lineRule="auto"/>
        <w:ind w:firstLine="640"/>
        <w:rPr>
          <w:rFonts w:hint="eastAsia" w:ascii="仿宋" w:hAnsi="仿宋" w:eastAsia="仿宋" w:cs="仿宋"/>
          <w:color w:val="auto"/>
          <w:sz w:val="24"/>
          <w:szCs w:val="24"/>
        </w:rPr>
      </w:pPr>
      <w:r>
        <w:rPr>
          <w:rFonts w:hint="eastAsia" w:ascii="仿宋" w:hAnsi="仿宋" w:eastAsia="仿宋" w:cs="仿宋"/>
          <w:color w:val="auto"/>
          <w:sz w:val="24"/>
          <w:szCs w:val="24"/>
        </w:rPr>
        <w:t>对每日工作进行详细记录，提供跟踪到单台设备的故障排除报告，月度进行分析，为相关部门提供故障统计分析报告，并对常见或多发问题提出变更服务方案，以降低故障率。</w:t>
      </w:r>
    </w:p>
    <w:p>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3.6.</w:t>
      </w:r>
      <w:r>
        <w:rPr>
          <w:rFonts w:hint="eastAsia" w:ascii="仿宋" w:hAnsi="仿宋" w:eastAsia="仿宋" w:cs="仿宋"/>
          <w:color w:val="auto"/>
          <w:sz w:val="24"/>
          <w:szCs w:val="24"/>
          <w:lang w:val="en-US" w:eastAsia="zh-CN"/>
        </w:rPr>
        <w:t>2</w:t>
      </w:r>
      <w:r>
        <w:rPr>
          <w:rFonts w:hint="eastAsia" w:ascii="仿宋" w:hAnsi="仿宋" w:eastAsia="仿宋" w:cs="仿宋"/>
          <w:color w:val="auto"/>
          <w:sz w:val="24"/>
          <w:szCs w:val="24"/>
        </w:rPr>
        <w:t>办公室设备和公共管理设备类管理要求</w:t>
      </w:r>
    </w:p>
    <w:p>
      <w:pPr>
        <w:spacing w:line="360" w:lineRule="auto"/>
        <w:ind w:firstLine="640"/>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武汉市投资促进局</w:t>
      </w:r>
      <w:r>
        <w:rPr>
          <w:rFonts w:hint="eastAsia" w:ascii="仿宋" w:hAnsi="仿宋" w:eastAsia="仿宋" w:cs="仿宋"/>
          <w:color w:val="auto"/>
          <w:sz w:val="24"/>
          <w:szCs w:val="24"/>
        </w:rPr>
        <w:t>现有</w:t>
      </w:r>
      <w:r>
        <w:rPr>
          <w:rFonts w:hint="eastAsia" w:ascii="仿宋" w:hAnsi="仿宋" w:eastAsia="仿宋" w:cs="仿宋"/>
          <w:color w:val="auto"/>
          <w:sz w:val="24"/>
          <w:szCs w:val="24"/>
          <w:lang w:eastAsia="zh-CN"/>
        </w:rPr>
        <w:t>的</w:t>
      </w:r>
      <w:r>
        <w:rPr>
          <w:rFonts w:hint="eastAsia" w:ascii="仿宋" w:hAnsi="仿宋" w:eastAsia="仿宋" w:cs="仿宋"/>
          <w:color w:val="auto"/>
          <w:sz w:val="24"/>
          <w:szCs w:val="24"/>
        </w:rPr>
        <w:t>各区域日常办公及辅助IT类IT资产（包括电脑、打印机、高拍仪、摄像头、考勤机、监控系统、音箱等日常办公及辅助设备），以及后续新采购的IT办公及辅助IT类设备的日常运维、保养、清洁等服务。</w:t>
      </w:r>
    </w:p>
    <w:p>
      <w:pPr>
        <w:spacing w:line="360" w:lineRule="auto"/>
        <w:ind w:firstLine="640"/>
        <w:rPr>
          <w:rFonts w:hint="eastAsia" w:ascii="仿宋" w:hAnsi="仿宋" w:eastAsia="仿宋" w:cs="仿宋"/>
          <w:color w:val="auto"/>
          <w:sz w:val="24"/>
          <w:szCs w:val="24"/>
        </w:rPr>
      </w:pPr>
      <w:r>
        <w:rPr>
          <w:rFonts w:hint="eastAsia" w:ascii="仿宋" w:hAnsi="仿宋" w:eastAsia="仿宋" w:cs="仿宋"/>
          <w:color w:val="auto"/>
          <w:sz w:val="24"/>
          <w:szCs w:val="24"/>
        </w:rPr>
        <w:t>对上述所有日常办公及辅助IT类日常故障进行排除。</w:t>
      </w:r>
    </w:p>
    <w:p>
      <w:pPr>
        <w:spacing w:line="360" w:lineRule="auto"/>
        <w:ind w:firstLine="640"/>
        <w:rPr>
          <w:rFonts w:hint="eastAsia" w:ascii="仿宋" w:hAnsi="仿宋" w:eastAsia="仿宋" w:cs="仿宋"/>
          <w:color w:val="auto"/>
          <w:sz w:val="24"/>
          <w:szCs w:val="24"/>
        </w:rPr>
      </w:pPr>
      <w:r>
        <w:rPr>
          <w:rFonts w:hint="eastAsia" w:ascii="仿宋" w:hAnsi="仿宋" w:eastAsia="仿宋" w:cs="仿宋"/>
          <w:color w:val="auto"/>
          <w:sz w:val="24"/>
          <w:szCs w:val="24"/>
        </w:rPr>
        <w:t>做好备机备件的管理管控工作，保障设备在2小时内恢复生产。</w:t>
      </w:r>
    </w:p>
    <w:p>
      <w:pPr>
        <w:spacing w:line="360" w:lineRule="auto"/>
        <w:ind w:firstLine="640"/>
        <w:rPr>
          <w:rFonts w:hint="eastAsia" w:ascii="仿宋" w:hAnsi="仿宋" w:eastAsia="仿宋" w:cs="仿宋"/>
          <w:color w:val="auto"/>
          <w:sz w:val="24"/>
          <w:szCs w:val="24"/>
        </w:rPr>
      </w:pPr>
      <w:r>
        <w:rPr>
          <w:rFonts w:hint="eastAsia" w:ascii="仿宋" w:hAnsi="仿宋" w:eastAsia="仿宋" w:cs="仿宋"/>
          <w:color w:val="auto"/>
          <w:sz w:val="24"/>
          <w:szCs w:val="24"/>
        </w:rPr>
        <w:t>对</w:t>
      </w:r>
      <w:r>
        <w:rPr>
          <w:rFonts w:hint="eastAsia" w:ascii="仿宋" w:hAnsi="仿宋" w:eastAsia="仿宋" w:cs="仿宋"/>
          <w:color w:val="auto"/>
          <w:sz w:val="24"/>
          <w:szCs w:val="24"/>
          <w:lang w:val="en-US" w:eastAsia="zh-CN"/>
        </w:rPr>
        <w:t>武汉市投资促进局</w:t>
      </w:r>
      <w:r>
        <w:rPr>
          <w:rFonts w:hint="eastAsia" w:ascii="仿宋" w:hAnsi="仿宋" w:eastAsia="仿宋" w:cs="仿宋"/>
          <w:color w:val="auto"/>
          <w:sz w:val="24"/>
          <w:szCs w:val="24"/>
        </w:rPr>
        <w:t>新购或迁移日常办公及辅助IT类设备，要负责大楼内部安装终端到用户指定的物理位置，辅助用户安装调试与设备相连的设备，并协助用户完成验机工作。</w:t>
      </w:r>
    </w:p>
    <w:p>
      <w:pPr>
        <w:spacing w:line="360" w:lineRule="auto"/>
        <w:ind w:firstLine="640"/>
        <w:rPr>
          <w:rFonts w:hint="eastAsia" w:ascii="仿宋" w:hAnsi="仿宋" w:eastAsia="仿宋" w:cs="仿宋"/>
          <w:color w:val="auto"/>
          <w:sz w:val="24"/>
          <w:szCs w:val="24"/>
        </w:rPr>
      </w:pPr>
      <w:r>
        <w:rPr>
          <w:rFonts w:hint="eastAsia" w:ascii="仿宋" w:hAnsi="仿宋" w:eastAsia="仿宋" w:cs="仿宋"/>
          <w:color w:val="auto"/>
          <w:sz w:val="24"/>
          <w:szCs w:val="24"/>
        </w:rPr>
        <w:t>负责维护服务范围内用户计算机终端、病毒软件、常用办公软件（WPS、IE、office等）、应用系统软件(排队叫号</w:t>
      </w:r>
      <w:r>
        <w:rPr>
          <w:rFonts w:hint="eastAsia" w:ascii="仿宋" w:hAnsi="仿宋" w:eastAsia="仿宋" w:cs="仿宋"/>
          <w:color w:val="auto"/>
          <w:sz w:val="24"/>
          <w:szCs w:val="24"/>
          <w:lang w:val="en-US" w:eastAsia="zh-CN"/>
        </w:rPr>
        <w:t>等</w:t>
      </w:r>
      <w:r>
        <w:rPr>
          <w:rFonts w:hint="eastAsia" w:ascii="仿宋" w:hAnsi="仿宋" w:eastAsia="仿宋" w:cs="仿宋"/>
          <w:color w:val="auto"/>
          <w:sz w:val="24"/>
          <w:szCs w:val="24"/>
        </w:rPr>
        <w:t>)正常运行。</w:t>
      </w:r>
    </w:p>
    <w:p>
      <w:pPr>
        <w:spacing w:line="360" w:lineRule="auto"/>
        <w:ind w:firstLine="64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网络面板</w:t>
      </w:r>
      <w:r>
        <w:rPr>
          <w:rFonts w:hint="eastAsia" w:ascii="仿宋" w:hAnsi="仿宋" w:eastAsia="仿宋" w:cs="仿宋"/>
          <w:color w:val="auto"/>
          <w:sz w:val="24"/>
          <w:szCs w:val="24"/>
        </w:rPr>
        <w:t>节点调试工作；</w:t>
      </w:r>
      <w:r>
        <w:rPr>
          <w:rFonts w:hint="eastAsia" w:ascii="仿宋" w:hAnsi="仿宋" w:eastAsia="仿宋" w:cs="仿宋"/>
          <w:color w:val="auto"/>
          <w:sz w:val="24"/>
          <w:szCs w:val="24"/>
          <w:lang w:val="en-US" w:eastAsia="zh-CN"/>
        </w:rPr>
        <w:t>负责网络面板</w:t>
      </w:r>
      <w:r>
        <w:rPr>
          <w:rFonts w:hint="eastAsia" w:ascii="仿宋" w:hAnsi="仿宋" w:eastAsia="仿宋" w:cs="仿宋"/>
          <w:color w:val="auto"/>
          <w:sz w:val="24"/>
          <w:szCs w:val="24"/>
        </w:rPr>
        <w:t>至办公及辅助IT类网络的连通性测试</w:t>
      </w:r>
      <w:r>
        <w:rPr>
          <w:rFonts w:hint="eastAsia" w:ascii="仿宋" w:hAnsi="仿宋" w:eastAsia="仿宋" w:cs="仿宋"/>
          <w:color w:val="auto"/>
          <w:sz w:val="24"/>
          <w:szCs w:val="24"/>
          <w:lang w:val="en-US" w:eastAsia="zh-CN"/>
        </w:rPr>
        <w:t>和</w:t>
      </w:r>
      <w:r>
        <w:rPr>
          <w:rFonts w:hint="eastAsia" w:ascii="仿宋" w:hAnsi="仿宋" w:eastAsia="仿宋" w:cs="仿宋"/>
          <w:color w:val="auto"/>
          <w:sz w:val="24"/>
          <w:szCs w:val="24"/>
        </w:rPr>
        <w:t>基本维护工作，例如：更换</w:t>
      </w:r>
      <w:r>
        <w:rPr>
          <w:rFonts w:hint="eastAsia" w:ascii="仿宋" w:hAnsi="仿宋" w:eastAsia="仿宋" w:cs="仿宋"/>
          <w:color w:val="auto"/>
          <w:sz w:val="24"/>
          <w:szCs w:val="24"/>
          <w:lang w:val="en-US" w:eastAsia="zh-CN"/>
        </w:rPr>
        <w:t>网线</w:t>
      </w: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临时</w:t>
      </w:r>
      <w:r>
        <w:rPr>
          <w:rFonts w:hint="eastAsia" w:ascii="仿宋" w:hAnsi="仿宋" w:eastAsia="仿宋" w:cs="仿宋"/>
          <w:color w:val="auto"/>
          <w:sz w:val="24"/>
          <w:szCs w:val="24"/>
        </w:rPr>
        <w:t>接入</w:t>
      </w:r>
      <w:r>
        <w:rPr>
          <w:rFonts w:hint="eastAsia" w:ascii="仿宋" w:hAnsi="仿宋" w:eastAsia="仿宋" w:cs="仿宋"/>
          <w:color w:val="auto"/>
          <w:sz w:val="24"/>
          <w:szCs w:val="24"/>
          <w:lang w:val="en-US" w:eastAsia="zh-CN"/>
        </w:rPr>
        <w:t>交换机等，并在终端点位网络面板故障时，对损坏面板进行应急更换。</w:t>
      </w:r>
    </w:p>
    <w:p>
      <w:pPr>
        <w:spacing w:line="360" w:lineRule="auto"/>
        <w:ind w:firstLine="640"/>
        <w:rPr>
          <w:rFonts w:hint="eastAsia" w:ascii="仿宋" w:hAnsi="仿宋" w:eastAsia="仿宋" w:cs="仿宋"/>
          <w:color w:val="auto"/>
          <w:sz w:val="24"/>
          <w:szCs w:val="24"/>
        </w:rPr>
      </w:pPr>
      <w:r>
        <w:rPr>
          <w:rFonts w:hint="eastAsia" w:ascii="仿宋" w:hAnsi="仿宋" w:eastAsia="仿宋" w:cs="仿宋"/>
          <w:color w:val="auto"/>
          <w:sz w:val="24"/>
          <w:szCs w:val="24"/>
        </w:rPr>
        <w:t>电子监察视频监控系统：对电子监察视频监控系统</w:t>
      </w:r>
      <w:r>
        <w:rPr>
          <w:rFonts w:hint="eastAsia" w:ascii="仿宋" w:hAnsi="仿宋" w:eastAsia="仿宋" w:cs="仿宋"/>
          <w:color w:val="auto"/>
          <w:sz w:val="24"/>
          <w:szCs w:val="24"/>
          <w:lang w:val="en-US" w:eastAsia="zh-CN"/>
        </w:rPr>
        <w:t>配线间</w:t>
      </w:r>
      <w:r>
        <w:rPr>
          <w:rFonts w:hint="eastAsia" w:ascii="仿宋" w:hAnsi="仿宋" w:eastAsia="仿宋" w:cs="仿宋"/>
          <w:color w:val="auto"/>
          <w:sz w:val="24"/>
          <w:szCs w:val="24"/>
        </w:rPr>
        <w:t>环境进行维护，保障设备运行环境；对所有终端设备的安装位置、运行情况进行巡检登记，了解线路使用情况及线路敷设路径、走线方式等，形成记录文档。定期对线路所有接口、所有视频头、接线柱线路接点是否牢固进行巡视，对软件使用情况进行监测、且做好软件升级和系统数据备份</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定期通过周报等形式向甲方提供运维日志。</w:t>
      </w:r>
    </w:p>
    <w:p>
      <w:pPr>
        <w:spacing w:line="360" w:lineRule="auto"/>
        <w:ind w:firstLine="640"/>
        <w:rPr>
          <w:rFonts w:hint="eastAsia" w:ascii="仿宋" w:hAnsi="仿宋" w:eastAsia="仿宋" w:cs="仿宋"/>
          <w:color w:val="auto"/>
          <w:sz w:val="24"/>
          <w:szCs w:val="24"/>
        </w:rPr>
      </w:pPr>
      <w:r>
        <w:rPr>
          <w:rFonts w:hint="eastAsia" w:ascii="仿宋" w:hAnsi="仿宋" w:eastAsia="仿宋" w:cs="仿宋"/>
          <w:color w:val="auto"/>
          <w:sz w:val="24"/>
          <w:szCs w:val="24"/>
        </w:rPr>
        <w:t>各功能室（如开标、评标、拍卖、会议等）：对各类功能房间设备进行运维服务，定期巡检，配合管理部门做好功能房间的重点保障，以确保其功能的正常实现。</w:t>
      </w:r>
    </w:p>
    <w:p>
      <w:pPr>
        <w:spacing w:line="360" w:lineRule="auto"/>
        <w:ind w:firstLine="640"/>
        <w:rPr>
          <w:rFonts w:hint="eastAsia" w:ascii="仿宋" w:hAnsi="仿宋" w:eastAsia="仿宋" w:cs="仿宋"/>
          <w:color w:val="auto"/>
          <w:sz w:val="24"/>
          <w:szCs w:val="24"/>
        </w:rPr>
      </w:pPr>
      <w:r>
        <w:rPr>
          <w:rFonts w:hint="eastAsia" w:ascii="仿宋" w:hAnsi="仿宋" w:eastAsia="仿宋" w:cs="仿宋"/>
          <w:color w:val="auto"/>
          <w:sz w:val="24"/>
          <w:szCs w:val="24"/>
        </w:rPr>
        <w:t>每年1次对</w:t>
      </w:r>
      <w:r>
        <w:rPr>
          <w:rFonts w:hint="eastAsia" w:ascii="仿宋" w:hAnsi="仿宋" w:eastAsia="仿宋" w:cs="仿宋"/>
          <w:color w:val="auto"/>
          <w:sz w:val="24"/>
          <w:szCs w:val="24"/>
          <w:lang w:val="en-US" w:eastAsia="zh-CN"/>
        </w:rPr>
        <w:t>市投资促进局</w:t>
      </w:r>
      <w:r>
        <w:rPr>
          <w:rFonts w:hint="eastAsia" w:ascii="仿宋" w:hAnsi="仿宋" w:eastAsia="仿宋" w:cs="仿宋"/>
          <w:color w:val="auto"/>
          <w:sz w:val="24"/>
          <w:szCs w:val="24"/>
        </w:rPr>
        <w:t>办公及辅助IT类设备进行巡检，并对关键设备进行一次开机除尘保养工作,出具巡检报告。</w:t>
      </w:r>
    </w:p>
    <w:p>
      <w:pPr>
        <w:spacing w:line="360" w:lineRule="auto"/>
        <w:ind w:firstLine="640"/>
        <w:rPr>
          <w:rFonts w:hint="eastAsia" w:ascii="仿宋" w:hAnsi="仿宋" w:eastAsia="仿宋" w:cs="仿宋"/>
          <w:color w:val="auto"/>
          <w:sz w:val="24"/>
          <w:szCs w:val="24"/>
        </w:rPr>
      </w:pPr>
      <w:r>
        <w:rPr>
          <w:rFonts w:hint="eastAsia" w:ascii="仿宋" w:hAnsi="仿宋" w:eastAsia="仿宋" w:cs="仿宋"/>
          <w:color w:val="auto"/>
          <w:sz w:val="24"/>
          <w:szCs w:val="24"/>
        </w:rPr>
        <w:t>在服务过程中指导办公及辅助应用人员形成规范操作的习惯，提高应用水平，并对日常使用中的问题进行反馈，以便</w:t>
      </w:r>
      <w:r>
        <w:rPr>
          <w:rFonts w:hint="eastAsia" w:ascii="仿宋" w:hAnsi="仿宋" w:eastAsia="仿宋" w:cs="仿宋"/>
          <w:color w:val="auto"/>
          <w:sz w:val="24"/>
          <w:szCs w:val="24"/>
          <w:lang w:val="en-US" w:eastAsia="zh-CN"/>
        </w:rPr>
        <w:t>市投资促进局</w:t>
      </w:r>
      <w:r>
        <w:rPr>
          <w:rFonts w:hint="eastAsia" w:ascii="仿宋" w:hAnsi="仿宋" w:eastAsia="仿宋" w:cs="仿宋"/>
          <w:color w:val="auto"/>
          <w:sz w:val="24"/>
          <w:szCs w:val="24"/>
        </w:rPr>
        <w:t>加强设备应用的管理，提高设备使用效率。</w:t>
      </w:r>
    </w:p>
    <w:p>
      <w:pPr>
        <w:spacing w:line="360" w:lineRule="auto"/>
        <w:ind w:firstLine="640"/>
        <w:rPr>
          <w:rFonts w:hint="eastAsia" w:ascii="仿宋" w:hAnsi="仿宋" w:eastAsia="仿宋" w:cs="仿宋"/>
          <w:color w:val="auto"/>
          <w:sz w:val="24"/>
          <w:szCs w:val="24"/>
        </w:rPr>
      </w:pPr>
      <w:r>
        <w:rPr>
          <w:rFonts w:hint="eastAsia" w:ascii="仿宋" w:hAnsi="仿宋" w:eastAsia="仿宋" w:cs="仿宋"/>
          <w:color w:val="auto"/>
          <w:sz w:val="24"/>
          <w:szCs w:val="24"/>
        </w:rPr>
        <w:t>以设备的地理位置对设备进行定位，对事件、问题进行监控，可按月、季、年提供跟踪到这个地理位置上的设备维修情况，包括软件、硬件及人力造成的维修，并分析原因，为</w:t>
      </w:r>
      <w:r>
        <w:rPr>
          <w:rFonts w:hint="eastAsia" w:ascii="仿宋" w:hAnsi="仿宋" w:eastAsia="仿宋" w:cs="仿宋"/>
          <w:color w:val="auto"/>
          <w:sz w:val="24"/>
          <w:szCs w:val="24"/>
          <w:lang w:val="en-US" w:eastAsia="zh-CN"/>
        </w:rPr>
        <w:t>市投资促进局</w:t>
      </w:r>
      <w:r>
        <w:rPr>
          <w:rFonts w:hint="eastAsia" w:ascii="仿宋" w:hAnsi="仿宋" w:eastAsia="仿宋" w:cs="仿宋"/>
          <w:color w:val="auto"/>
          <w:sz w:val="24"/>
          <w:szCs w:val="24"/>
        </w:rPr>
        <w:t>管理部门提供管理依据。</w:t>
      </w:r>
    </w:p>
    <w:p>
      <w:pPr>
        <w:spacing w:line="360" w:lineRule="auto"/>
        <w:ind w:firstLine="480" w:firstLineChars="200"/>
        <w:rPr>
          <w:rFonts w:hint="eastAsia" w:ascii="仿宋" w:hAnsi="仿宋" w:eastAsia="仿宋" w:cs="仿宋"/>
          <w:strike w:val="0"/>
          <w:dstrike w:val="0"/>
          <w:color w:val="auto"/>
          <w:sz w:val="24"/>
          <w:szCs w:val="24"/>
          <w:highlight w:val="none"/>
        </w:rPr>
      </w:pPr>
      <w:r>
        <w:rPr>
          <w:rFonts w:hint="eastAsia" w:ascii="仿宋" w:hAnsi="仿宋" w:eastAsia="仿宋" w:cs="仿宋"/>
          <w:strike w:val="0"/>
          <w:dstrike w:val="0"/>
          <w:color w:val="auto"/>
          <w:sz w:val="24"/>
          <w:szCs w:val="24"/>
          <w:highlight w:val="none"/>
        </w:rPr>
        <w:t>3.6.</w:t>
      </w:r>
      <w:r>
        <w:rPr>
          <w:rFonts w:hint="eastAsia" w:ascii="仿宋" w:hAnsi="仿宋" w:eastAsia="仿宋" w:cs="仿宋"/>
          <w:strike w:val="0"/>
          <w:dstrike w:val="0"/>
          <w:color w:val="auto"/>
          <w:sz w:val="24"/>
          <w:szCs w:val="24"/>
          <w:highlight w:val="none"/>
          <w:lang w:val="en-US" w:eastAsia="zh-CN"/>
        </w:rPr>
        <w:t>3</w:t>
      </w:r>
      <w:r>
        <w:rPr>
          <w:rFonts w:hint="eastAsia" w:ascii="仿宋" w:hAnsi="仿宋" w:eastAsia="仿宋" w:cs="仿宋"/>
          <w:strike w:val="0"/>
          <w:dstrike w:val="0"/>
          <w:color w:val="auto"/>
          <w:sz w:val="24"/>
          <w:szCs w:val="24"/>
          <w:highlight w:val="none"/>
        </w:rPr>
        <w:t>核心服务器及网络类管理要求</w:t>
      </w:r>
    </w:p>
    <w:p>
      <w:pPr>
        <w:spacing w:line="360" w:lineRule="auto"/>
        <w:ind w:firstLine="640"/>
        <w:rPr>
          <w:rFonts w:hint="eastAsia" w:ascii="仿宋" w:hAnsi="仿宋" w:eastAsia="仿宋" w:cs="仿宋"/>
          <w:strike w:val="0"/>
          <w:dstrike w:val="0"/>
          <w:color w:val="auto"/>
          <w:sz w:val="24"/>
          <w:szCs w:val="24"/>
          <w:highlight w:val="none"/>
        </w:rPr>
      </w:pPr>
      <w:r>
        <w:rPr>
          <w:rFonts w:hint="eastAsia" w:ascii="仿宋" w:hAnsi="仿宋" w:eastAsia="仿宋" w:cs="仿宋"/>
          <w:strike w:val="0"/>
          <w:dstrike w:val="0"/>
          <w:color w:val="auto"/>
          <w:sz w:val="24"/>
          <w:szCs w:val="24"/>
          <w:highlight w:val="none"/>
        </w:rPr>
        <w:t>系统安装调试：按</w:t>
      </w:r>
      <w:r>
        <w:rPr>
          <w:rFonts w:hint="eastAsia" w:ascii="仿宋" w:hAnsi="仿宋" w:eastAsia="仿宋" w:cs="仿宋"/>
          <w:strike w:val="0"/>
          <w:dstrike w:val="0"/>
          <w:color w:val="auto"/>
          <w:sz w:val="24"/>
          <w:szCs w:val="24"/>
          <w:highlight w:val="none"/>
          <w:lang w:val="en-US" w:eastAsia="zh-CN"/>
        </w:rPr>
        <w:t>市投资促进局</w:t>
      </w:r>
      <w:r>
        <w:rPr>
          <w:rFonts w:hint="eastAsia" w:ascii="仿宋" w:hAnsi="仿宋" w:eastAsia="仿宋" w:cs="仿宋"/>
          <w:strike w:val="0"/>
          <w:dstrike w:val="0"/>
          <w:color w:val="auto"/>
          <w:sz w:val="24"/>
          <w:szCs w:val="24"/>
          <w:highlight w:val="none"/>
        </w:rPr>
        <w:t>要求进行服务器系统的安装调试、软件升级，包括服务器操作系统、数据库、防病毒软件等系统、补丁升级工作。</w:t>
      </w:r>
    </w:p>
    <w:p>
      <w:pPr>
        <w:spacing w:line="360" w:lineRule="auto"/>
        <w:ind w:firstLine="640"/>
        <w:rPr>
          <w:rFonts w:hint="eastAsia" w:ascii="仿宋" w:hAnsi="仿宋" w:eastAsia="仿宋" w:cs="仿宋"/>
          <w:strike w:val="0"/>
          <w:dstrike w:val="0"/>
          <w:color w:val="auto"/>
          <w:sz w:val="24"/>
          <w:szCs w:val="24"/>
          <w:highlight w:val="none"/>
        </w:rPr>
      </w:pPr>
      <w:r>
        <w:rPr>
          <w:rFonts w:hint="eastAsia" w:ascii="仿宋" w:hAnsi="仿宋" w:eastAsia="仿宋" w:cs="仿宋"/>
          <w:strike w:val="0"/>
          <w:dstrike w:val="0"/>
          <w:color w:val="auto"/>
          <w:sz w:val="24"/>
          <w:szCs w:val="24"/>
          <w:highlight w:val="none"/>
        </w:rPr>
        <w:t>数据备份：制订备份策略，定期对服务器上的数据进行备份，以便发生故障时恢复计算机正常工作。利用</w:t>
      </w:r>
      <w:r>
        <w:rPr>
          <w:rFonts w:hint="eastAsia" w:ascii="仿宋" w:hAnsi="仿宋" w:eastAsia="仿宋" w:cs="仿宋"/>
          <w:strike w:val="0"/>
          <w:dstrike w:val="0"/>
          <w:color w:val="auto"/>
          <w:sz w:val="24"/>
          <w:szCs w:val="24"/>
          <w:highlight w:val="none"/>
          <w:lang w:val="en-US" w:eastAsia="zh-CN"/>
        </w:rPr>
        <w:t>武汉市投资促进局</w:t>
      </w:r>
      <w:r>
        <w:rPr>
          <w:rFonts w:hint="eastAsia" w:ascii="仿宋" w:hAnsi="仿宋" w:eastAsia="仿宋" w:cs="仿宋"/>
          <w:strike w:val="0"/>
          <w:dstrike w:val="0"/>
          <w:color w:val="auto"/>
          <w:sz w:val="24"/>
          <w:szCs w:val="24"/>
          <w:highlight w:val="none"/>
        </w:rPr>
        <w:t>现有资源，对原有数据备份方案进行评估和更新，优化备份方案给</w:t>
      </w:r>
      <w:r>
        <w:rPr>
          <w:rFonts w:hint="eastAsia" w:ascii="仿宋" w:hAnsi="仿宋" w:eastAsia="仿宋" w:cs="仿宋"/>
          <w:strike w:val="0"/>
          <w:dstrike w:val="0"/>
          <w:color w:val="auto"/>
          <w:sz w:val="24"/>
          <w:szCs w:val="24"/>
          <w:highlight w:val="none"/>
          <w:lang w:val="en-US" w:eastAsia="zh-CN"/>
        </w:rPr>
        <w:t>武汉市投资促进局</w:t>
      </w:r>
      <w:r>
        <w:rPr>
          <w:rFonts w:hint="eastAsia" w:ascii="仿宋" w:hAnsi="仿宋" w:eastAsia="仿宋" w:cs="仿宋"/>
          <w:strike w:val="0"/>
          <w:dstrike w:val="0"/>
          <w:color w:val="auto"/>
          <w:sz w:val="24"/>
          <w:szCs w:val="24"/>
          <w:highlight w:val="none"/>
        </w:rPr>
        <w:t>，获通过后进行实施。</w:t>
      </w:r>
    </w:p>
    <w:p>
      <w:pPr>
        <w:spacing w:line="360" w:lineRule="auto"/>
        <w:ind w:firstLine="640"/>
        <w:rPr>
          <w:rFonts w:hint="eastAsia" w:ascii="仿宋" w:hAnsi="仿宋" w:eastAsia="仿宋" w:cs="仿宋"/>
          <w:strike w:val="0"/>
          <w:dstrike w:val="0"/>
          <w:color w:val="auto"/>
          <w:sz w:val="24"/>
          <w:szCs w:val="24"/>
          <w:highlight w:val="none"/>
        </w:rPr>
      </w:pPr>
      <w:r>
        <w:rPr>
          <w:rFonts w:hint="eastAsia" w:ascii="仿宋" w:hAnsi="仿宋" w:eastAsia="仿宋" w:cs="仿宋"/>
          <w:strike w:val="0"/>
          <w:dstrike w:val="0"/>
          <w:color w:val="auto"/>
          <w:sz w:val="24"/>
          <w:szCs w:val="24"/>
          <w:highlight w:val="none"/>
        </w:rPr>
        <w:t>数据整理：每月定期整理服务器上的文件数据，清除无用的数据，修复错误的数据，维护系统的稳定性。</w:t>
      </w:r>
    </w:p>
    <w:p>
      <w:pPr>
        <w:spacing w:line="360" w:lineRule="auto"/>
        <w:ind w:firstLine="640"/>
        <w:rPr>
          <w:rFonts w:hint="eastAsia" w:ascii="仿宋" w:hAnsi="仿宋" w:eastAsia="仿宋" w:cs="仿宋"/>
          <w:strike w:val="0"/>
          <w:dstrike w:val="0"/>
          <w:color w:val="auto"/>
          <w:sz w:val="24"/>
          <w:szCs w:val="24"/>
          <w:highlight w:val="none"/>
        </w:rPr>
      </w:pPr>
      <w:r>
        <w:rPr>
          <w:rFonts w:hint="eastAsia" w:ascii="仿宋" w:hAnsi="仿宋" w:eastAsia="仿宋" w:cs="仿宋"/>
          <w:strike w:val="0"/>
          <w:dstrike w:val="0"/>
          <w:color w:val="auto"/>
          <w:sz w:val="24"/>
          <w:szCs w:val="24"/>
          <w:highlight w:val="none"/>
        </w:rPr>
        <w:t>服务器的安全规划：防止黑客的攻击（如安装防火墙、关闭除正常工作外的所有端口；安装流量监控软件，实时监控各服务器的流量。）</w:t>
      </w:r>
    </w:p>
    <w:p>
      <w:pPr>
        <w:spacing w:line="360" w:lineRule="auto"/>
        <w:ind w:firstLine="64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防病毒：对</w:t>
      </w:r>
      <w:r>
        <w:rPr>
          <w:rFonts w:hint="eastAsia" w:ascii="仿宋" w:hAnsi="仿宋" w:eastAsia="仿宋" w:cs="仿宋"/>
          <w:color w:val="auto"/>
          <w:sz w:val="24"/>
          <w:szCs w:val="24"/>
          <w:lang w:val="en-US" w:eastAsia="zh-CN"/>
        </w:rPr>
        <w:t>武汉市投资促进局</w:t>
      </w:r>
      <w:r>
        <w:rPr>
          <w:rFonts w:hint="eastAsia" w:ascii="仿宋" w:hAnsi="仿宋" w:eastAsia="仿宋" w:cs="仿宋"/>
          <w:color w:val="auto"/>
          <w:sz w:val="24"/>
          <w:szCs w:val="24"/>
        </w:rPr>
        <w:t>提供的防毒软件进行安装，定期扫描检测病毒，及时更新升级系统补丁等</w:t>
      </w:r>
      <w:r>
        <w:rPr>
          <w:rFonts w:hint="eastAsia" w:ascii="仿宋" w:hAnsi="仿宋" w:eastAsia="仿宋" w:cs="仿宋"/>
          <w:color w:val="auto"/>
          <w:sz w:val="24"/>
          <w:szCs w:val="24"/>
          <w:lang w:eastAsia="zh-CN"/>
        </w:rPr>
        <w:t>。</w:t>
      </w:r>
    </w:p>
    <w:p>
      <w:pPr>
        <w:spacing w:line="360" w:lineRule="auto"/>
        <w:ind w:firstLine="640"/>
        <w:rPr>
          <w:rFonts w:hint="eastAsia" w:ascii="仿宋" w:hAnsi="仿宋" w:eastAsia="仿宋" w:cs="仿宋"/>
          <w:color w:val="auto"/>
          <w:sz w:val="24"/>
          <w:szCs w:val="24"/>
        </w:rPr>
      </w:pPr>
      <w:r>
        <w:rPr>
          <w:rFonts w:hint="eastAsia" w:ascii="仿宋" w:hAnsi="仿宋" w:eastAsia="仿宋" w:cs="仿宋"/>
          <w:color w:val="auto"/>
          <w:sz w:val="24"/>
          <w:szCs w:val="24"/>
        </w:rPr>
        <w:t>其他安全管理：不得在服务器中安装与提供服务无关的软件；维护人员不得在服务器上安装远程控制程序，若确实有必要须以口头或书面形式征得</w:t>
      </w:r>
      <w:r>
        <w:rPr>
          <w:rFonts w:hint="eastAsia" w:ascii="仿宋" w:hAnsi="仿宋" w:eastAsia="仿宋" w:cs="仿宋"/>
          <w:color w:val="auto"/>
          <w:sz w:val="24"/>
          <w:szCs w:val="24"/>
          <w:lang w:val="en-US" w:eastAsia="zh-CN"/>
        </w:rPr>
        <w:t>市投资促进</w:t>
      </w:r>
      <w:r>
        <w:rPr>
          <w:rFonts w:hint="eastAsia" w:ascii="仿宋" w:hAnsi="仿宋" w:eastAsia="仿宋" w:cs="仿宋"/>
          <w:color w:val="auto"/>
          <w:sz w:val="24"/>
          <w:szCs w:val="24"/>
        </w:rPr>
        <w:t>局同意；维护人员在调试、解决服务器故障时，须安装第三方软件时，必须以口头或书面形式告知</w:t>
      </w:r>
      <w:r>
        <w:rPr>
          <w:rFonts w:hint="eastAsia" w:ascii="仿宋" w:hAnsi="仿宋" w:eastAsia="仿宋" w:cs="仿宋"/>
          <w:color w:val="auto"/>
          <w:sz w:val="24"/>
          <w:szCs w:val="24"/>
          <w:lang w:val="en-US" w:eastAsia="zh-CN"/>
        </w:rPr>
        <w:t>武汉市投资促进局</w:t>
      </w:r>
      <w:r>
        <w:rPr>
          <w:rFonts w:hint="eastAsia" w:ascii="仿宋" w:hAnsi="仿宋" w:eastAsia="仿宋" w:cs="仿宋"/>
          <w:color w:val="auto"/>
          <w:sz w:val="24"/>
          <w:szCs w:val="24"/>
        </w:rPr>
        <w:t>；服务器调试完毕，需关闭所有调试软件，删除不必要的文档，将有用的资料存放于</w:t>
      </w:r>
      <w:r>
        <w:rPr>
          <w:rFonts w:hint="eastAsia" w:ascii="仿宋" w:hAnsi="仿宋" w:eastAsia="仿宋" w:cs="仿宋"/>
          <w:color w:val="auto"/>
          <w:sz w:val="24"/>
          <w:szCs w:val="24"/>
          <w:lang w:val="en-US" w:eastAsia="zh-CN"/>
        </w:rPr>
        <w:t>武汉市投资促进局</w:t>
      </w:r>
      <w:r>
        <w:rPr>
          <w:rFonts w:hint="eastAsia" w:ascii="仿宋" w:hAnsi="仿宋" w:eastAsia="仿宋" w:cs="仿宋"/>
          <w:color w:val="auto"/>
          <w:sz w:val="24"/>
          <w:szCs w:val="24"/>
        </w:rPr>
        <w:t>指定目录下，将其设定为锁定模式，方可离开。</w:t>
      </w:r>
    </w:p>
    <w:p>
      <w:pPr>
        <w:spacing w:line="360" w:lineRule="auto"/>
        <w:ind w:firstLine="640"/>
        <w:rPr>
          <w:rFonts w:hint="eastAsia" w:ascii="仿宋" w:hAnsi="仿宋" w:eastAsia="仿宋" w:cs="仿宋"/>
          <w:strike w:val="0"/>
          <w:dstrike w:val="0"/>
          <w:color w:val="auto"/>
          <w:sz w:val="24"/>
          <w:szCs w:val="24"/>
          <w:highlight w:val="none"/>
        </w:rPr>
      </w:pPr>
      <w:r>
        <w:rPr>
          <w:rFonts w:hint="eastAsia" w:ascii="仿宋" w:hAnsi="仿宋" w:eastAsia="仿宋" w:cs="仿宋"/>
          <w:strike w:val="0"/>
          <w:dstrike w:val="0"/>
          <w:color w:val="auto"/>
          <w:sz w:val="24"/>
          <w:szCs w:val="24"/>
          <w:highlight w:val="none"/>
        </w:rPr>
        <w:t xml:space="preserve">服务器的运行监控：对服务器运行的稳定性和性能进行实时监控，包括CPU的使用率、内存消耗情况、网络流量情况、端口监听等，保证服务器的正常运转。 </w:t>
      </w:r>
    </w:p>
    <w:p>
      <w:pPr>
        <w:spacing w:line="360" w:lineRule="auto"/>
        <w:ind w:firstLine="640"/>
        <w:rPr>
          <w:rFonts w:hint="eastAsia" w:ascii="仿宋" w:hAnsi="仿宋" w:eastAsia="仿宋" w:cs="仿宋"/>
          <w:color w:val="auto"/>
          <w:sz w:val="24"/>
          <w:szCs w:val="24"/>
        </w:rPr>
      </w:pPr>
      <w:r>
        <w:rPr>
          <w:rFonts w:hint="eastAsia" w:ascii="仿宋" w:hAnsi="仿宋" w:eastAsia="仿宋" w:cs="仿宋"/>
          <w:color w:val="auto"/>
          <w:sz w:val="24"/>
          <w:szCs w:val="24"/>
        </w:rPr>
        <w:t>做好备机备件的管理管控工作，保障设备在4小时内恢复生产。</w:t>
      </w:r>
    </w:p>
    <w:p>
      <w:pPr>
        <w:spacing w:line="360" w:lineRule="auto"/>
        <w:ind w:firstLine="640"/>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配线间</w:t>
      </w:r>
      <w:r>
        <w:rPr>
          <w:rFonts w:hint="eastAsia" w:ascii="仿宋" w:hAnsi="仿宋" w:eastAsia="仿宋" w:cs="仿宋"/>
          <w:color w:val="auto"/>
          <w:sz w:val="24"/>
          <w:szCs w:val="24"/>
        </w:rPr>
        <w:t>的日常维护管理：每</w:t>
      </w:r>
      <w:r>
        <w:rPr>
          <w:rFonts w:hint="eastAsia" w:ascii="仿宋" w:hAnsi="仿宋" w:eastAsia="仿宋" w:cs="仿宋"/>
          <w:color w:val="auto"/>
          <w:sz w:val="24"/>
          <w:szCs w:val="24"/>
          <w:lang w:val="en-US" w:eastAsia="zh-CN"/>
        </w:rPr>
        <w:t>月</w:t>
      </w:r>
      <w:r>
        <w:rPr>
          <w:rFonts w:hint="eastAsia" w:ascii="仿宋" w:hAnsi="仿宋" w:eastAsia="仿宋" w:cs="仿宋"/>
          <w:color w:val="auto"/>
          <w:sz w:val="24"/>
          <w:szCs w:val="24"/>
        </w:rPr>
        <w:t>清洁</w:t>
      </w:r>
      <w:r>
        <w:rPr>
          <w:rFonts w:hint="eastAsia" w:ascii="仿宋" w:hAnsi="仿宋" w:eastAsia="仿宋" w:cs="仿宋"/>
          <w:color w:val="auto"/>
          <w:sz w:val="24"/>
          <w:szCs w:val="24"/>
          <w:lang w:val="en-US" w:eastAsia="zh-CN"/>
        </w:rPr>
        <w:t>配线间</w:t>
      </w:r>
      <w:r>
        <w:rPr>
          <w:rFonts w:hint="eastAsia" w:ascii="仿宋" w:hAnsi="仿宋" w:eastAsia="仿宋" w:cs="仿宋"/>
          <w:color w:val="auto"/>
          <w:sz w:val="24"/>
          <w:szCs w:val="24"/>
        </w:rPr>
        <w:t>，每月对</w:t>
      </w:r>
      <w:r>
        <w:rPr>
          <w:rFonts w:hint="eastAsia" w:ascii="仿宋" w:hAnsi="仿宋" w:eastAsia="仿宋" w:cs="仿宋"/>
          <w:color w:val="auto"/>
          <w:sz w:val="24"/>
          <w:szCs w:val="24"/>
          <w:lang w:val="en-US" w:eastAsia="zh-CN"/>
        </w:rPr>
        <w:t>配线间</w:t>
      </w:r>
      <w:r>
        <w:rPr>
          <w:rFonts w:hint="eastAsia" w:ascii="仿宋" w:hAnsi="仿宋" w:eastAsia="仿宋" w:cs="仿宋"/>
          <w:color w:val="auto"/>
          <w:sz w:val="24"/>
          <w:szCs w:val="24"/>
        </w:rPr>
        <w:t>内的设备进行打扫、除尘。</w:t>
      </w:r>
      <w:r>
        <w:rPr>
          <w:rFonts w:hint="eastAsia" w:ascii="仿宋" w:hAnsi="仿宋" w:eastAsia="仿宋" w:cs="仿宋"/>
          <w:color w:val="auto"/>
          <w:sz w:val="24"/>
          <w:szCs w:val="24"/>
          <w:lang w:val="en-US" w:eastAsia="zh-CN"/>
        </w:rPr>
        <w:t>监测配线间</w:t>
      </w:r>
      <w:r>
        <w:rPr>
          <w:rFonts w:hint="eastAsia" w:ascii="仿宋" w:hAnsi="仿宋" w:eastAsia="仿宋" w:cs="仿宋"/>
          <w:color w:val="auto"/>
          <w:sz w:val="24"/>
          <w:szCs w:val="24"/>
        </w:rPr>
        <w:t>的各种环境运行参数，制定每日</w:t>
      </w:r>
      <w:r>
        <w:rPr>
          <w:rFonts w:hint="eastAsia" w:ascii="仿宋" w:hAnsi="仿宋" w:eastAsia="仿宋" w:cs="仿宋"/>
          <w:color w:val="auto"/>
          <w:sz w:val="24"/>
          <w:szCs w:val="24"/>
          <w:lang w:val="en-US" w:eastAsia="zh-CN"/>
        </w:rPr>
        <w:t>配线间</w:t>
      </w:r>
      <w:r>
        <w:rPr>
          <w:rFonts w:hint="eastAsia" w:ascii="仿宋" w:hAnsi="仿宋" w:eastAsia="仿宋" w:cs="仿宋"/>
          <w:color w:val="auto"/>
          <w:sz w:val="24"/>
          <w:szCs w:val="24"/>
        </w:rPr>
        <w:t>巡查制度和相关巡查表格，确保</w:t>
      </w:r>
      <w:r>
        <w:rPr>
          <w:rFonts w:hint="eastAsia" w:ascii="仿宋" w:hAnsi="仿宋" w:eastAsia="仿宋" w:cs="仿宋"/>
          <w:color w:val="auto"/>
          <w:sz w:val="24"/>
          <w:szCs w:val="24"/>
          <w:lang w:val="en-US" w:eastAsia="zh-CN"/>
        </w:rPr>
        <w:t>配线间</w:t>
      </w:r>
      <w:r>
        <w:rPr>
          <w:rFonts w:hint="eastAsia" w:ascii="仿宋" w:hAnsi="仿宋" w:eastAsia="仿宋" w:cs="仿宋"/>
          <w:color w:val="auto"/>
          <w:sz w:val="24"/>
          <w:szCs w:val="24"/>
        </w:rPr>
        <w:t>的温度、湿度、电源等各项参数运行正常，出现问题时，能主动联系相关厂商，并配合设备厂商进行故障处理。</w:t>
      </w:r>
    </w:p>
    <w:p>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3.6.</w:t>
      </w:r>
      <w:r>
        <w:rPr>
          <w:rFonts w:hint="eastAsia" w:ascii="仿宋" w:hAnsi="仿宋" w:eastAsia="仿宋" w:cs="仿宋"/>
          <w:color w:val="auto"/>
          <w:sz w:val="24"/>
          <w:szCs w:val="24"/>
          <w:lang w:val="en-US" w:eastAsia="zh-CN"/>
        </w:rPr>
        <w:t>4</w:t>
      </w:r>
      <w:r>
        <w:rPr>
          <w:rFonts w:hint="eastAsia" w:ascii="仿宋" w:hAnsi="仿宋" w:eastAsia="仿宋" w:cs="仿宋"/>
          <w:color w:val="auto"/>
          <w:sz w:val="24"/>
          <w:szCs w:val="24"/>
        </w:rPr>
        <w:t>网络技术维护管理要求</w:t>
      </w:r>
    </w:p>
    <w:p>
      <w:pPr>
        <w:spacing w:line="360" w:lineRule="auto"/>
        <w:ind w:firstLine="640"/>
        <w:rPr>
          <w:rFonts w:hint="eastAsia" w:ascii="仿宋" w:hAnsi="仿宋" w:eastAsia="仿宋" w:cs="仿宋"/>
          <w:color w:val="auto"/>
          <w:sz w:val="24"/>
          <w:szCs w:val="24"/>
        </w:rPr>
      </w:pPr>
      <w:r>
        <w:rPr>
          <w:rFonts w:hint="eastAsia" w:ascii="仿宋" w:hAnsi="仿宋" w:eastAsia="仿宋" w:cs="仿宋"/>
          <w:color w:val="auto"/>
          <w:sz w:val="24"/>
          <w:szCs w:val="24"/>
        </w:rPr>
        <w:t>负责</w:t>
      </w:r>
      <w:r>
        <w:rPr>
          <w:rFonts w:hint="eastAsia" w:ascii="仿宋" w:hAnsi="仿宋" w:eastAsia="仿宋" w:cs="仿宋"/>
          <w:color w:val="auto"/>
          <w:sz w:val="24"/>
          <w:szCs w:val="24"/>
          <w:lang w:val="en-US" w:eastAsia="zh-CN"/>
        </w:rPr>
        <w:t>武汉市投资促进局</w:t>
      </w:r>
      <w:r>
        <w:rPr>
          <w:rFonts w:hint="eastAsia" w:ascii="仿宋" w:hAnsi="仿宋" w:eastAsia="仿宋" w:cs="仿宋"/>
          <w:color w:val="auto"/>
          <w:sz w:val="24"/>
          <w:szCs w:val="24"/>
        </w:rPr>
        <w:t>大楼内各终端的网络开通、管理和维护；</w:t>
      </w:r>
    </w:p>
    <w:p>
      <w:pPr>
        <w:spacing w:line="360" w:lineRule="auto"/>
        <w:ind w:firstLine="640"/>
        <w:rPr>
          <w:rFonts w:hint="eastAsia" w:ascii="仿宋" w:hAnsi="仿宋" w:eastAsia="仿宋" w:cs="仿宋"/>
          <w:color w:val="auto"/>
          <w:sz w:val="24"/>
          <w:szCs w:val="24"/>
        </w:rPr>
      </w:pPr>
      <w:r>
        <w:rPr>
          <w:rFonts w:hint="eastAsia" w:ascii="仿宋" w:hAnsi="仿宋" w:eastAsia="仿宋" w:cs="仿宋"/>
          <w:color w:val="auto"/>
          <w:sz w:val="24"/>
          <w:szCs w:val="24"/>
        </w:rPr>
        <w:t>根据IP地址规划及现行设备使用状况制作IP地址分配登记表、设备端口应用对象表，并根据相关变化及时更新。</w:t>
      </w:r>
    </w:p>
    <w:p>
      <w:pPr>
        <w:spacing w:line="360" w:lineRule="auto"/>
        <w:ind w:firstLine="640"/>
        <w:rPr>
          <w:rFonts w:hint="eastAsia" w:ascii="仿宋" w:hAnsi="仿宋" w:eastAsia="仿宋" w:cs="仿宋"/>
          <w:strike w:val="0"/>
          <w:dstrike w:val="0"/>
          <w:color w:val="auto"/>
          <w:sz w:val="24"/>
          <w:szCs w:val="24"/>
          <w:highlight w:val="none"/>
        </w:rPr>
      </w:pPr>
      <w:r>
        <w:rPr>
          <w:rFonts w:hint="eastAsia" w:ascii="仿宋" w:hAnsi="仿宋" w:eastAsia="仿宋" w:cs="仿宋"/>
          <w:strike w:val="0"/>
          <w:dstrike w:val="0"/>
          <w:color w:val="auto"/>
          <w:sz w:val="24"/>
          <w:szCs w:val="24"/>
          <w:highlight w:val="none"/>
        </w:rPr>
        <w:t>要制定网络故障事件应对预案和故障响应及排除时间表，根据各种可能发生的情况，制定快速、可行、有效、安全的应对措施。</w:t>
      </w:r>
    </w:p>
    <w:p>
      <w:pPr>
        <w:spacing w:line="360" w:lineRule="auto"/>
        <w:ind w:firstLine="640"/>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武汉市投资促进局</w:t>
      </w:r>
      <w:r>
        <w:rPr>
          <w:rFonts w:hint="eastAsia" w:ascii="仿宋" w:hAnsi="仿宋" w:eastAsia="仿宋" w:cs="仿宋"/>
          <w:color w:val="auto"/>
          <w:sz w:val="24"/>
          <w:szCs w:val="24"/>
        </w:rPr>
        <w:t>大楼内网络设备要求能根据需求随时进行配置更改及设备调试，并制定网络设备资产管理表。定期对网络设备进行除尘、线路整理等日常维护保养，监</w:t>
      </w:r>
      <w:r>
        <w:rPr>
          <w:rFonts w:hint="eastAsia" w:ascii="仿宋" w:hAnsi="仿宋" w:eastAsia="仿宋" w:cs="仿宋"/>
          <w:color w:val="auto"/>
          <w:sz w:val="24"/>
          <w:szCs w:val="24"/>
          <w:lang w:val="en-US" w:eastAsia="zh-CN"/>
        </w:rPr>
        <w:t>测</w:t>
      </w:r>
      <w:r>
        <w:rPr>
          <w:rFonts w:hint="eastAsia" w:ascii="仿宋" w:hAnsi="仿宋" w:eastAsia="仿宋" w:cs="仿宋"/>
          <w:color w:val="auto"/>
          <w:sz w:val="24"/>
          <w:szCs w:val="24"/>
        </w:rPr>
        <w:t>网络设备的运行，对损坏的网络设备进行更换。</w:t>
      </w:r>
    </w:p>
    <w:p>
      <w:pPr>
        <w:spacing w:line="360" w:lineRule="auto"/>
        <w:ind w:firstLine="640"/>
        <w:rPr>
          <w:rFonts w:hint="eastAsia" w:ascii="仿宋" w:hAnsi="仿宋" w:eastAsia="仿宋" w:cs="仿宋"/>
          <w:color w:val="auto"/>
          <w:sz w:val="24"/>
          <w:szCs w:val="24"/>
        </w:rPr>
      </w:pPr>
      <w:r>
        <w:rPr>
          <w:rFonts w:hint="eastAsia" w:ascii="仿宋" w:hAnsi="仿宋" w:eastAsia="仿宋" w:cs="仿宋"/>
          <w:color w:val="auto"/>
          <w:sz w:val="24"/>
          <w:szCs w:val="24"/>
        </w:rPr>
        <w:t>出现线路故障及时向</w:t>
      </w:r>
      <w:r>
        <w:rPr>
          <w:rFonts w:hint="eastAsia" w:ascii="仿宋" w:hAnsi="仿宋" w:eastAsia="仿宋" w:cs="仿宋"/>
          <w:color w:val="auto"/>
          <w:sz w:val="24"/>
          <w:szCs w:val="24"/>
          <w:lang w:val="en-US" w:eastAsia="zh-CN"/>
        </w:rPr>
        <w:t>武汉市投资促进局</w:t>
      </w:r>
      <w:r>
        <w:rPr>
          <w:rFonts w:hint="eastAsia" w:ascii="仿宋" w:hAnsi="仿宋" w:eastAsia="仿宋" w:cs="仿宋"/>
          <w:color w:val="auto"/>
          <w:sz w:val="24"/>
          <w:szCs w:val="24"/>
        </w:rPr>
        <w:t>报告，并主动通知相关外部网络运营商和内部网络承建商及时排除故障。</w:t>
      </w:r>
    </w:p>
    <w:p>
      <w:pPr>
        <w:spacing w:line="360" w:lineRule="auto"/>
        <w:ind w:firstLine="640"/>
        <w:rPr>
          <w:rFonts w:hint="eastAsia" w:ascii="仿宋" w:hAnsi="仿宋" w:eastAsia="仿宋" w:cs="仿宋"/>
          <w:color w:val="auto"/>
          <w:sz w:val="24"/>
          <w:szCs w:val="24"/>
        </w:rPr>
      </w:pPr>
      <w:r>
        <w:rPr>
          <w:rFonts w:hint="eastAsia" w:ascii="仿宋" w:hAnsi="仿宋" w:eastAsia="仿宋" w:cs="仿宋"/>
          <w:color w:val="auto"/>
          <w:sz w:val="24"/>
          <w:szCs w:val="24"/>
        </w:rPr>
        <w:t>网络维护人员对网络设备进行的任何配置修改或网络拓扑变动，都必须以书面方式事先报</w:t>
      </w:r>
      <w:r>
        <w:rPr>
          <w:rFonts w:hint="eastAsia" w:ascii="仿宋" w:hAnsi="仿宋" w:eastAsia="仿宋" w:cs="仿宋"/>
          <w:color w:val="auto"/>
          <w:sz w:val="24"/>
          <w:szCs w:val="24"/>
          <w:lang w:val="en-US" w:eastAsia="zh-CN"/>
        </w:rPr>
        <w:t>市投资促进局</w:t>
      </w:r>
      <w:r>
        <w:rPr>
          <w:rFonts w:hint="eastAsia" w:ascii="仿宋" w:hAnsi="仿宋" w:eastAsia="仿宋" w:cs="仿宋"/>
          <w:color w:val="auto"/>
          <w:sz w:val="24"/>
          <w:szCs w:val="24"/>
        </w:rPr>
        <w:t>相关负责人同意后，在做好备份的情况下方可实施。</w:t>
      </w:r>
    </w:p>
    <w:p>
      <w:pPr>
        <w:spacing w:line="360" w:lineRule="auto"/>
        <w:ind w:firstLine="640"/>
        <w:rPr>
          <w:rFonts w:hint="eastAsia" w:ascii="仿宋" w:hAnsi="仿宋" w:eastAsia="仿宋" w:cs="仿宋"/>
          <w:color w:val="auto"/>
          <w:sz w:val="24"/>
          <w:szCs w:val="24"/>
        </w:rPr>
      </w:pPr>
      <w:r>
        <w:rPr>
          <w:rFonts w:hint="eastAsia" w:ascii="仿宋" w:hAnsi="仿宋" w:eastAsia="仿宋" w:cs="仿宋"/>
          <w:color w:val="auto"/>
          <w:sz w:val="24"/>
          <w:szCs w:val="24"/>
        </w:rPr>
        <w:t>完成</w:t>
      </w:r>
      <w:r>
        <w:rPr>
          <w:rFonts w:hint="eastAsia" w:ascii="仿宋" w:hAnsi="仿宋" w:eastAsia="仿宋" w:cs="仿宋"/>
          <w:color w:val="auto"/>
          <w:sz w:val="24"/>
          <w:szCs w:val="24"/>
          <w:lang w:val="en-US" w:eastAsia="zh-CN"/>
        </w:rPr>
        <w:t>武汉市投资促进局</w:t>
      </w:r>
      <w:r>
        <w:rPr>
          <w:rFonts w:hint="eastAsia" w:ascii="仿宋" w:hAnsi="仿宋" w:eastAsia="仿宋" w:cs="仿宋"/>
          <w:color w:val="auto"/>
          <w:sz w:val="24"/>
          <w:szCs w:val="24"/>
        </w:rPr>
        <w:t>交办的其他工作。</w:t>
      </w:r>
    </w:p>
    <w:p>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3.6.5软件类管理要求</w:t>
      </w:r>
    </w:p>
    <w:p>
      <w:pPr>
        <w:spacing w:line="360" w:lineRule="auto"/>
        <w:ind w:firstLine="640"/>
        <w:rPr>
          <w:rFonts w:hint="eastAsia" w:ascii="仿宋" w:hAnsi="仿宋" w:eastAsia="仿宋" w:cs="仿宋"/>
          <w:color w:val="auto"/>
          <w:sz w:val="24"/>
          <w:szCs w:val="24"/>
        </w:rPr>
      </w:pPr>
      <w:r>
        <w:rPr>
          <w:rFonts w:hint="eastAsia" w:ascii="仿宋" w:hAnsi="仿宋" w:eastAsia="仿宋" w:cs="仿宋"/>
          <w:color w:val="auto"/>
          <w:sz w:val="24"/>
          <w:szCs w:val="24"/>
        </w:rPr>
        <w:t>对办公平台的进行日常安全进行监控和维护，发现问题需及时响应并予以解决。出现系统不能正常运行等重大故障，须在接到报修后壹小时内响应，肆小时内解决，并提供每周壹次的例行巡检（包括硬、软件）。</w:t>
      </w:r>
    </w:p>
    <w:p>
      <w:pPr>
        <w:spacing w:line="360" w:lineRule="auto"/>
        <w:ind w:firstLine="640"/>
        <w:rPr>
          <w:rFonts w:hint="eastAsia" w:ascii="仿宋" w:hAnsi="仿宋" w:eastAsia="仿宋" w:cs="仿宋"/>
          <w:color w:val="auto"/>
          <w:sz w:val="24"/>
          <w:szCs w:val="24"/>
        </w:rPr>
      </w:pPr>
      <w:r>
        <w:rPr>
          <w:rFonts w:hint="eastAsia" w:ascii="仿宋" w:hAnsi="仿宋" w:eastAsia="仿宋" w:cs="仿宋"/>
          <w:color w:val="auto"/>
          <w:sz w:val="24"/>
          <w:szCs w:val="24"/>
        </w:rPr>
        <w:t>维护过程中要求平稳处理，不能对现有系统和应用造成任何影响，提供一个安全、集中、易于管理的运行环境。</w:t>
      </w:r>
    </w:p>
    <w:p>
      <w:pPr>
        <w:spacing w:line="360" w:lineRule="auto"/>
        <w:ind w:firstLine="640"/>
        <w:rPr>
          <w:rFonts w:hint="eastAsia" w:ascii="仿宋" w:hAnsi="仿宋" w:eastAsia="仿宋" w:cs="仿宋"/>
          <w:color w:val="auto"/>
          <w:sz w:val="24"/>
          <w:szCs w:val="24"/>
        </w:rPr>
      </w:pPr>
      <w:r>
        <w:rPr>
          <w:rFonts w:hint="eastAsia" w:ascii="仿宋" w:hAnsi="仿宋" w:eastAsia="仿宋" w:cs="仿宋"/>
          <w:color w:val="auto"/>
          <w:sz w:val="24"/>
          <w:szCs w:val="24"/>
        </w:rPr>
        <w:t>需对办公及人员考核系统相关软件进行安全防范，数据库、操作系统等方面的安全检查工作，具体包括：操作系统、数据库的补丁、密码强度、端口的安全防范。</w:t>
      </w:r>
    </w:p>
    <w:p>
      <w:pPr>
        <w:spacing w:line="360" w:lineRule="auto"/>
        <w:ind w:firstLine="640"/>
        <w:rPr>
          <w:rFonts w:hint="eastAsia" w:ascii="仿宋" w:hAnsi="仿宋" w:eastAsia="仿宋" w:cs="仿宋"/>
          <w:color w:val="auto"/>
          <w:sz w:val="24"/>
          <w:szCs w:val="24"/>
        </w:rPr>
      </w:pPr>
      <w:r>
        <w:rPr>
          <w:rFonts w:hint="eastAsia" w:ascii="仿宋" w:hAnsi="仿宋" w:eastAsia="仿宋" w:cs="仿宋"/>
          <w:color w:val="auto"/>
          <w:sz w:val="24"/>
          <w:szCs w:val="24"/>
        </w:rPr>
        <w:t>服务人员须定期检查自动备份任务执行情况;每周定期对应用程序和数据库文件进行手动异机备份。系统数据库、文件及应用程序须至少保留一份最新版本的备份文件。</w:t>
      </w:r>
    </w:p>
    <w:p>
      <w:pPr>
        <w:spacing w:line="360" w:lineRule="auto"/>
        <w:ind w:firstLine="640"/>
        <w:rPr>
          <w:rFonts w:hint="eastAsia" w:ascii="仿宋" w:hAnsi="仿宋" w:eastAsia="仿宋" w:cs="仿宋"/>
          <w:color w:val="auto"/>
          <w:sz w:val="24"/>
          <w:szCs w:val="24"/>
        </w:rPr>
      </w:pPr>
      <w:r>
        <w:rPr>
          <w:rFonts w:hint="eastAsia" w:ascii="仿宋" w:hAnsi="仿宋" w:eastAsia="仿宋" w:cs="仿宋"/>
          <w:color w:val="auto"/>
          <w:sz w:val="24"/>
          <w:szCs w:val="24"/>
        </w:rPr>
        <w:t>每日的数据库例行检查，每周壹次的例行巡检（包括硬、软件），保证办公平台服务器的安全和正常运转。</w:t>
      </w:r>
    </w:p>
    <w:p>
      <w:pPr>
        <w:spacing w:line="360" w:lineRule="auto"/>
        <w:ind w:firstLine="640"/>
        <w:rPr>
          <w:rFonts w:hint="eastAsia" w:ascii="仿宋" w:hAnsi="仿宋" w:eastAsia="仿宋" w:cs="仿宋"/>
          <w:color w:val="auto"/>
          <w:sz w:val="24"/>
          <w:szCs w:val="24"/>
        </w:rPr>
      </w:pPr>
      <w:r>
        <w:rPr>
          <w:rFonts w:hint="eastAsia" w:ascii="仿宋" w:hAnsi="仿宋" w:eastAsia="仿宋" w:cs="仿宋"/>
          <w:color w:val="auto"/>
          <w:sz w:val="24"/>
          <w:szCs w:val="24"/>
        </w:rPr>
        <w:t>定期进行应用系统的漏洞检测、密码强度方面的加固。</w:t>
      </w:r>
    </w:p>
    <w:p>
      <w:pPr>
        <w:spacing w:line="360" w:lineRule="auto"/>
        <w:ind w:firstLine="484" w:firstLineChars="202"/>
        <w:jc w:val="left"/>
        <w:rPr>
          <w:rFonts w:hint="eastAsia" w:ascii="仿宋" w:hAnsi="仿宋" w:eastAsia="仿宋" w:cs="仿宋"/>
          <w:color w:val="auto"/>
          <w:sz w:val="24"/>
          <w:szCs w:val="24"/>
        </w:rPr>
      </w:pPr>
      <w:r>
        <w:rPr>
          <w:rFonts w:hint="eastAsia" w:ascii="仿宋" w:hAnsi="仿宋" w:eastAsia="仿宋" w:cs="仿宋"/>
          <w:color w:val="auto"/>
          <w:sz w:val="24"/>
          <w:szCs w:val="24"/>
        </w:rPr>
        <w:t>3.6.6 服务级别及响应要求</w:t>
      </w:r>
    </w:p>
    <w:p>
      <w:pPr>
        <w:spacing w:line="360" w:lineRule="auto"/>
        <w:ind w:firstLine="484" w:firstLineChars="202"/>
        <w:jc w:val="lef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根据服务合同涉及的不同资产要求，设定以下服务水平要求，</w:t>
      </w:r>
      <w:r>
        <w:rPr>
          <w:rFonts w:hint="eastAsia" w:ascii="仿宋" w:hAnsi="仿宋" w:eastAsia="仿宋" w:cs="仿宋"/>
          <w:color w:val="auto"/>
          <w:sz w:val="24"/>
          <w:szCs w:val="24"/>
          <w:lang w:val="en-US" w:eastAsia="zh-CN"/>
        </w:rPr>
        <w:t>服务人员</w:t>
      </w:r>
      <w:r>
        <w:rPr>
          <w:rFonts w:hint="eastAsia" w:ascii="仿宋" w:hAnsi="仿宋" w:eastAsia="仿宋" w:cs="仿宋"/>
          <w:color w:val="auto"/>
          <w:sz w:val="24"/>
          <w:szCs w:val="24"/>
        </w:rPr>
        <w:t>应在要求时限内解决故障，恢复用户正常工作</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并提供</w:t>
      </w:r>
      <w:r>
        <w:rPr>
          <w:rFonts w:hint="eastAsia" w:ascii="仿宋" w:hAnsi="仿宋" w:eastAsia="仿宋" w:cs="仿宋"/>
          <w:color w:val="auto"/>
          <w:sz w:val="24"/>
          <w:szCs w:val="24"/>
        </w:rPr>
        <w:t>要求时限内解决故障</w:t>
      </w:r>
      <w:r>
        <w:rPr>
          <w:rFonts w:hint="eastAsia" w:ascii="仿宋" w:hAnsi="仿宋" w:eastAsia="仿宋" w:cs="仿宋"/>
          <w:color w:val="auto"/>
          <w:sz w:val="24"/>
          <w:szCs w:val="24"/>
          <w:lang w:val="en-US" w:eastAsia="zh-CN"/>
        </w:rPr>
        <w:t>服务承诺。</w:t>
      </w:r>
    </w:p>
    <w:tbl>
      <w:tblPr>
        <w:tblStyle w:val="8"/>
        <w:tblW w:w="4998" w:type="pct"/>
        <w:jc w:val="center"/>
        <w:tblBorders>
          <w:top w:val="single" w:color="auto" w:sz="18" w:space="0"/>
          <w:left w:val="single" w:color="auto" w:sz="18" w:space="0"/>
          <w:bottom w:val="single" w:color="auto" w:sz="18" w:space="0"/>
          <w:right w:val="single" w:color="auto" w:sz="18" w:space="0"/>
          <w:insideH w:val="single" w:color="auto" w:sz="2" w:space="0"/>
          <w:insideV w:val="single" w:color="auto" w:sz="2" w:space="0"/>
        </w:tblBorders>
        <w:tblLayout w:type="autofit"/>
        <w:tblCellMar>
          <w:top w:w="0" w:type="dxa"/>
          <w:left w:w="108" w:type="dxa"/>
          <w:bottom w:w="0" w:type="dxa"/>
          <w:right w:w="108" w:type="dxa"/>
        </w:tblCellMar>
      </w:tblPr>
      <w:tblGrid>
        <w:gridCol w:w="908"/>
        <w:gridCol w:w="1352"/>
        <w:gridCol w:w="6259"/>
      </w:tblGrid>
      <w:tr>
        <w:tblPrEx>
          <w:tblBorders>
            <w:top w:val="single" w:color="auto" w:sz="18" w:space="0"/>
            <w:left w:val="single" w:color="auto" w:sz="18" w:space="0"/>
            <w:bottom w:val="single" w:color="auto" w:sz="18" w:space="0"/>
            <w:right w:val="single" w:color="auto" w:sz="18" w:space="0"/>
            <w:insideH w:val="single" w:color="auto" w:sz="2" w:space="0"/>
            <w:insideV w:val="single" w:color="auto" w:sz="2" w:space="0"/>
          </w:tblBorders>
          <w:tblCellMar>
            <w:top w:w="0" w:type="dxa"/>
            <w:left w:w="108" w:type="dxa"/>
            <w:bottom w:w="0" w:type="dxa"/>
            <w:right w:w="108" w:type="dxa"/>
          </w:tblCellMar>
        </w:tblPrEx>
        <w:trPr>
          <w:trHeight w:val="285" w:hRule="atLeast"/>
          <w:tblHeader/>
          <w:jc w:val="center"/>
        </w:trPr>
        <w:tc>
          <w:tcPr>
            <w:tcW w:w="533"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rPr>
              <w:t>编号</w:t>
            </w:r>
          </w:p>
        </w:tc>
        <w:tc>
          <w:tcPr>
            <w:tcW w:w="793"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rPr>
              <w:t>优先级</w:t>
            </w:r>
          </w:p>
        </w:tc>
        <w:tc>
          <w:tcPr>
            <w:tcW w:w="3672"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rPr>
              <w:t>定义</w:t>
            </w:r>
          </w:p>
        </w:tc>
      </w:tr>
      <w:tr>
        <w:tblPrEx>
          <w:tblBorders>
            <w:top w:val="single" w:color="auto" w:sz="18" w:space="0"/>
            <w:left w:val="single" w:color="auto" w:sz="18" w:space="0"/>
            <w:bottom w:val="single" w:color="auto" w:sz="18" w:space="0"/>
            <w:right w:val="single" w:color="auto" w:sz="18" w:space="0"/>
            <w:insideH w:val="single" w:color="auto" w:sz="2" w:space="0"/>
            <w:insideV w:val="single" w:color="auto" w:sz="2" w:space="0"/>
          </w:tblBorders>
          <w:tblCellMar>
            <w:top w:w="0" w:type="dxa"/>
            <w:left w:w="108" w:type="dxa"/>
            <w:bottom w:w="0" w:type="dxa"/>
            <w:right w:w="108" w:type="dxa"/>
          </w:tblCellMar>
        </w:tblPrEx>
        <w:trPr>
          <w:jc w:val="center"/>
        </w:trPr>
        <w:tc>
          <w:tcPr>
            <w:tcW w:w="533" w:type="pct"/>
            <w:tcBorders>
              <w:top w:val="single" w:color="auto" w:sz="4" w:space="0"/>
              <w:left w:val="single" w:color="auto" w:sz="4" w:space="0"/>
              <w:bottom w:val="single" w:color="auto" w:sz="4" w:space="0"/>
              <w:right w:val="single" w:color="auto" w:sz="4" w:space="0"/>
            </w:tcBorders>
            <w:shd w:val="clear" w:color="auto" w:fill="auto"/>
            <w:vAlign w:val="center"/>
          </w:tcPr>
          <w:p>
            <w:pPr>
              <w:spacing w:before="48" w:beforeLines="20" w:after="48" w:afterLines="20" w:line="360" w:lineRule="auto"/>
              <w:jc w:val="center"/>
              <w:rPr>
                <w:rFonts w:hint="eastAsia" w:ascii="仿宋" w:hAnsi="仿宋" w:eastAsia="仿宋" w:cs="仿宋"/>
                <w:color w:val="auto"/>
                <w:sz w:val="24"/>
                <w:szCs w:val="24"/>
                <w:lang w:val="en-GB"/>
              </w:rPr>
            </w:pPr>
            <w:r>
              <w:rPr>
                <w:rFonts w:hint="eastAsia" w:ascii="仿宋" w:hAnsi="仿宋" w:eastAsia="仿宋" w:cs="仿宋"/>
                <w:color w:val="auto"/>
                <w:sz w:val="24"/>
                <w:szCs w:val="24"/>
                <w:lang w:val="en-GB"/>
              </w:rPr>
              <w:t>1</w:t>
            </w:r>
          </w:p>
        </w:tc>
        <w:tc>
          <w:tcPr>
            <w:tcW w:w="793" w:type="pct"/>
            <w:tcBorders>
              <w:top w:val="single" w:color="auto" w:sz="4" w:space="0"/>
              <w:left w:val="single" w:color="auto" w:sz="4" w:space="0"/>
              <w:bottom w:val="single" w:color="auto" w:sz="4" w:space="0"/>
              <w:right w:val="single" w:color="auto" w:sz="4" w:space="0"/>
            </w:tcBorders>
            <w:shd w:val="clear" w:color="auto" w:fill="auto"/>
            <w:vAlign w:val="center"/>
          </w:tcPr>
          <w:p>
            <w:pPr>
              <w:spacing w:before="48" w:beforeLines="20" w:after="48" w:afterLines="20" w:line="360" w:lineRule="auto"/>
              <w:jc w:val="center"/>
              <w:rPr>
                <w:rFonts w:hint="eastAsia" w:ascii="仿宋" w:hAnsi="仿宋" w:eastAsia="仿宋" w:cs="仿宋"/>
                <w:color w:val="auto"/>
                <w:sz w:val="24"/>
                <w:szCs w:val="24"/>
                <w:lang w:val="en-GB"/>
              </w:rPr>
            </w:pPr>
            <w:r>
              <w:rPr>
                <w:rFonts w:hint="eastAsia" w:ascii="仿宋" w:hAnsi="仿宋" w:eastAsia="仿宋" w:cs="仿宋"/>
                <w:color w:val="auto"/>
                <w:sz w:val="24"/>
                <w:szCs w:val="24"/>
                <w:lang w:val="en-GB"/>
              </w:rPr>
              <w:t>紧急</w:t>
            </w:r>
          </w:p>
        </w:tc>
        <w:tc>
          <w:tcPr>
            <w:tcW w:w="3672" w:type="pct"/>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以下情况之一可定为 紧急：</w:t>
            </w:r>
          </w:p>
          <w:p>
            <w:pPr>
              <w:numPr>
                <w:ilvl w:val="0"/>
                <w:numId w:val="1"/>
              </w:numPr>
              <w:tabs>
                <w:tab w:val="clear" w:pos="0"/>
              </w:tabs>
              <w:spacing w:before="48" w:beforeLines="20" w:after="48" w:afterLines="20"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系统瘫痪</w:t>
            </w:r>
          </w:p>
          <w:p>
            <w:pPr>
              <w:numPr>
                <w:ilvl w:val="0"/>
                <w:numId w:val="1"/>
              </w:numPr>
              <w:tabs>
                <w:tab w:val="clear" w:pos="0"/>
              </w:tabs>
              <w:spacing w:before="48" w:beforeLines="20" w:after="48" w:afterLines="20"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全部业务中断</w:t>
            </w:r>
          </w:p>
          <w:p>
            <w:pPr>
              <w:numPr>
                <w:ilvl w:val="0"/>
                <w:numId w:val="1"/>
              </w:numPr>
              <w:tabs>
                <w:tab w:val="clear" w:pos="0"/>
              </w:tabs>
              <w:spacing w:before="48" w:beforeLines="20" w:after="48" w:afterLines="20"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所有工作站不能正常工作</w:t>
            </w:r>
          </w:p>
          <w:p>
            <w:pPr>
              <w:numPr>
                <w:ilvl w:val="0"/>
                <w:numId w:val="1"/>
              </w:numPr>
              <w:tabs>
                <w:tab w:val="clear" w:pos="0"/>
              </w:tabs>
              <w:spacing w:before="48" w:beforeLines="20" w:after="48" w:afterLines="20"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系统性能下降，严重影响业务使用</w:t>
            </w:r>
          </w:p>
          <w:p>
            <w:pPr>
              <w:numPr>
                <w:ilvl w:val="0"/>
                <w:numId w:val="1"/>
              </w:numPr>
              <w:tabs>
                <w:tab w:val="clear" w:pos="0"/>
              </w:tabs>
              <w:spacing w:before="48" w:beforeLines="20" w:after="48" w:afterLines="20"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系统软硬件及网络故障，严重影响业务使用持续时间超过10分钟，或造成严重后果</w:t>
            </w:r>
          </w:p>
          <w:p>
            <w:pPr>
              <w:numPr>
                <w:ilvl w:val="0"/>
                <w:numId w:val="1"/>
              </w:numPr>
              <w:tabs>
                <w:tab w:val="clear" w:pos="0"/>
              </w:tabs>
              <w:spacing w:before="48" w:beforeLines="20" w:after="48" w:afterLines="20"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与其它系统接口故障，严重影响业务使用持续时间超过10分钟，或造成严重后果</w:t>
            </w:r>
          </w:p>
          <w:p>
            <w:pPr>
              <w:numPr>
                <w:ilvl w:val="0"/>
                <w:numId w:val="1"/>
              </w:numPr>
              <w:tabs>
                <w:tab w:val="clear" w:pos="0"/>
              </w:tabs>
              <w:spacing w:before="48" w:beforeLines="20" w:after="48" w:afterLines="20"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由于操作失误等人为原因导致业务受到影响，造成严重后果；由于自身原因造成同其他业务系统连接中断</w:t>
            </w:r>
          </w:p>
        </w:tc>
      </w:tr>
      <w:tr>
        <w:tblPrEx>
          <w:tblBorders>
            <w:top w:val="single" w:color="auto" w:sz="18" w:space="0"/>
            <w:left w:val="single" w:color="auto" w:sz="18" w:space="0"/>
            <w:bottom w:val="single" w:color="auto" w:sz="18" w:space="0"/>
            <w:right w:val="single" w:color="auto" w:sz="18" w:space="0"/>
            <w:insideH w:val="single" w:color="auto" w:sz="2" w:space="0"/>
            <w:insideV w:val="single" w:color="auto" w:sz="2" w:space="0"/>
          </w:tblBorders>
          <w:tblCellMar>
            <w:top w:w="0" w:type="dxa"/>
            <w:left w:w="108" w:type="dxa"/>
            <w:bottom w:w="0" w:type="dxa"/>
            <w:right w:w="108" w:type="dxa"/>
          </w:tblCellMar>
        </w:tblPrEx>
        <w:trPr>
          <w:jc w:val="center"/>
        </w:trPr>
        <w:tc>
          <w:tcPr>
            <w:tcW w:w="533" w:type="pct"/>
            <w:tcBorders>
              <w:top w:val="single" w:color="auto" w:sz="4" w:space="0"/>
              <w:left w:val="single" w:color="auto" w:sz="4" w:space="0"/>
              <w:bottom w:val="single" w:color="auto" w:sz="4" w:space="0"/>
              <w:right w:val="single" w:color="auto" w:sz="4" w:space="0"/>
            </w:tcBorders>
            <w:shd w:val="clear" w:color="auto" w:fill="auto"/>
            <w:vAlign w:val="center"/>
          </w:tcPr>
          <w:p>
            <w:pPr>
              <w:spacing w:before="48" w:beforeLines="20" w:after="48" w:afterLines="20" w:line="360" w:lineRule="auto"/>
              <w:jc w:val="center"/>
              <w:rPr>
                <w:rFonts w:hint="eastAsia" w:ascii="仿宋" w:hAnsi="仿宋" w:eastAsia="仿宋" w:cs="仿宋"/>
                <w:color w:val="auto"/>
                <w:sz w:val="24"/>
                <w:szCs w:val="24"/>
                <w:lang w:val="en-GB"/>
              </w:rPr>
            </w:pPr>
            <w:r>
              <w:rPr>
                <w:rFonts w:hint="eastAsia" w:ascii="仿宋" w:hAnsi="仿宋" w:eastAsia="仿宋" w:cs="仿宋"/>
                <w:color w:val="auto"/>
                <w:sz w:val="24"/>
                <w:szCs w:val="24"/>
                <w:lang w:val="en-GB"/>
              </w:rPr>
              <w:t>2</w:t>
            </w:r>
          </w:p>
        </w:tc>
        <w:tc>
          <w:tcPr>
            <w:tcW w:w="793" w:type="pct"/>
            <w:tcBorders>
              <w:top w:val="single" w:color="auto" w:sz="4" w:space="0"/>
              <w:left w:val="single" w:color="auto" w:sz="4" w:space="0"/>
              <w:bottom w:val="single" w:color="auto" w:sz="4" w:space="0"/>
              <w:right w:val="single" w:color="auto" w:sz="4" w:space="0"/>
            </w:tcBorders>
            <w:shd w:val="clear" w:color="auto" w:fill="auto"/>
            <w:vAlign w:val="center"/>
          </w:tcPr>
          <w:p>
            <w:pPr>
              <w:spacing w:before="48" w:beforeLines="20" w:after="48" w:afterLines="20" w:line="360" w:lineRule="auto"/>
              <w:jc w:val="center"/>
              <w:rPr>
                <w:rFonts w:hint="eastAsia" w:ascii="仿宋" w:hAnsi="仿宋" w:eastAsia="仿宋" w:cs="仿宋"/>
                <w:color w:val="auto"/>
                <w:sz w:val="24"/>
                <w:szCs w:val="24"/>
                <w:lang w:val="en-GB"/>
              </w:rPr>
            </w:pPr>
            <w:r>
              <w:rPr>
                <w:rFonts w:hint="eastAsia" w:ascii="仿宋" w:hAnsi="仿宋" w:eastAsia="仿宋" w:cs="仿宋"/>
                <w:color w:val="auto"/>
                <w:sz w:val="24"/>
                <w:szCs w:val="24"/>
                <w:lang w:val="en-GB"/>
              </w:rPr>
              <w:t>高</w:t>
            </w:r>
          </w:p>
        </w:tc>
        <w:tc>
          <w:tcPr>
            <w:tcW w:w="3672" w:type="pct"/>
            <w:tcBorders>
              <w:top w:val="single" w:color="auto" w:sz="4" w:space="0"/>
              <w:left w:val="single" w:color="auto" w:sz="4" w:space="0"/>
              <w:bottom w:val="single" w:color="auto" w:sz="4" w:space="0"/>
              <w:right w:val="single" w:color="auto" w:sz="4" w:space="0"/>
            </w:tcBorders>
            <w:shd w:val="clear" w:color="auto" w:fill="auto"/>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以下情况之一可定为 高：</w:t>
            </w:r>
          </w:p>
          <w:p>
            <w:pPr>
              <w:numPr>
                <w:ilvl w:val="0"/>
                <w:numId w:val="1"/>
              </w:numPr>
              <w:tabs>
                <w:tab w:val="clear" w:pos="0"/>
              </w:tabs>
              <w:spacing w:before="48" w:beforeLines="20" w:after="48" w:afterLines="20"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双机备份系统主机之一宕机、网络核心设备之一宕机，对业务系统不会造成中断；</w:t>
            </w:r>
          </w:p>
          <w:p>
            <w:pPr>
              <w:spacing w:before="48" w:beforeLines="20" w:after="48" w:afterLines="20" w:line="360" w:lineRule="auto"/>
              <w:ind w:left="-420"/>
              <w:rPr>
                <w:rFonts w:hint="eastAsia" w:ascii="仿宋" w:hAnsi="仿宋" w:eastAsia="仿宋" w:cs="仿宋"/>
                <w:color w:val="auto"/>
                <w:sz w:val="24"/>
                <w:szCs w:val="24"/>
              </w:rPr>
            </w:pPr>
            <w:r>
              <w:rPr>
                <w:rFonts w:hint="eastAsia" w:ascii="仿宋" w:hAnsi="仿宋" w:eastAsia="仿宋" w:cs="仿宋"/>
                <w:color w:val="auto"/>
                <w:sz w:val="24"/>
                <w:szCs w:val="24"/>
              </w:rPr>
              <w:t>系统性能下降，导致业务使用异常，并未造成严重后果</w:t>
            </w:r>
          </w:p>
          <w:p>
            <w:pPr>
              <w:numPr>
                <w:ilvl w:val="0"/>
                <w:numId w:val="1"/>
              </w:numPr>
              <w:tabs>
                <w:tab w:val="clear" w:pos="0"/>
              </w:tabs>
              <w:spacing w:before="48" w:beforeLines="20" w:after="48" w:afterLines="20"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系统软硬件及网络故障导致业务系统使用异常持续时间不超过1 小时，并未造成严重后果；</w:t>
            </w:r>
          </w:p>
          <w:p>
            <w:pPr>
              <w:numPr>
                <w:ilvl w:val="0"/>
                <w:numId w:val="1"/>
              </w:numPr>
              <w:tabs>
                <w:tab w:val="clear" w:pos="0"/>
              </w:tabs>
              <w:spacing w:before="48" w:beforeLines="20" w:after="48" w:afterLines="20"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与其它系统接口故障导致业务系统使用异常持续时间不超过1 小时，并未造成严重后果</w:t>
            </w:r>
          </w:p>
          <w:p>
            <w:pPr>
              <w:numPr>
                <w:ilvl w:val="0"/>
                <w:numId w:val="1"/>
              </w:numPr>
              <w:tabs>
                <w:tab w:val="clear" w:pos="0"/>
              </w:tabs>
              <w:spacing w:before="48" w:beforeLines="20" w:after="48" w:afterLines="20"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由于操作失误等人为原因导致业务使用异常并未造成严重后果</w:t>
            </w:r>
          </w:p>
        </w:tc>
      </w:tr>
      <w:tr>
        <w:tblPrEx>
          <w:tblBorders>
            <w:top w:val="single" w:color="auto" w:sz="18" w:space="0"/>
            <w:left w:val="single" w:color="auto" w:sz="18" w:space="0"/>
            <w:bottom w:val="single" w:color="auto" w:sz="18" w:space="0"/>
            <w:right w:val="single" w:color="auto" w:sz="18" w:space="0"/>
            <w:insideH w:val="single" w:color="auto" w:sz="2" w:space="0"/>
            <w:insideV w:val="single" w:color="auto" w:sz="2" w:space="0"/>
          </w:tblBorders>
          <w:tblCellMar>
            <w:top w:w="0" w:type="dxa"/>
            <w:left w:w="108" w:type="dxa"/>
            <w:bottom w:w="0" w:type="dxa"/>
            <w:right w:w="108" w:type="dxa"/>
          </w:tblCellMar>
        </w:tblPrEx>
        <w:trPr>
          <w:jc w:val="center"/>
        </w:trPr>
        <w:tc>
          <w:tcPr>
            <w:tcW w:w="533" w:type="pct"/>
            <w:tcBorders>
              <w:top w:val="single" w:color="auto" w:sz="4" w:space="0"/>
              <w:left w:val="single" w:color="auto" w:sz="4" w:space="0"/>
              <w:bottom w:val="single" w:color="auto" w:sz="4" w:space="0"/>
              <w:right w:val="single" w:color="auto" w:sz="4" w:space="0"/>
            </w:tcBorders>
            <w:shd w:val="clear" w:color="auto" w:fill="auto"/>
            <w:vAlign w:val="center"/>
          </w:tcPr>
          <w:p>
            <w:pPr>
              <w:spacing w:before="48" w:beforeLines="20" w:after="48" w:afterLines="20" w:line="360" w:lineRule="auto"/>
              <w:jc w:val="center"/>
              <w:rPr>
                <w:rFonts w:hint="eastAsia" w:ascii="仿宋" w:hAnsi="仿宋" w:eastAsia="仿宋" w:cs="仿宋"/>
                <w:color w:val="auto"/>
                <w:szCs w:val="24"/>
                <w:lang w:val="en-GB"/>
              </w:rPr>
            </w:pPr>
            <w:r>
              <w:rPr>
                <w:rFonts w:hint="eastAsia" w:ascii="仿宋" w:hAnsi="仿宋" w:eastAsia="仿宋" w:cs="仿宋"/>
                <w:color w:val="auto"/>
                <w:szCs w:val="24"/>
                <w:lang w:val="en-GB"/>
              </w:rPr>
              <w:t>3</w:t>
            </w:r>
          </w:p>
        </w:tc>
        <w:tc>
          <w:tcPr>
            <w:tcW w:w="793" w:type="pct"/>
            <w:tcBorders>
              <w:top w:val="single" w:color="auto" w:sz="4" w:space="0"/>
              <w:left w:val="single" w:color="auto" w:sz="4" w:space="0"/>
              <w:bottom w:val="single" w:color="auto" w:sz="4" w:space="0"/>
              <w:right w:val="single" w:color="auto" w:sz="4" w:space="0"/>
            </w:tcBorders>
            <w:shd w:val="clear" w:color="auto" w:fill="auto"/>
            <w:vAlign w:val="center"/>
          </w:tcPr>
          <w:p>
            <w:pPr>
              <w:spacing w:before="48" w:beforeLines="20" w:after="48" w:afterLines="20" w:line="360" w:lineRule="auto"/>
              <w:jc w:val="center"/>
              <w:rPr>
                <w:rFonts w:hint="eastAsia" w:ascii="仿宋" w:hAnsi="仿宋" w:eastAsia="仿宋" w:cs="仿宋"/>
                <w:color w:val="auto"/>
                <w:szCs w:val="24"/>
                <w:lang w:val="en-GB"/>
              </w:rPr>
            </w:pPr>
            <w:r>
              <w:rPr>
                <w:rFonts w:hint="eastAsia" w:ascii="仿宋" w:hAnsi="仿宋" w:eastAsia="仿宋" w:cs="仿宋"/>
                <w:color w:val="auto"/>
                <w:szCs w:val="24"/>
                <w:lang w:val="en-GB"/>
              </w:rPr>
              <w:t>中</w:t>
            </w:r>
          </w:p>
        </w:tc>
        <w:tc>
          <w:tcPr>
            <w:tcW w:w="3672" w:type="pct"/>
            <w:tcBorders>
              <w:top w:val="single" w:color="auto" w:sz="4" w:space="0"/>
              <w:left w:val="single" w:color="auto" w:sz="4" w:space="0"/>
              <w:bottom w:val="single" w:color="auto" w:sz="4" w:space="0"/>
              <w:right w:val="single" w:color="auto" w:sz="4" w:space="0"/>
            </w:tcBorders>
            <w:shd w:val="clear" w:color="auto" w:fill="auto"/>
            <w:vAlign w:val="center"/>
          </w:tcPr>
          <w:p>
            <w:pPr>
              <w:numPr>
                <w:ilvl w:val="0"/>
                <w:numId w:val="1"/>
              </w:numPr>
              <w:tabs>
                <w:tab w:val="clear" w:pos="0"/>
              </w:tabs>
              <w:spacing w:before="48" w:beforeLines="20" w:after="48" w:afterLines="20" w:line="360" w:lineRule="auto"/>
              <w:ind w:firstLine="420" w:firstLineChars="200"/>
              <w:rPr>
                <w:rFonts w:hint="eastAsia" w:ascii="仿宋" w:hAnsi="仿宋" w:eastAsia="仿宋" w:cs="仿宋"/>
                <w:color w:val="auto"/>
                <w:szCs w:val="24"/>
              </w:rPr>
            </w:pPr>
            <w:r>
              <w:rPr>
                <w:rFonts w:hint="eastAsia" w:ascii="仿宋" w:hAnsi="仿宋" w:eastAsia="仿宋" w:cs="仿宋"/>
                <w:color w:val="auto"/>
                <w:szCs w:val="24"/>
              </w:rPr>
              <w:t>如主机、工作站、网络、外设工作不正常，但对系统正常工作没有大的影响，对业务也未产生大的影响。</w:t>
            </w:r>
          </w:p>
        </w:tc>
      </w:tr>
      <w:tr>
        <w:tblPrEx>
          <w:tblBorders>
            <w:top w:val="single" w:color="auto" w:sz="18" w:space="0"/>
            <w:left w:val="single" w:color="auto" w:sz="18" w:space="0"/>
            <w:bottom w:val="single" w:color="auto" w:sz="18" w:space="0"/>
            <w:right w:val="single" w:color="auto" w:sz="18" w:space="0"/>
            <w:insideH w:val="single" w:color="auto" w:sz="2" w:space="0"/>
            <w:insideV w:val="single" w:color="auto" w:sz="2" w:space="0"/>
          </w:tblBorders>
          <w:tblCellMar>
            <w:top w:w="0" w:type="dxa"/>
            <w:left w:w="108" w:type="dxa"/>
            <w:bottom w:w="0" w:type="dxa"/>
            <w:right w:w="108" w:type="dxa"/>
          </w:tblCellMar>
        </w:tblPrEx>
        <w:trPr>
          <w:trHeight w:val="330" w:hRule="atLeast"/>
          <w:jc w:val="center"/>
        </w:trPr>
        <w:tc>
          <w:tcPr>
            <w:tcW w:w="533" w:type="pct"/>
            <w:tcBorders>
              <w:top w:val="single" w:color="auto" w:sz="4" w:space="0"/>
              <w:left w:val="single" w:color="auto" w:sz="4" w:space="0"/>
              <w:bottom w:val="single" w:color="auto" w:sz="4" w:space="0"/>
              <w:right w:val="single" w:color="auto" w:sz="4" w:space="0"/>
            </w:tcBorders>
            <w:shd w:val="clear" w:color="auto" w:fill="auto"/>
            <w:vAlign w:val="center"/>
          </w:tcPr>
          <w:p>
            <w:pPr>
              <w:spacing w:before="48" w:beforeLines="20" w:after="48" w:afterLines="20" w:line="360" w:lineRule="auto"/>
              <w:jc w:val="center"/>
              <w:rPr>
                <w:rFonts w:hint="eastAsia" w:ascii="仿宋" w:hAnsi="仿宋" w:eastAsia="仿宋" w:cs="仿宋"/>
                <w:color w:val="auto"/>
                <w:szCs w:val="24"/>
                <w:lang w:val="en-GB"/>
              </w:rPr>
            </w:pPr>
            <w:r>
              <w:rPr>
                <w:rFonts w:hint="eastAsia" w:ascii="仿宋" w:hAnsi="仿宋" w:eastAsia="仿宋" w:cs="仿宋"/>
                <w:color w:val="auto"/>
                <w:szCs w:val="24"/>
                <w:lang w:val="en-GB"/>
              </w:rPr>
              <w:t>4</w:t>
            </w:r>
          </w:p>
        </w:tc>
        <w:tc>
          <w:tcPr>
            <w:tcW w:w="793" w:type="pct"/>
            <w:tcBorders>
              <w:top w:val="single" w:color="auto" w:sz="4" w:space="0"/>
              <w:left w:val="single" w:color="auto" w:sz="4" w:space="0"/>
              <w:bottom w:val="single" w:color="auto" w:sz="4" w:space="0"/>
              <w:right w:val="single" w:color="auto" w:sz="4" w:space="0"/>
            </w:tcBorders>
            <w:shd w:val="clear" w:color="auto" w:fill="auto"/>
            <w:vAlign w:val="center"/>
          </w:tcPr>
          <w:p>
            <w:pPr>
              <w:spacing w:before="48" w:beforeLines="20" w:after="48" w:afterLines="20" w:line="360" w:lineRule="auto"/>
              <w:jc w:val="center"/>
              <w:rPr>
                <w:rFonts w:hint="eastAsia" w:ascii="仿宋" w:hAnsi="仿宋" w:eastAsia="仿宋" w:cs="仿宋"/>
                <w:color w:val="auto"/>
                <w:szCs w:val="24"/>
                <w:lang w:val="en-GB"/>
              </w:rPr>
            </w:pPr>
            <w:r>
              <w:rPr>
                <w:rFonts w:hint="eastAsia" w:ascii="仿宋" w:hAnsi="仿宋" w:eastAsia="仿宋" w:cs="仿宋"/>
                <w:color w:val="auto"/>
                <w:szCs w:val="24"/>
                <w:lang w:val="en-GB"/>
              </w:rPr>
              <w:t>低</w:t>
            </w:r>
          </w:p>
        </w:tc>
        <w:tc>
          <w:tcPr>
            <w:tcW w:w="3672" w:type="pct"/>
            <w:tcBorders>
              <w:top w:val="single" w:color="auto" w:sz="4" w:space="0"/>
              <w:left w:val="single" w:color="auto" w:sz="4" w:space="0"/>
              <w:bottom w:val="single" w:color="auto" w:sz="4" w:space="0"/>
              <w:right w:val="single" w:color="auto" w:sz="4" w:space="0"/>
            </w:tcBorders>
            <w:shd w:val="clear" w:color="auto" w:fill="auto"/>
          </w:tcPr>
          <w:p>
            <w:pPr>
              <w:numPr>
                <w:ilvl w:val="0"/>
                <w:numId w:val="1"/>
              </w:numPr>
              <w:tabs>
                <w:tab w:val="clear" w:pos="0"/>
              </w:tabs>
              <w:spacing w:before="48" w:beforeLines="20" w:after="48" w:afterLines="20" w:line="360" w:lineRule="auto"/>
              <w:ind w:firstLine="420" w:firstLineChars="200"/>
              <w:rPr>
                <w:rFonts w:hint="eastAsia" w:ascii="仿宋" w:hAnsi="仿宋" w:eastAsia="仿宋" w:cs="仿宋"/>
                <w:color w:val="auto"/>
                <w:szCs w:val="24"/>
              </w:rPr>
            </w:pPr>
            <w:r>
              <w:rPr>
                <w:rFonts w:hint="eastAsia" w:ascii="仿宋" w:hAnsi="仿宋" w:eastAsia="仿宋" w:cs="仿宋"/>
                <w:color w:val="auto"/>
                <w:szCs w:val="24"/>
              </w:rPr>
              <w:t>个人PC的相关故障，对其他没有影响。</w:t>
            </w:r>
          </w:p>
        </w:tc>
      </w:tr>
    </w:tbl>
    <w:p>
      <w:pPr>
        <w:spacing w:line="360" w:lineRule="auto"/>
        <w:rPr>
          <w:rFonts w:hint="eastAsia" w:ascii="仿宋" w:hAnsi="仿宋" w:eastAsia="仿宋" w:cs="仿宋"/>
          <w:color w:val="auto"/>
          <w:szCs w:val="24"/>
        </w:rPr>
      </w:pPr>
      <w:r>
        <w:rPr>
          <w:rFonts w:hint="eastAsia" w:ascii="仿宋" w:hAnsi="仿宋" w:eastAsia="仿宋" w:cs="仿宋"/>
          <w:color w:val="auto"/>
          <w:szCs w:val="24"/>
        </w:rPr>
        <w:t>事件优先级对应的响应时间参考下表：</w:t>
      </w:r>
    </w:p>
    <w:tbl>
      <w:tblPr>
        <w:tblStyle w:val="8"/>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36"/>
        <w:gridCol w:w="2112"/>
        <w:gridCol w:w="1860"/>
        <w:gridCol w:w="28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blHeader/>
          <w:jc w:val="center"/>
        </w:trPr>
        <w:tc>
          <w:tcPr>
            <w:tcW w:w="1019" w:type="pct"/>
            <w:tcBorders>
              <w:tl2br w:val="nil"/>
              <w:tr2bl w:val="nil"/>
            </w:tcBorders>
            <w:shd w:val="clear" w:color="auto" w:fill="auto"/>
            <w:vAlign w:val="center"/>
          </w:tcPr>
          <w:p>
            <w:pPr>
              <w:spacing w:line="360" w:lineRule="auto"/>
              <w:jc w:val="center"/>
              <w:rPr>
                <w:rFonts w:hint="eastAsia" w:ascii="仿宋" w:hAnsi="仿宋" w:eastAsia="仿宋" w:cs="仿宋"/>
                <w:b/>
                <w:bCs/>
                <w:color w:val="auto"/>
                <w:szCs w:val="24"/>
              </w:rPr>
            </w:pPr>
            <w:r>
              <w:rPr>
                <w:rFonts w:hint="eastAsia" w:ascii="仿宋" w:hAnsi="仿宋" w:eastAsia="仿宋" w:cs="仿宋"/>
                <w:b/>
                <w:bCs/>
                <w:color w:val="auto"/>
                <w:szCs w:val="24"/>
              </w:rPr>
              <w:t>编号</w:t>
            </w:r>
          </w:p>
        </w:tc>
        <w:tc>
          <w:tcPr>
            <w:tcW w:w="1239" w:type="pct"/>
            <w:tcBorders>
              <w:tl2br w:val="nil"/>
              <w:tr2bl w:val="nil"/>
            </w:tcBorders>
            <w:shd w:val="clear" w:color="auto" w:fill="auto"/>
            <w:vAlign w:val="center"/>
          </w:tcPr>
          <w:p>
            <w:pPr>
              <w:spacing w:line="360" w:lineRule="auto"/>
              <w:jc w:val="center"/>
              <w:rPr>
                <w:rFonts w:hint="eastAsia" w:ascii="仿宋" w:hAnsi="仿宋" w:eastAsia="仿宋" w:cs="仿宋"/>
                <w:b/>
                <w:bCs/>
                <w:color w:val="auto"/>
                <w:szCs w:val="24"/>
              </w:rPr>
            </w:pPr>
            <w:r>
              <w:rPr>
                <w:rFonts w:hint="eastAsia" w:ascii="仿宋" w:hAnsi="仿宋" w:eastAsia="仿宋" w:cs="仿宋"/>
                <w:b/>
                <w:bCs/>
                <w:color w:val="auto"/>
                <w:szCs w:val="24"/>
              </w:rPr>
              <w:t>优先级</w:t>
            </w:r>
          </w:p>
        </w:tc>
        <w:tc>
          <w:tcPr>
            <w:tcW w:w="1091" w:type="pct"/>
            <w:tcBorders>
              <w:tl2br w:val="nil"/>
              <w:tr2bl w:val="nil"/>
            </w:tcBorders>
            <w:shd w:val="clear" w:color="auto" w:fill="auto"/>
            <w:vAlign w:val="center"/>
          </w:tcPr>
          <w:p>
            <w:pPr>
              <w:spacing w:line="360" w:lineRule="auto"/>
              <w:jc w:val="center"/>
              <w:rPr>
                <w:rFonts w:hint="eastAsia" w:ascii="仿宋" w:hAnsi="仿宋" w:eastAsia="仿宋" w:cs="仿宋"/>
                <w:b/>
                <w:bCs/>
                <w:color w:val="auto"/>
                <w:szCs w:val="24"/>
              </w:rPr>
            </w:pPr>
            <w:r>
              <w:rPr>
                <w:rFonts w:hint="eastAsia" w:ascii="仿宋" w:hAnsi="仿宋" w:eastAsia="仿宋" w:cs="仿宋"/>
                <w:b/>
                <w:bCs/>
                <w:color w:val="auto"/>
                <w:szCs w:val="24"/>
              </w:rPr>
              <w:t>响应时间</w:t>
            </w:r>
          </w:p>
        </w:tc>
        <w:tc>
          <w:tcPr>
            <w:tcW w:w="1649" w:type="pct"/>
            <w:tcBorders>
              <w:tl2br w:val="nil"/>
              <w:tr2bl w:val="nil"/>
            </w:tcBorders>
            <w:shd w:val="clear" w:color="auto" w:fill="auto"/>
            <w:vAlign w:val="center"/>
          </w:tcPr>
          <w:p>
            <w:pPr>
              <w:spacing w:line="360" w:lineRule="auto"/>
              <w:jc w:val="center"/>
              <w:rPr>
                <w:rFonts w:hint="eastAsia" w:ascii="仿宋" w:hAnsi="仿宋" w:eastAsia="仿宋" w:cs="仿宋"/>
                <w:b/>
                <w:bCs/>
                <w:color w:val="auto"/>
                <w:szCs w:val="24"/>
              </w:rPr>
            </w:pPr>
            <w:r>
              <w:rPr>
                <w:rFonts w:hint="eastAsia" w:ascii="仿宋" w:hAnsi="仿宋" w:eastAsia="仿宋" w:cs="仿宋"/>
                <w:b/>
                <w:bCs/>
                <w:color w:val="auto"/>
                <w:szCs w:val="24"/>
              </w:rPr>
              <w:t>最后解决时限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19" w:type="pct"/>
            <w:tcBorders>
              <w:tl2br w:val="nil"/>
              <w:tr2bl w:val="nil"/>
            </w:tcBorders>
            <w:shd w:val="clear" w:color="auto" w:fill="auto"/>
            <w:vAlign w:val="center"/>
          </w:tcPr>
          <w:p>
            <w:pPr>
              <w:spacing w:before="48" w:beforeLines="20" w:after="48" w:afterLines="20" w:line="360" w:lineRule="auto"/>
              <w:jc w:val="center"/>
              <w:rPr>
                <w:rFonts w:hint="eastAsia" w:ascii="仿宋" w:hAnsi="仿宋" w:eastAsia="仿宋" w:cs="仿宋"/>
                <w:color w:val="auto"/>
                <w:szCs w:val="24"/>
                <w:lang w:val="en-GB"/>
              </w:rPr>
            </w:pPr>
            <w:r>
              <w:rPr>
                <w:rFonts w:hint="eastAsia" w:ascii="仿宋" w:hAnsi="仿宋" w:eastAsia="仿宋" w:cs="仿宋"/>
                <w:color w:val="auto"/>
                <w:szCs w:val="24"/>
                <w:lang w:val="en-GB"/>
              </w:rPr>
              <w:t>1</w:t>
            </w:r>
          </w:p>
        </w:tc>
        <w:tc>
          <w:tcPr>
            <w:tcW w:w="1239" w:type="pct"/>
            <w:tcBorders>
              <w:tl2br w:val="nil"/>
              <w:tr2bl w:val="nil"/>
            </w:tcBorders>
            <w:shd w:val="clear" w:color="auto" w:fill="auto"/>
            <w:vAlign w:val="center"/>
          </w:tcPr>
          <w:p>
            <w:pPr>
              <w:spacing w:before="48" w:beforeLines="20" w:after="48" w:afterLines="20" w:line="360" w:lineRule="auto"/>
              <w:jc w:val="center"/>
              <w:rPr>
                <w:rFonts w:hint="eastAsia" w:ascii="仿宋" w:hAnsi="仿宋" w:eastAsia="仿宋" w:cs="仿宋"/>
                <w:color w:val="auto"/>
                <w:szCs w:val="24"/>
                <w:lang w:val="en-GB"/>
              </w:rPr>
            </w:pPr>
            <w:r>
              <w:rPr>
                <w:rFonts w:hint="eastAsia" w:ascii="仿宋" w:hAnsi="仿宋" w:eastAsia="仿宋" w:cs="仿宋"/>
                <w:color w:val="auto"/>
                <w:szCs w:val="24"/>
                <w:lang w:val="en-GB"/>
              </w:rPr>
              <w:t>紧急</w:t>
            </w:r>
          </w:p>
        </w:tc>
        <w:tc>
          <w:tcPr>
            <w:tcW w:w="1091" w:type="pct"/>
            <w:tcBorders>
              <w:tl2br w:val="nil"/>
              <w:tr2bl w:val="nil"/>
            </w:tcBorders>
            <w:shd w:val="clear" w:color="auto" w:fill="auto"/>
            <w:vAlign w:val="center"/>
          </w:tcPr>
          <w:p>
            <w:pPr>
              <w:spacing w:before="48" w:beforeLines="20" w:after="48" w:afterLines="20" w:line="360" w:lineRule="auto"/>
              <w:jc w:val="center"/>
              <w:rPr>
                <w:rFonts w:hint="eastAsia" w:ascii="仿宋" w:hAnsi="仿宋" w:eastAsia="仿宋" w:cs="仿宋"/>
                <w:color w:val="auto"/>
                <w:szCs w:val="24"/>
                <w:lang w:val="en-GB"/>
              </w:rPr>
            </w:pPr>
            <w:r>
              <w:rPr>
                <w:rFonts w:hint="eastAsia" w:ascii="仿宋" w:hAnsi="仿宋" w:eastAsia="仿宋" w:cs="仿宋"/>
                <w:color w:val="auto"/>
                <w:szCs w:val="24"/>
                <w:lang w:val="en-GB"/>
              </w:rPr>
              <w:t>10分钟</w:t>
            </w:r>
          </w:p>
        </w:tc>
        <w:tc>
          <w:tcPr>
            <w:tcW w:w="1649" w:type="pct"/>
            <w:tcBorders>
              <w:tl2br w:val="nil"/>
              <w:tr2bl w:val="nil"/>
            </w:tcBorders>
            <w:shd w:val="clear" w:color="auto" w:fill="auto"/>
            <w:vAlign w:val="center"/>
          </w:tcPr>
          <w:p>
            <w:pPr>
              <w:spacing w:before="48" w:beforeLines="20" w:after="48" w:afterLines="20" w:line="360" w:lineRule="auto"/>
              <w:jc w:val="center"/>
              <w:rPr>
                <w:rFonts w:hint="eastAsia" w:ascii="仿宋" w:hAnsi="仿宋" w:eastAsia="仿宋" w:cs="仿宋"/>
                <w:color w:val="auto"/>
                <w:szCs w:val="24"/>
              </w:rPr>
            </w:pPr>
            <w:r>
              <w:rPr>
                <w:rFonts w:hint="eastAsia" w:ascii="仿宋" w:hAnsi="仿宋" w:eastAsia="仿宋" w:cs="仿宋"/>
                <w:color w:val="auto"/>
                <w:szCs w:val="24"/>
              </w:rPr>
              <w:t>2小时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1019" w:type="pct"/>
            <w:tcBorders>
              <w:tl2br w:val="nil"/>
              <w:tr2bl w:val="nil"/>
            </w:tcBorders>
            <w:shd w:val="clear" w:color="auto" w:fill="auto"/>
            <w:vAlign w:val="center"/>
          </w:tcPr>
          <w:p>
            <w:pPr>
              <w:spacing w:line="360" w:lineRule="auto"/>
              <w:jc w:val="center"/>
              <w:rPr>
                <w:rFonts w:hint="eastAsia" w:ascii="仿宋" w:hAnsi="仿宋" w:eastAsia="仿宋" w:cs="仿宋"/>
                <w:color w:val="auto"/>
                <w:szCs w:val="24"/>
              </w:rPr>
            </w:pPr>
            <w:r>
              <w:rPr>
                <w:rFonts w:hint="eastAsia" w:ascii="仿宋" w:hAnsi="仿宋" w:eastAsia="仿宋" w:cs="仿宋"/>
                <w:color w:val="auto"/>
                <w:szCs w:val="24"/>
              </w:rPr>
              <w:t>2</w:t>
            </w:r>
          </w:p>
        </w:tc>
        <w:tc>
          <w:tcPr>
            <w:tcW w:w="1239" w:type="pct"/>
            <w:tcBorders>
              <w:tl2br w:val="nil"/>
              <w:tr2bl w:val="nil"/>
            </w:tcBorders>
            <w:shd w:val="clear" w:color="auto" w:fill="auto"/>
            <w:vAlign w:val="center"/>
          </w:tcPr>
          <w:p>
            <w:pPr>
              <w:spacing w:line="360" w:lineRule="auto"/>
              <w:jc w:val="center"/>
              <w:rPr>
                <w:rFonts w:hint="eastAsia" w:ascii="仿宋" w:hAnsi="仿宋" w:eastAsia="仿宋" w:cs="仿宋"/>
                <w:color w:val="auto"/>
                <w:szCs w:val="24"/>
              </w:rPr>
            </w:pPr>
            <w:r>
              <w:rPr>
                <w:rFonts w:hint="eastAsia" w:ascii="仿宋" w:hAnsi="仿宋" w:eastAsia="仿宋" w:cs="仿宋"/>
                <w:color w:val="auto"/>
                <w:szCs w:val="24"/>
              </w:rPr>
              <w:t>高</w:t>
            </w:r>
          </w:p>
        </w:tc>
        <w:tc>
          <w:tcPr>
            <w:tcW w:w="1091" w:type="pct"/>
            <w:tcBorders>
              <w:tl2br w:val="nil"/>
              <w:tr2bl w:val="nil"/>
            </w:tcBorders>
            <w:shd w:val="clear" w:color="auto" w:fill="auto"/>
            <w:vAlign w:val="center"/>
          </w:tcPr>
          <w:p>
            <w:pPr>
              <w:spacing w:line="360" w:lineRule="auto"/>
              <w:jc w:val="center"/>
              <w:rPr>
                <w:rFonts w:hint="eastAsia" w:ascii="仿宋" w:hAnsi="仿宋" w:eastAsia="仿宋" w:cs="仿宋"/>
                <w:color w:val="auto"/>
                <w:szCs w:val="24"/>
              </w:rPr>
            </w:pPr>
            <w:r>
              <w:rPr>
                <w:rFonts w:hint="eastAsia" w:ascii="仿宋" w:hAnsi="仿宋" w:eastAsia="仿宋" w:cs="仿宋"/>
                <w:color w:val="auto"/>
                <w:szCs w:val="24"/>
              </w:rPr>
              <w:t>10分钟</w:t>
            </w:r>
          </w:p>
        </w:tc>
        <w:tc>
          <w:tcPr>
            <w:tcW w:w="1649" w:type="pct"/>
            <w:tcBorders>
              <w:tl2br w:val="nil"/>
              <w:tr2bl w:val="nil"/>
            </w:tcBorders>
            <w:shd w:val="clear" w:color="auto" w:fill="auto"/>
            <w:vAlign w:val="center"/>
          </w:tcPr>
          <w:p>
            <w:pPr>
              <w:spacing w:line="360" w:lineRule="auto"/>
              <w:jc w:val="center"/>
              <w:rPr>
                <w:rFonts w:hint="eastAsia" w:ascii="仿宋" w:hAnsi="仿宋" w:eastAsia="仿宋" w:cs="仿宋"/>
                <w:color w:val="auto"/>
                <w:szCs w:val="24"/>
              </w:rPr>
            </w:pPr>
            <w:r>
              <w:rPr>
                <w:rFonts w:hint="eastAsia" w:ascii="仿宋" w:hAnsi="仿宋" w:eastAsia="仿宋" w:cs="仿宋"/>
                <w:color w:val="auto"/>
                <w:szCs w:val="24"/>
              </w:rPr>
              <w:t>2小时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19" w:type="pct"/>
            <w:tcBorders>
              <w:tl2br w:val="nil"/>
              <w:tr2bl w:val="nil"/>
            </w:tcBorders>
            <w:shd w:val="clear" w:color="auto" w:fill="auto"/>
            <w:vAlign w:val="center"/>
          </w:tcPr>
          <w:p>
            <w:pPr>
              <w:spacing w:before="48" w:beforeLines="20" w:after="48" w:afterLines="20" w:line="360" w:lineRule="auto"/>
              <w:jc w:val="center"/>
              <w:rPr>
                <w:rFonts w:hint="eastAsia" w:ascii="仿宋" w:hAnsi="仿宋" w:eastAsia="仿宋" w:cs="仿宋"/>
                <w:color w:val="auto"/>
                <w:szCs w:val="24"/>
                <w:lang w:val="en-GB"/>
              </w:rPr>
            </w:pPr>
            <w:r>
              <w:rPr>
                <w:rFonts w:hint="eastAsia" w:ascii="仿宋" w:hAnsi="仿宋" w:eastAsia="仿宋" w:cs="仿宋"/>
                <w:color w:val="auto"/>
                <w:szCs w:val="24"/>
                <w:lang w:val="en-GB"/>
              </w:rPr>
              <w:t>3</w:t>
            </w:r>
          </w:p>
        </w:tc>
        <w:tc>
          <w:tcPr>
            <w:tcW w:w="1239" w:type="pct"/>
            <w:tcBorders>
              <w:tl2br w:val="nil"/>
              <w:tr2bl w:val="nil"/>
            </w:tcBorders>
            <w:shd w:val="clear" w:color="auto" w:fill="auto"/>
            <w:vAlign w:val="center"/>
          </w:tcPr>
          <w:p>
            <w:pPr>
              <w:spacing w:before="48" w:beforeLines="20" w:after="48" w:afterLines="20" w:line="360" w:lineRule="auto"/>
              <w:jc w:val="center"/>
              <w:rPr>
                <w:rFonts w:hint="eastAsia" w:ascii="仿宋" w:hAnsi="仿宋" w:eastAsia="仿宋" w:cs="仿宋"/>
                <w:color w:val="auto"/>
                <w:szCs w:val="24"/>
                <w:lang w:val="en-GB"/>
              </w:rPr>
            </w:pPr>
            <w:r>
              <w:rPr>
                <w:rFonts w:hint="eastAsia" w:ascii="仿宋" w:hAnsi="仿宋" w:eastAsia="仿宋" w:cs="仿宋"/>
                <w:color w:val="auto"/>
                <w:szCs w:val="24"/>
                <w:lang w:val="en-GB"/>
              </w:rPr>
              <w:t>中</w:t>
            </w:r>
          </w:p>
        </w:tc>
        <w:tc>
          <w:tcPr>
            <w:tcW w:w="1091" w:type="pct"/>
            <w:tcBorders>
              <w:tl2br w:val="nil"/>
              <w:tr2bl w:val="nil"/>
            </w:tcBorders>
            <w:shd w:val="clear" w:color="auto" w:fill="auto"/>
            <w:vAlign w:val="center"/>
          </w:tcPr>
          <w:p>
            <w:pPr>
              <w:spacing w:before="48" w:beforeLines="20" w:after="48" w:afterLines="20" w:line="360" w:lineRule="auto"/>
              <w:jc w:val="center"/>
              <w:rPr>
                <w:rFonts w:hint="eastAsia" w:ascii="仿宋" w:hAnsi="仿宋" w:eastAsia="仿宋" w:cs="仿宋"/>
                <w:color w:val="auto"/>
                <w:szCs w:val="24"/>
                <w:lang w:val="en-GB"/>
              </w:rPr>
            </w:pPr>
            <w:r>
              <w:rPr>
                <w:rFonts w:hint="eastAsia" w:ascii="仿宋" w:hAnsi="仿宋" w:eastAsia="仿宋" w:cs="仿宋"/>
                <w:color w:val="auto"/>
                <w:szCs w:val="24"/>
              </w:rPr>
              <w:t>2</w:t>
            </w:r>
            <w:r>
              <w:rPr>
                <w:rFonts w:hint="eastAsia" w:ascii="仿宋" w:hAnsi="仿宋" w:eastAsia="仿宋" w:cs="仿宋"/>
                <w:color w:val="auto"/>
                <w:szCs w:val="24"/>
                <w:lang w:val="en-GB"/>
              </w:rPr>
              <w:t>0分钟</w:t>
            </w:r>
          </w:p>
        </w:tc>
        <w:tc>
          <w:tcPr>
            <w:tcW w:w="1649" w:type="pct"/>
            <w:tcBorders>
              <w:tl2br w:val="nil"/>
              <w:tr2bl w:val="nil"/>
            </w:tcBorders>
            <w:shd w:val="clear" w:color="auto" w:fill="auto"/>
            <w:vAlign w:val="center"/>
          </w:tcPr>
          <w:p>
            <w:pPr>
              <w:spacing w:before="48" w:beforeLines="20" w:after="48" w:afterLines="20" w:line="360" w:lineRule="auto"/>
              <w:jc w:val="center"/>
              <w:rPr>
                <w:rFonts w:hint="eastAsia" w:ascii="仿宋" w:hAnsi="仿宋" w:eastAsia="仿宋" w:cs="仿宋"/>
                <w:color w:val="auto"/>
                <w:szCs w:val="24"/>
                <w:lang w:val="en-GB"/>
              </w:rPr>
            </w:pPr>
            <w:r>
              <w:rPr>
                <w:rFonts w:hint="eastAsia" w:ascii="仿宋" w:hAnsi="仿宋" w:eastAsia="仿宋" w:cs="仿宋"/>
                <w:color w:val="auto"/>
                <w:szCs w:val="24"/>
              </w:rPr>
              <w:t>4</w:t>
            </w:r>
            <w:r>
              <w:rPr>
                <w:rFonts w:hint="eastAsia" w:ascii="仿宋" w:hAnsi="仿宋" w:eastAsia="仿宋" w:cs="仿宋"/>
                <w:color w:val="auto"/>
                <w:szCs w:val="24"/>
                <w:lang w:val="en-GB"/>
              </w:rPr>
              <w:t>小时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19" w:type="pct"/>
            <w:tcBorders>
              <w:tl2br w:val="nil"/>
              <w:tr2bl w:val="nil"/>
            </w:tcBorders>
            <w:shd w:val="clear" w:color="auto" w:fill="auto"/>
            <w:vAlign w:val="center"/>
          </w:tcPr>
          <w:p>
            <w:pPr>
              <w:spacing w:before="48" w:beforeLines="20" w:after="48" w:afterLines="20" w:line="360" w:lineRule="auto"/>
              <w:jc w:val="center"/>
              <w:rPr>
                <w:rFonts w:hint="eastAsia" w:ascii="仿宋" w:hAnsi="仿宋" w:eastAsia="仿宋" w:cs="仿宋"/>
                <w:color w:val="auto"/>
                <w:szCs w:val="24"/>
                <w:lang w:val="en-GB"/>
              </w:rPr>
            </w:pPr>
            <w:r>
              <w:rPr>
                <w:rFonts w:hint="eastAsia" w:ascii="仿宋" w:hAnsi="仿宋" w:eastAsia="仿宋" w:cs="仿宋"/>
                <w:color w:val="auto"/>
                <w:szCs w:val="24"/>
                <w:lang w:val="en-GB"/>
              </w:rPr>
              <w:t>4</w:t>
            </w:r>
          </w:p>
        </w:tc>
        <w:tc>
          <w:tcPr>
            <w:tcW w:w="1239" w:type="pct"/>
            <w:tcBorders>
              <w:tl2br w:val="nil"/>
              <w:tr2bl w:val="nil"/>
            </w:tcBorders>
            <w:shd w:val="clear" w:color="auto" w:fill="auto"/>
            <w:vAlign w:val="center"/>
          </w:tcPr>
          <w:p>
            <w:pPr>
              <w:spacing w:before="48" w:beforeLines="20" w:after="48" w:afterLines="20" w:line="360" w:lineRule="auto"/>
              <w:jc w:val="center"/>
              <w:rPr>
                <w:rFonts w:hint="eastAsia" w:ascii="仿宋" w:hAnsi="仿宋" w:eastAsia="仿宋" w:cs="仿宋"/>
                <w:color w:val="auto"/>
                <w:szCs w:val="24"/>
                <w:lang w:val="en-GB"/>
              </w:rPr>
            </w:pPr>
            <w:r>
              <w:rPr>
                <w:rFonts w:hint="eastAsia" w:ascii="仿宋" w:hAnsi="仿宋" w:eastAsia="仿宋" w:cs="仿宋"/>
                <w:color w:val="auto"/>
                <w:szCs w:val="24"/>
                <w:lang w:val="en-GB"/>
              </w:rPr>
              <w:t>低</w:t>
            </w:r>
          </w:p>
        </w:tc>
        <w:tc>
          <w:tcPr>
            <w:tcW w:w="1091" w:type="pct"/>
            <w:tcBorders>
              <w:tl2br w:val="nil"/>
              <w:tr2bl w:val="nil"/>
            </w:tcBorders>
            <w:shd w:val="clear" w:color="auto" w:fill="auto"/>
            <w:vAlign w:val="center"/>
          </w:tcPr>
          <w:p>
            <w:pPr>
              <w:spacing w:before="48" w:beforeLines="20" w:after="48" w:afterLines="20" w:line="360" w:lineRule="auto"/>
              <w:jc w:val="center"/>
              <w:rPr>
                <w:rFonts w:hint="eastAsia" w:ascii="仿宋" w:hAnsi="仿宋" w:eastAsia="仿宋" w:cs="仿宋"/>
                <w:color w:val="auto"/>
                <w:szCs w:val="24"/>
                <w:lang w:val="en-GB"/>
              </w:rPr>
            </w:pPr>
            <w:r>
              <w:rPr>
                <w:rFonts w:hint="eastAsia" w:ascii="仿宋" w:hAnsi="仿宋" w:eastAsia="仿宋" w:cs="仿宋"/>
                <w:color w:val="auto"/>
                <w:szCs w:val="24"/>
                <w:lang w:val="en-GB"/>
              </w:rPr>
              <w:t>30分钟</w:t>
            </w:r>
          </w:p>
        </w:tc>
        <w:tc>
          <w:tcPr>
            <w:tcW w:w="1649" w:type="pct"/>
            <w:tcBorders>
              <w:tl2br w:val="nil"/>
              <w:tr2bl w:val="nil"/>
            </w:tcBorders>
            <w:shd w:val="clear" w:color="auto" w:fill="auto"/>
            <w:vAlign w:val="center"/>
          </w:tcPr>
          <w:p>
            <w:pPr>
              <w:spacing w:before="48" w:beforeLines="20" w:after="48" w:afterLines="20" w:line="360" w:lineRule="auto"/>
              <w:jc w:val="center"/>
              <w:rPr>
                <w:rFonts w:hint="eastAsia" w:ascii="仿宋" w:hAnsi="仿宋" w:eastAsia="仿宋" w:cs="仿宋"/>
                <w:color w:val="auto"/>
                <w:szCs w:val="24"/>
                <w:lang w:val="en-GB"/>
              </w:rPr>
            </w:pPr>
            <w:r>
              <w:rPr>
                <w:rFonts w:hint="eastAsia" w:ascii="仿宋" w:hAnsi="仿宋" w:eastAsia="仿宋" w:cs="仿宋"/>
                <w:color w:val="auto"/>
                <w:szCs w:val="24"/>
              </w:rPr>
              <w:t>4</w:t>
            </w:r>
            <w:r>
              <w:rPr>
                <w:rFonts w:hint="eastAsia" w:ascii="仿宋" w:hAnsi="仿宋" w:eastAsia="仿宋" w:cs="仿宋"/>
                <w:color w:val="auto"/>
                <w:szCs w:val="24"/>
                <w:lang w:val="en-GB"/>
              </w:rPr>
              <w:t>小时</w:t>
            </w:r>
          </w:p>
        </w:tc>
      </w:tr>
    </w:tbl>
    <w:p>
      <w:pPr>
        <w:pStyle w:val="3"/>
        <w:numPr>
          <w:ilvl w:val="0"/>
          <w:numId w:val="2"/>
        </w:numPr>
        <w:spacing w:line="360" w:lineRule="auto"/>
        <w:ind w:firstLine="562" w:firstLineChars="175"/>
        <w:rPr>
          <w:rFonts w:hint="eastAsia" w:ascii="仿宋" w:hAnsi="仿宋" w:eastAsia="仿宋" w:cs="仿宋"/>
          <w:color w:val="auto"/>
          <w:szCs w:val="24"/>
          <w:lang w:eastAsia="zh-CN"/>
        </w:rPr>
      </w:pPr>
      <w:bookmarkStart w:id="38" w:name="_Toc7612"/>
      <w:bookmarkEnd w:id="38"/>
      <w:bookmarkStart w:id="39" w:name="_Toc29263"/>
      <w:bookmarkEnd w:id="39"/>
      <w:bookmarkStart w:id="40" w:name="_Toc10509"/>
      <w:bookmarkEnd w:id="40"/>
      <w:bookmarkStart w:id="41" w:name="_Toc31189"/>
      <w:bookmarkStart w:id="42" w:name="_Toc11939"/>
      <w:bookmarkStart w:id="43" w:name="_Toc21941"/>
      <w:bookmarkStart w:id="44" w:name="_Toc26147"/>
      <w:bookmarkStart w:id="45" w:name="_Toc18288"/>
      <w:r>
        <w:rPr>
          <w:rFonts w:hint="eastAsia" w:ascii="仿宋" w:hAnsi="仿宋" w:eastAsia="仿宋" w:cs="仿宋"/>
          <w:color w:val="auto"/>
          <w:szCs w:val="24"/>
          <w:lang w:eastAsia="zh-CN"/>
        </w:rPr>
        <w:t>付款方式</w:t>
      </w:r>
    </w:p>
    <w:p>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市投资促进局</w:t>
      </w:r>
      <w:r>
        <w:rPr>
          <w:rFonts w:hint="eastAsia" w:ascii="仿宋" w:hAnsi="仿宋" w:eastAsia="仿宋" w:cs="仿宋"/>
          <w:color w:val="auto"/>
          <w:sz w:val="24"/>
          <w:szCs w:val="24"/>
        </w:rPr>
        <w:t>在服务周期内分以下款项支付服务费用：</w:t>
      </w:r>
    </w:p>
    <w:p>
      <w:pPr>
        <w:pStyle w:val="11"/>
        <w:widowControl/>
        <w:numPr>
          <w:ilvl w:val="0"/>
          <w:numId w:val="0"/>
        </w:numPr>
        <w:adjustRightInd w:val="0"/>
        <w:snapToGrid w:val="0"/>
        <w:spacing w:line="360" w:lineRule="auto"/>
        <w:ind w:left="0" w:leftChars="0" w:firstLine="480" w:firstLineChars="200"/>
        <w:jc w:val="left"/>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4.1合同签订后7个工作日内，收到供应商的预付款申请函和财务收据或发票，市投资促进局按照合同支付项目总金额的30%；</w:t>
      </w:r>
    </w:p>
    <w:p>
      <w:pPr>
        <w:pStyle w:val="11"/>
        <w:widowControl/>
        <w:numPr>
          <w:ilvl w:val="0"/>
          <w:numId w:val="0"/>
        </w:numPr>
        <w:adjustRightInd w:val="0"/>
        <w:snapToGrid w:val="0"/>
        <w:spacing w:line="360" w:lineRule="auto"/>
        <w:ind w:left="0" w:leftChars="0" w:firstLine="480" w:firstLineChars="200"/>
        <w:jc w:val="left"/>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4.2服务期满</w:t>
      </w:r>
      <w:bookmarkStart w:id="52" w:name="_GoBack"/>
      <w:r>
        <w:rPr>
          <w:rFonts w:hint="eastAsia" w:ascii="仿宋" w:hAnsi="仿宋" w:eastAsia="仿宋" w:cs="仿宋"/>
          <w:color w:val="auto"/>
          <w:kern w:val="2"/>
          <w:sz w:val="24"/>
          <w:szCs w:val="24"/>
          <w:lang w:val="en-US" w:eastAsia="zh-CN" w:bidi="ar-SA"/>
        </w:rPr>
        <w:t>9</w:t>
      </w:r>
      <w:bookmarkEnd w:id="52"/>
      <w:r>
        <w:rPr>
          <w:rFonts w:hint="eastAsia" w:ascii="仿宋" w:hAnsi="仿宋" w:eastAsia="仿宋" w:cs="仿宋"/>
          <w:color w:val="auto"/>
          <w:kern w:val="2"/>
          <w:sz w:val="24"/>
          <w:szCs w:val="24"/>
          <w:lang w:val="en-US" w:eastAsia="zh-CN" w:bidi="ar-SA"/>
        </w:rPr>
        <w:t>个月后，收到供应商的付款申请函和财务收据或发票的15个工作日内，市投资促进局按照合同支付项目总金额的40%；</w:t>
      </w:r>
    </w:p>
    <w:p>
      <w:pPr>
        <w:pStyle w:val="11"/>
        <w:widowControl/>
        <w:numPr>
          <w:ilvl w:val="0"/>
          <w:numId w:val="0"/>
        </w:numPr>
        <w:adjustRightInd w:val="0"/>
        <w:snapToGrid w:val="0"/>
        <w:spacing w:line="360" w:lineRule="auto"/>
        <w:ind w:left="0" w:leftChars="0" w:firstLine="480" w:firstLineChars="200"/>
        <w:jc w:val="left"/>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4.3余款在合同有效期满第三方监理机构验收合格后，收到供应商的付款申请函和财务收据或发票的15个工作日内，支付完毕。</w:t>
      </w:r>
    </w:p>
    <w:p>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4.4</w:t>
      </w:r>
      <w:r>
        <w:rPr>
          <w:rFonts w:hint="eastAsia" w:ascii="仿宋" w:hAnsi="仿宋" w:eastAsia="仿宋" w:cs="仿宋"/>
          <w:color w:val="auto"/>
          <w:sz w:val="24"/>
          <w:szCs w:val="24"/>
        </w:rPr>
        <w:t>合同总金额包含针对本合同中所列IT设备，全服务周期中所有软硬件故障恢复及产生的相关费用（含新增设备的维护），</w:t>
      </w:r>
      <w:r>
        <w:rPr>
          <w:rFonts w:hint="eastAsia" w:ascii="仿宋" w:hAnsi="仿宋" w:eastAsia="仿宋" w:cs="仿宋"/>
          <w:color w:val="auto"/>
          <w:sz w:val="24"/>
          <w:szCs w:val="24"/>
          <w:lang w:val="en-US" w:eastAsia="zh-CN"/>
        </w:rPr>
        <w:t>市投资促进局</w:t>
      </w:r>
      <w:r>
        <w:rPr>
          <w:rFonts w:hint="eastAsia" w:ascii="仿宋" w:hAnsi="仿宋" w:eastAsia="仿宋" w:cs="仿宋"/>
          <w:color w:val="auto"/>
          <w:sz w:val="24"/>
          <w:szCs w:val="24"/>
        </w:rPr>
        <w:t>不再额外支付任何费用。</w:t>
      </w:r>
    </w:p>
    <w:p>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4.5</w:t>
      </w:r>
      <w:r>
        <w:rPr>
          <w:rFonts w:hint="eastAsia" w:ascii="仿宋" w:hAnsi="仿宋" w:eastAsia="仿宋" w:cs="仿宋"/>
          <w:color w:val="auto"/>
          <w:sz w:val="24"/>
          <w:szCs w:val="24"/>
        </w:rPr>
        <w:t>支付方式：现金</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电汇或银行转账。</w:t>
      </w:r>
    </w:p>
    <w:p>
      <w:pPr>
        <w:pStyle w:val="3"/>
        <w:numPr>
          <w:ilvl w:val="0"/>
          <w:numId w:val="2"/>
        </w:numPr>
        <w:spacing w:line="360" w:lineRule="auto"/>
        <w:ind w:left="0" w:leftChars="0" w:firstLine="562" w:firstLineChars="175"/>
        <w:rPr>
          <w:rFonts w:hint="eastAsia" w:ascii="仿宋" w:hAnsi="仿宋" w:eastAsia="仿宋" w:cs="仿宋"/>
          <w:color w:val="auto"/>
          <w:szCs w:val="24"/>
          <w:lang w:eastAsia="zh-CN"/>
        </w:rPr>
      </w:pPr>
      <w:bookmarkStart w:id="46" w:name="_Toc5779"/>
      <w:bookmarkEnd w:id="46"/>
      <w:bookmarkStart w:id="47" w:name="_Toc13842"/>
      <w:bookmarkEnd w:id="47"/>
      <w:bookmarkStart w:id="48" w:name="_Toc16996"/>
      <w:bookmarkEnd w:id="48"/>
      <w:r>
        <w:rPr>
          <w:rFonts w:hint="eastAsia" w:ascii="仿宋" w:hAnsi="仿宋" w:eastAsia="仿宋" w:cs="仿宋"/>
          <w:color w:val="auto"/>
          <w:szCs w:val="24"/>
          <w:lang w:eastAsia="zh-CN"/>
        </w:rPr>
        <w:t>验收方式</w:t>
      </w:r>
    </w:p>
    <w:p>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合同有效期满的</w:t>
      </w:r>
      <w:r>
        <w:rPr>
          <w:rFonts w:hint="eastAsia" w:ascii="仿宋" w:hAnsi="仿宋" w:eastAsia="仿宋" w:cs="仿宋"/>
          <w:color w:val="auto"/>
          <w:sz w:val="24"/>
          <w:szCs w:val="24"/>
          <w:lang w:val="en-US" w:eastAsia="zh-CN"/>
        </w:rPr>
        <w:t>1</w:t>
      </w:r>
      <w:r>
        <w:rPr>
          <w:rFonts w:hint="eastAsia" w:ascii="仿宋" w:hAnsi="仿宋" w:eastAsia="仿宋" w:cs="仿宋"/>
          <w:color w:val="auto"/>
          <w:sz w:val="24"/>
          <w:szCs w:val="24"/>
        </w:rPr>
        <w:t>5个工作日内，</w:t>
      </w:r>
      <w:r>
        <w:rPr>
          <w:rFonts w:hint="eastAsia" w:ascii="仿宋" w:hAnsi="仿宋" w:eastAsia="仿宋" w:cs="仿宋"/>
          <w:color w:val="auto"/>
          <w:sz w:val="24"/>
          <w:szCs w:val="24"/>
          <w:lang w:eastAsia="zh-CN"/>
        </w:rPr>
        <w:t>由第三方监理机构协助需方</w:t>
      </w:r>
      <w:r>
        <w:rPr>
          <w:rFonts w:hint="eastAsia" w:ascii="仿宋" w:hAnsi="仿宋" w:eastAsia="仿宋" w:cs="仿宋"/>
          <w:color w:val="auto"/>
          <w:sz w:val="24"/>
          <w:szCs w:val="24"/>
        </w:rPr>
        <w:t>对</w:t>
      </w:r>
      <w:r>
        <w:rPr>
          <w:rFonts w:hint="eastAsia" w:ascii="仿宋" w:hAnsi="仿宋" w:eastAsia="仿宋" w:cs="仿宋"/>
          <w:color w:val="auto"/>
          <w:sz w:val="24"/>
          <w:szCs w:val="24"/>
          <w:lang w:eastAsia="zh-CN"/>
        </w:rPr>
        <w:t>供应商</w:t>
      </w:r>
      <w:r>
        <w:rPr>
          <w:rFonts w:hint="eastAsia" w:ascii="仿宋" w:hAnsi="仿宋" w:eastAsia="仿宋" w:cs="仿宋"/>
          <w:color w:val="auto"/>
          <w:sz w:val="24"/>
          <w:szCs w:val="24"/>
        </w:rPr>
        <w:t>的服务进行考评</w:t>
      </w:r>
      <w:r>
        <w:rPr>
          <w:rFonts w:hint="eastAsia" w:ascii="仿宋" w:hAnsi="仿宋" w:eastAsia="仿宋" w:cs="仿宋"/>
          <w:color w:val="auto"/>
          <w:sz w:val="24"/>
          <w:szCs w:val="24"/>
          <w:lang w:eastAsia="zh-CN"/>
        </w:rPr>
        <w:t>，协助需方完成服务</w:t>
      </w:r>
      <w:r>
        <w:rPr>
          <w:rFonts w:hint="eastAsia" w:ascii="仿宋" w:hAnsi="仿宋" w:eastAsia="仿宋" w:cs="仿宋"/>
          <w:color w:val="auto"/>
          <w:sz w:val="24"/>
          <w:szCs w:val="24"/>
        </w:rPr>
        <w:t>验收</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验收合格后出具期满证明或验收</w:t>
      </w:r>
      <w:r>
        <w:rPr>
          <w:rFonts w:hint="eastAsia" w:ascii="仿宋" w:hAnsi="仿宋" w:eastAsia="仿宋" w:cs="仿宋"/>
          <w:color w:val="auto"/>
          <w:sz w:val="24"/>
          <w:szCs w:val="24"/>
          <w:lang w:eastAsia="zh-CN"/>
        </w:rPr>
        <w:t>报告</w:t>
      </w:r>
      <w:r>
        <w:rPr>
          <w:rFonts w:hint="eastAsia" w:ascii="仿宋" w:hAnsi="仿宋" w:eastAsia="仿宋" w:cs="仿宋"/>
          <w:color w:val="auto"/>
          <w:sz w:val="24"/>
          <w:szCs w:val="24"/>
        </w:rPr>
        <w:t>。</w:t>
      </w:r>
    </w:p>
    <w:tbl>
      <w:tblPr>
        <w:tblStyle w:val="8"/>
        <w:tblW w:w="5000" w:type="pct"/>
        <w:tblInd w:w="0" w:type="dxa"/>
        <w:tblLayout w:type="autofit"/>
        <w:tblCellMar>
          <w:top w:w="0" w:type="dxa"/>
          <w:left w:w="108" w:type="dxa"/>
          <w:bottom w:w="0" w:type="dxa"/>
          <w:right w:w="108" w:type="dxa"/>
        </w:tblCellMar>
      </w:tblPr>
      <w:tblGrid>
        <w:gridCol w:w="540"/>
        <w:gridCol w:w="1072"/>
        <w:gridCol w:w="1256"/>
        <w:gridCol w:w="825"/>
        <w:gridCol w:w="682"/>
        <w:gridCol w:w="3300"/>
        <w:gridCol w:w="847"/>
      </w:tblGrid>
      <w:tr>
        <w:tblPrEx>
          <w:tblCellMar>
            <w:top w:w="0" w:type="dxa"/>
            <w:left w:w="108" w:type="dxa"/>
            <w:bottom w:w="0" w:type="dxa"/>
            <w:right w:w="108" w:type="dxa"/>
          </w:tblCellMar>
        </w:tblPrEx>
        <w:trPr>
          <w:trHeight w:val="463" w:hRule="atLeast"/>
        </w:trPr>
        <w:tc>
          <w:tcPr>
            <w:tcW w:w="5000" w:type="pct"/>
            <w:gridSpan w:val="7"/>
            <w:tcBorders>
              <w:top w:val="single" w:color="auto" w:sz="4" w:space="0"/>
              <w:left w:val="single" w:color="auto" w:sz="4" w:space="0"/>
              <w:bottom w:val="single" w:color="000000" w:sz="4" w:space="0"/>
              <w:right w:val="single" w:color="auto" w:sz="4" w:space="0"/>
            </w:tcBorders>
            <w:shd w:val="clear" w:color="auto" w:fill="FFFFFF"/>
            <w:vAlign w:val="center"/>
          </w:tcPr>
          <w:p>
            <w:pPr>
              <w:spacing w:line="360" w:lineRule="auto"/>
              <w:rPr>
                <w:rFonts w:hint="eastAsia" w:ascii="仿宋" w:hAnsi="仿宋" w:eastAsia="仿宋" w:cs="仿宋"/>
                <w:b/>
                <w:bCs/>
                <w:color w:val="auto"/>
              </w:rPr>
            </w:pPr>
            <w:r>
              <w:rPr>
                <w:rFonts w:hint="eastAsia" w:ascii="仿宋" w:hAnsi="仿宋" w:eastAsia="仿宋" w:cs="仿宋"/>
                <w:b/>
                <w:bCs/>
                <w:color w:val="auto"/>
              </w:rPr>
              <w:t>运维服务考评指标</w:t>
            </w:r>
          </w:p>
        </w:tc>
      </w:tr>
      <w:tr>
        <w:tblPrEx>
          <w:tblCellMar>
            <w:top w:w="0" w:type="dxa"/>
            <w:left w:w="108" w:type="dxa"/>
            <w:bottom w:w="0" w:type="dxa"/>
            <w:right w:w="108" w:type="dxa"/>
          </w:tblCellMar>
        </w:tblPrEx>
        <w:trPr>
          <w:trHeight w:val="667" w:hRule="atLeast"/>
        </w:trPr>
        <w:tc>
          <w:tcPr>
            <w:tcW w:w="317" w:type="pct"/>
            <w:vMerge w:val="restart"/>
            <w:tcBorders>
              <w:top w:val="nil"/>
              <w:left w:val="single" w:color="auto" w:sz="4" w:space="0"/>
              <w:bottom w:val="single" w:color="000000" w:sz="4" w:space="0"/>
              <w:right w:val="single" w:color="auto" w:sz="4" w:space="0"/>
            </w:tcBorders>
            <w:shd w:val="clear" w:color="auto" w:fill="FFFFFF"/>
            <w:vAlign w:val="center"/>
          </w:tcPr>
          <w:p>
            <w:pPr>
              <w:spacing w:line="360" w:lineRule="auto"/>
              <w:jc w:val="center"/>
              <w:rPr>
                <w:rFonts w:hint="eastAsia" w:ascii="仿宋" w:hAnsi="仿宋" w:eastAsia="仿宋" w:cs="仿宋"/>
                <w:b/>
                <w:color w:val="auto"/>
              </w:rPr>
            </w:pPr>
            <w:r>
              <w:rPr>
                <w:rFonts w:hint="eastAsia" w:ascii="仿宋" w:hAnsi="仿宋" w:eastAsia="仿宋" w:cs="仿宋"/>
                <w:b/>
                <w:color w:val="auto"/>
              </w:rPr>
              <w:t>大类</w:t>
            </w:r>
          </w:p>
        </w:tc>
        <w:tc>
          <w:tcPr>
            <w:tcW w:w="629" w:type="pct"/>
            <w:vMerge w:val="restart"/>
            <w:tcBorders>
              <w:top w:val="nil"/>
              <w:left w:val="single" w:color="auto" w:sz="4" w:space="0"/>
              <w:bottom w:val="single" w:color="000000" w:sz="4" w:space="0"/>
              <w:right w:val="single" w:color="auto" w:sz="4" w:space="0"/>
            </w:tcBorders>
            <w:shd w:val="clear" w:color="auto" w:fill="FFFFFF"/>
            <w:vAlign w:val="center"/>
          </w:tcPr>
          <w:p>
            <w:pPr>
              <w:spacing w:line="360" w:lineRule="auto"/>
              <w:jc w:val="center"/>
              <w:rPr>
                <w:rFonts w:hint="eastAsia" w:ascii="仿宋" w:hAnsi="仿宋" w:eastAsia="仿宋" w:cs="仿宋"/>
                <w:b/>
                <w:color w:val="auto"/>
              </w:rPr>
            </w:pPr>
            <w:r>
              <w:rPr>
                <w:rFonts w:hint="eastAsia" w:ascii="仿宋" w:hAnsi="仿宋" w:eastAsia="仿宋" w:cs="仿宋"/>
                <w:b/>
                <w:color w:val="auto"/>
              </w:rPr>
              <w:t>指标类别</w:t>
            </w:r>
          </w:p>
        </w:tc>
        <w:tc>
          <w:tcPr>
            <w:tcW w:w="737" w:type="pct"/>
            <w:vMerge w:val="restart"/>
            <w:tcBorders>
              <w:top w:val="nil"/>
              <w:left w:val="single" w:color="auto" w:sz="4" w:space="0"/>
              <w:bottom w:val="single" w:color="000000" w:sz="4" w:space="0"/>
              <w:right w:val="single" w:color="auto" w:sz="4" w:space="0"/>
            </w:tcBorders>
            <w:shd w:val="clear" w:color="auto" w:fill="FFFFFF"/>
            <w:vAlign w:val="center"/>
          </w:tcPr>
          <w:p>
            <w:pPr>
              <w:spacing w:line="360" w:lineRule="auto"/>
              <w:jc w:val="center"/>
              <w:rPr>
                <w:rFonts w:hint="eastAsia" w:ascii="仿宋" w:hAnsi="仿宋" w:eastAsia="仿宋" w:cs="仿宋"/>
                <w:b/>
                <w:color w:val="auto"/>
              </w:rPr>
            </w:pPr>
            <w:r>
              <w:rPr>
                <w:rFonts w:hint="eastAsia" w:ascii="仿宋" w:hAnsi="仿宋" w:eastAsia="仿宋" w:cs="仿宋"/>
                <w:b/>
                <w:color w:val="auto"/>
              </w:rPr>
              <w:t>指标</w:t>
            </w:r>
          </w:p>
        </w:tc>
        <w:tc>
          <w:tcPr>
            <w:tcW w:w="484" w:type="pct"/>
            <w:vMerge w:val="restart"/>
            <w:tcBorders>
              <w:top w:val="nil"/>
              <w:left w:val="single" w:color="auto" w:sz="4" w:space="0"/>
              <w:bottom w:val="single" w:color="000000" w:sz="4" w:space="0"/>
              <w:right w:val="single" w:color="auto" w:sz="4" w:space="0"/>
            </w:tcBorders>
            <w:shd w:val="clear" w:color="auto" w:fill="FFFFFF"/>
            <w:vAlign w:val="center"/>
          </w:tcPr>
          <w:p>
            <w:pPr>
              <w:spacing w:line="360" w:lineRule="auto"/>
              <w:jc w:val="center"/>
              <w:rPr>
                <w:rFonts w:hint="eastAsia" w:ascii="仿宋" w:hAnsi="仿宋" w:eastAsia="仿宋" w:cs="仿宋"/>
                <w:b/>
                <w:color w:val="auto"/>
              </w:rPr>
            </w:pPr>
            <w:r>
              <w:rPr>
                <w:rFonts w:hint="eastAsia" w:ascii="仿宋" w:hAnsi="仿宋" w:eastAsia="仿宋" w:cs="仿宋"/>
                <w:b/>
                <w:color w:val="auto"/>
              </w:rPr>
              <w:t>指标</w:t>
            </w:r>
          </w:p>
          <w:p>
            <w:pPr>
              <w:spacing w:line="360" w:lineRule="auto"/>
              <w:jc w:val="center"/>
              <w:rPr>
                <w:rFonts w:hint="eastAsia" w:ascii="仿宋" w:hAnsi="仿宋" w:eastAsia="仿宋" w:cs="仿宋"/>
                <w:b/>
                <w:color w:val="auto"/>
              </w:rPr>
            </w:pPr>
            <w:r>
              <w:rPr>
                <w:rFonts w:hint="eastAsia" w:ascii="仿宋" w:hAnsi="仿宋" w:eastAsia="仿宋" w:cs="仿宋"/>
                <w:b/>
                <w:color w:val="auto"/>
              </w:rPr>
              <w:t>阀值</w:t>
            </w:r>
          </w:p>
        </w:tc>
        <w:tc>
          <w:tcPr>
            <w:tcW w:w="400" w:type="pct"/>
            <w:vMerge w:val="restart"/>
            <w:tcBorders>
              <w:top w:val="nil"/>
              <w:left w:val="single" w:color="auto" w:sz="4" w:space="0"/>
              <w:bottom w:val="single" w:color="000000" w:sz="4" w:space="0"/>
              <w:right w:val="single" w:color="auto" w:sz="4" w:space="0"/>
            </w:tcBorders>
            <w:shd w:val="clear" w:color="auto" w:fill="FFFFFF"/>
            <w:vAlign w:val="center"/>
          </w:tcPr>
          <w:p>
            <w:pPr>
              <w:spacing w:line="360" w:lineRule="auto"/>
              <w:jc w:val="center"/>
              <w:rPr>
                <w:rFonts w:hint="eastAsia" w:ascii="仿宋" w:hAnsi="仿宋" w:eastAsia="仿宋" w:cs="仿宋"/>
                <w:b/>
                <w:color w:val="auto"/>
              </w:rPr>
            </w:pPr>
            <w:r>
              <w:rPr>
                <w:rFonts w:hint="eastAsia" w:ascii="仿宋" w:hAnsi="仿宋" w:eastAsia="仿宋" w:cs="仿宋"/>
                <w:b/>
                <w:color w:val="auto"/>
              </w:rPr>
              <w:t>考核占比</w:t>
            </w:r>
          </w:p>
        </w:tc>
        <w:tc>
          <w:tcPr>
            <w:tcW w:w="1936" w:type="pct"/>
            <w:vMerge w:val="restart"/>
            <w:tcBorders>
              <w:top w:val="nil"/>
              <w:left w:val="single" w:color="auto" w:sz="4" w:space="0"/>
              <w:bottom w:val="single" w:color="000000" w:sz="4" w:space="0"/>
              <w:right w:val="single" w:color="auto" w:sz="4" w:space="0"/>
            </w:tcBorders>
            <w:shd w:val="clear" w:color="auto" w:fill="FFFFFF"/>
            <w:vAlign w:val="center"/>
          </w:tcPr>
          <w:p>
            <w:pPr>
              <w:spacing w:line="360" w:lineRule="auto"/>
              <w:jc w:val="center"/>
              <w:rPr>
                <w:rFonts w:hint="eastAsia" w:ascii="仿宋" w:hAnsi="仿宋" w:eastAsia="仿宋" w:cs="仿宋"/>
                <w:b/>
                <w:color w:val="auto"/>
              </w:rPr>
            </w:pPr>
            <w:r>
              <w:rPr>
                <w:rFonts w:hint="eastAsia" w:ascii="仿宋" w:hAnsi="仿宋" w:eastAsia="仿宋" w:cs="仿宋"/>
                <w:b/>
                <w:color w:val="auto"/>
              </w:rPr>
              <w:t>计算方法</w:t>
            </w:r>
          </w:p>
        </w:tc>
        <w:tc>
          <w:tcPr>
            <w:tcW w:w="493" w:type="pct"/>
            <w:vMerge w:val="restart"/>
            <w:tcBorders>
              <w:top w:val="single" w:color="auto" w:sz="4" w:space="0"/>
              <w:left w:val="single" w:color="auto" w:sz="4" w:space="0"/>
              <w:bottom w:val="single" w:color="auto" w:sz="4" w:space="0"/>
              <w:right w:val="single" w:color="auto" w:sz="4" w:space="0"/>
            </w:tcBorders>
            <w:shd w:val="clear" w:color="auto" w:fill="FFFFFF"/>
            <w:vAlign w:val="center"/>
          </w:tcPr>
          <w:p>
            <w:pPr>
              <w:spacing w:line="360" w:lineRule="auto"/>
              <w:jc w:val="center"/>
              <w:rPr>
                <w:rFonts w:hint="eastAsia" w:ascii="仿宋" w:hAnsi="仿宋" w:eastAsia="仿宋" w:cs="仿宋"/>
                <w:b/>
                <w:color w:val="auto"/>
              </w:rPr>
            </w:pPr>
            <w:r>
              <w:rPr>
                <w:rFonts w:hint="eastAsia" w:ascii="仿宋" w:hAnsi="仿宋" w:eastAsia="仿宋" w:cs="仿宋"/>
                <w:b/>
                <w:color w:val="auto"/>
              </w:rPr>
              <w:t>频率</w:t>
            </w:r>
          </w:p>
        </w:tc>
      </w:tr>
      <w:tr>
        <w:tblPrEx>
          <w:tblCellMar>
            <w:top w:w="0" w:type="dxa"/>
            <w:left w:w="108" w:type="dxa"/>
            <w:bottom w:w="0" w:type="dxa"/>
            <w:right w:w="108" w:type="dxa"/>
          </w:tblCellMar>
        </w:tblPrEx>
        <w:trPr>
          <w:trHeight w:val="667" w:hRule="atLeast"/>
        </w:trPr>
        <w:tc>
          <w:tcPr>
            <w:tcW w:w="317" w:type="pct"/>
            <w:vMerge w:val="continue"/>
            <w:tcBorders>
              <w:top w:val="single" w:color="auto" w:sz="4" w:space="0"/>
              <w:left w:val="single" w:color="auto" w:sz="4" w:space="0"/>
              <w:bottom w:val="single" w:color="000000" w:sz="4" w:space="0"/>
              <w:right w:val="single" w:color="auto" w:sz="4" w:space="0"/>
            </w:tcBorders>
            <w:shd w:val="clear" w:color="auto" w:fill="FFFFFF"/>
            <w:vAlign w:val="center"/>
          </w:tcPr>
          <w:p>
            <w:pPr>
              <w:spacing w:line="360" w:lineRule="auto"/>
              <w:rPr>
                <w:rFonts w:hint="eastAsia" w:ascii="仿宋" w:hAnsi="仿宋" w:eastAsia="仿宋" w:cs="仿宋"/>
                <w:color w:val="auto"/>
              </w:rPr>
            </w:pPr>
          </w:p>
        </w:tc>
        <w:tc>
          <w:tcPr>
            <w:tcW w:w="629" w:type="pct"/>
            <w:vMerge w:val="continue"/>
            <w:tcBorders>
              <w:top w:val="single" w:color="auto" w:sz="4" w:space="0"/>
              <w:left w:val="single" w:color="auto" w:sz="4" w:space="0"/>
              <w:bottom w:val="single" w:color="000000" w:sz="4" w:space="0"/>
              <w:right w:val="single" w:color="auto" w:sz="4" w:space="0"/>
            </w:tcBorders>
            <w:shd w:val="clear" w:color="auto" w:fill="FFFFFF"/>
            <w:vAlign w:val="center"/>
          </w:tcPr>
          <w:p>
            <w:pPr>
              <w:spacing w:line="360" w:lineRule="auto"/>
              <w:rPr>
                <w:rFonts w:hint="eastAsia" w:ascii="仿宋" w:hAnsi="仿宋" w:eastAsia="仿宋" w:cs="仿宋"/>
                <w:color w:val="auto"/>
              </w:rPr>
            </w:pPr>
          </w:p>
        </w:tc>
        <w:tc>
          <w:tcPr>
            <w:tcW w:w="737" w:type="pct"/>
            <w:vMerge w:val="continue"/>
            <w:tcBorders>
              <w:top w:val="single" w:color="auto" w:sz="4" w:space="0"/>
              <w:left w:val="single" w:color="auto" w:sz="4" w:space="0"/>
              <w:bottom w:val="single" w:color="000000" w:sz="4" w:space="0"/>
              <w:right w:val="single" w:color="auto" w:sz="4" w:space="0"/>
            </w:tcBorders>
            <w:shd w:val="clear" w:color="auto" w:fill="FFFFFF"/>
            <w:vAlign w:val="center"/>
          </w:tcPr>
          <w:p>
            <w:pPr>
              <w:spacing w:line="360" w:lineRule="auto"/>
              <w:rPr>
                <w:rFonts w:hint="eastAsia" w:ascii="仿宋" w:hAnsi="仿宋" w:eastAsia="仿宋" w:cs="仿宋"/>
                <w:color w:val="auto"/>
              </w:rPr>
            </w:pPr>
          </w:p>
        </w:tc>
        <w:tc>
          <w:tcPr>
            <w:tcW w:w="484" w:type="pct"/>
            <w:vMerge w:val="continue"/>
            <w:tcBorders>
              <w:top w:val="single" w:color="auto" w:sz="4" w:space="0"/>
              <w:left w:val="single" w:color="auto" w:sz="4" w:space="0"/>
              <w:bottom w:val="single" w:color="000000" w:sz="4" w:space="0"/>
              <w:right w:val="single" w:color="auto" w:sz="4" w:space="0"/>
            </w:tcBorders>
            <w:shd w:val="clear" w:color="auto" w:fill="FFFFFF"/>
            <w:vAlign w:val="center"/>
          </w:tcPr>
          <w:p>
            <w:pPr>
              <w:spacing w:line="360" w:lineRule="auto"/>
              <w:rPr>
                <w:rFonts w:hint="eastAsia" w:ascii="仿宋" w:hAnsi="仿宋" w:eastAsia="仿宋" w:cs="仿宋"/>
                <w:color w:val="auto"/>
              </w:rPr>
            </w:pPr>
          </w:p>
        </w:tc>
        <w:tc>
          <w:tcPr>
            <w:tcW w:w="400" w:type="pct"/>
            <w:vMerge w:val="continue"/>
            <w:tcBorders>
              <w:top w:val="single" w:color="auto" w:sz="4" w:space="0"/>
              <w:left w:val="single" w:color="auto" w:sz="4" w:space="0"/>
              <w:bottom w:val="single" w:color="000000" w:sz="4" w:space="0"/>
              <w:right w:val="single" w:color="auto" w:sz="4" w:space="0"/>
            </w:tcBorders>
            <w:shd w:val="clear" w:color="auto" w:fill="FFFFFF"/>
            <w:vAlign w:val="center"/>
          </w:tcPr>
          <w:p>
            <w:pPr>
              <w:spacing w:line="360" w:lineRule="auto"/>
              <w:rPr>
                <w:rFonts w:hint="eastAsia" w:ascii="仿宋" w:hAnsi="仿宋" w:eastAsia="仿宋" w:cs="仿宋"/>
                <w:color w:val="auto"/>
              </w:rPr>
            </w:pPr>
          </w:p>
        </w:tc>
        <w:tc>
          <w:tcPr>
            <w:tcW w:w="1936" w:type="pct"/>
            <w:vMerge w:val="continue"/>
            <w:tcBorders>
              <w:top w:val="single" w:color="auto" w:sz="4" w:space="0"/>
              <w:left w:val="single" w:color="auto" w:sz="4" w:space="0"/>
              <w:bottom w:val="single" w:color="000000" w:sz="4" w:space="0"/>
              <w:right w:val="single" w:color="auto" w:sz="4" w:space="0"/>
            </w:tcBorders>
            <w:shd w:val="clear" w:color="auto" w:fill="FFFFFF"/>
            <w:vAlign w:val="center"/>
          </w:tcPr>
          <w:p>
            <w:pPr>
              <w:spacing w:line="360" w:lineRule="auto"/>
              <w:rPr>
                <w:rFonts w:hint="eastAsia" w:ascii="仿宋" w:hAnsi="仿宋" w:eastAsia="仿宋" w:cs="仿宋"/>
                <w:color w:val="auto"/>
              </w:rPr>
            </w:pPr>
          </w:p>
        </w:tc>
        <w:tc>
          <w:tcPr>
            <w:tcW w:w="493" w:type="pct"/>
            <w:vMerge w:val="continue"/>
            <w:tcBorders>
              <w:top w:val="single" w:color="auto" w:sz="4" w:space="0"/>
              <w:left w:val="single" w:color="auto" w:sz="4" w:space="0"/>
              <w:bottom w:val="single" w:color="auto" w:sz="4" w:space="0"/>
              <w:right w:val="single" w:color="auto" w:sz="4" w:space="0"/>
            </w:tcBorders>
            <w:shd w:val="clear" w:color="auto" w:fill="FFFFFF"/>
            <w:vAlign w:val="center"/>
          </w:tcPr>
          <w:p>
            <w:pPr>
              <w:spacing w:line="360" w:lineRule="auto"/>
              <w:rPr>
                <w:rFonts w:hint="eastAsia" w:ascii="仿宋" w:hAnsi="仿宋" w:eastAsia="仿宋" w:cs="仿宋"/>
                <w:color w:val="auto"/>
              </w:rPr>
            </w:pPr>
          </w:p>
        </w:tc>
      </w:tr>
      <w:tr>
        <w:tblPrEx>
          <w:tblCellMar>
            <w:top w:w="0" w:type="dxa"/>
            <w:left w:w="108" w:type="dxa"/>
            <w:bottom w:w="0" w:type="dxa"/>
            <w:right w:w="108" w:type="dxa"/>
          </w:tblCellMar>
        </w:tblPrEx>
        <w:trPr>
          <w:trHeight w:val="525" w:hRule="atLeast"/>
        </w:trPr>
        <w:tc>
          <w:tcPr>
            <w:tcW w:w="317" w:type="pct"/>
            <w:tcBorders>
              <w:top w:val="nil"/>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b/>
                <w:bCs/>
                <w:color w:val="auto"/>
              </w:rPr>
            </w:pPr>
            <w:r>
              <w:rPr>
                <w:rFonts w:hint="eastAsia" w:ascii="仿宋" w:hAnsi="仿宋" w:eastAsia="仿宋" w:cs="仿宋"/>
                <w:b/>
                <w:bCs/>
                <w:color w:val="auto"/>
              </w:rPr>
              <w:t>总体</w:t>
            </w:r>
          </w:p>
        </w:tc>
        <w:tc>
          <w:tcPr>
            <w:tcW w:w="629" w:type="pct"/>
            <w:tcBorders>
              <w:top w:val="nil"/>
              <w:left w:val="nil"/>
              <w:bottom w:val="single" w:color="auto" w:sz="4" w:space="0"/>
              <w:right w:val="single" w:color="auto" w:sz="4" w:space="0"/>
            </w:tcBorders>
            <w:vAlign w:val="center"/>
          </w:tcPr>
          <w:p>
            <w:pPr>
              <w:spacing w:line="360" w:lineRule="auto"/>
              <w:jc w:val="center"/>
              <w:rPr>
                <w:rFonts w:hint="eastAsia" w:ascii="仿宋" w:hAnsi="仿宋" w:eastAsia="仿宋" w:cs="仿宋"/>
                <w:color w:val="auto"/>
              </w:rPr>
            </w:pPr>
            <w:r>
              <w:rPr>
                <w:rFonts w:hint="eastAsia" w:ascii="仿宋" w:hAnsi="仿宋" w:eastAsia="仿宋" w:cs="仿宋"/>
                <w:color w:val="auto"/>
              </w:rPr>
              <w:t>客户满意度</w:t>
            </w:r>
          </w:p>
        </w:tc>
        <w:tc>
          <w:tcPr>
            <w:tcW w:w="737" w:type="pct"/>
            <w:tcBorders>
              <w:top w:val="nil"/>
              <w:left w:val="nil"/>
              <w:bottom w:val="single" w:color="auto" w:sz="4" w:space="0"/>
              <w:right w:val="single" w:color="auto" w:sz="4" w:space="0"/>
            </w:tcBorders>
            <w:vAlign w:val="center"/>
          </w:tcPr>
          <w:p>
            <w:pPr>
              <w:spacing w:line="360" w:lineRule="auto"/>
              <w:jc w:val="center"/>
              <w:rPr>
                <w:rFonts w:hint="eastAsia" w:ascii="仿宋" w:hAnsi="仿宋" w:eastAsia="仿宋" w:cs="仿宋"/>
                <w:color w:val="auto"/>
              </w:rPr>
            </w:pPr>
            <w:r>
              <w:rPr>
                <w:rFonts w:hint="eastAsia" w:ascii="仿宋" w:hAnsi="仿宋" w:eastAsia="仿宋" w:cs="仿宋"/>
                <w:color w:val="auto"/>
              </w:rPr>
              <w:t>运维服务客户满意度</w:t>
            </w:r>
          </w:p>
        </w:tc>
        <w:tc>
          <w:tcPr>
            <w:tcW w:w="484" w:type="pct"/>
            <w:tcBorders>
              <w:top w:val="nil"/>
              <w:left w:val="nil"/>
              <w:bottom w:val="single" w:color="auto" w:sz="4" w:space="0"/>
              <w:right w:val="single" w:color="auto" w:sz="4" w:space="0"/>
            </w:tcBorders>
            <w:vAlign w:val="center"/>
          </w:tcPr>
          <w:p>
            <w:pPr>
              <w:spacing w:line="360" w:lineRule="auto"/>
              <w:jc w:val="center"/>
              <w:rPr>
                <w:rFonts w:hint="eastAsia" w:ascii="仿宋" w:hAnsi="仿宋" w:eastAsia="仿宋" w:cs="仿宋"/>
                <w:color w:val="auto"/>
              </w:rPr>
            </w:pPr>
            <w:r>
              <w:rPr>
                <w:rFonts w:hint="eastAsia" w:ascii="仿宋" w:hAnsi="仿宋" w:eastAsia="仿宋" w:cs="仿宋"/>
                <w:color w:val="auto"/>
              </w:rPr>
              <w:t>≥9</w:t>
            </w:r>
            <w:r>
              <w:rPr>
                <w:rFonts w:hint="eastAsia" w:ascii="仿宋" w:hAnsi="仿宋" w:eastAsia="仿宋" w:cs="仿宋"/>
                <w:color w:val="auto"/>
                <w:lang w:val="en-US" w:eastAsia="zh-CN"/>
              </w:rPr>
              <w:t>8</w:t>
            </w:r>
            <w:r>
              <w:rPr>
                <w:rFonts w:hint="eastAsia" w:ascii="仿宋" w:hAnsi="仿宋" w:eastAsia="仿宋" w:cs="仿宋"/>
                <w:color w:val="auto"/>
              </w:rPr>
              <w:t>%</w:t>
            </w:r>
          </w:p>
        </w:tc>
        <w:tc>
          <w:tcPr>
            <w:tcW w:w="400" w:type="pct"/>
            <w:tcBorders>
              <w:top w:val="nil"/>
              <w:left w:val="nil"/>
              <w:bottom w:val="single" w:color="auto" w:sz="4" w:space="0"/>
              <w:right w:val="single" w:color="auto" w:sz="4" w:space="0"/>
            </w:tcBorders>
            <w:vAlign w:val="center"/>
          </w:tcPr>
          <w:p>
            <w:pPr>
              <w:spacing w:line="360" w:lineRule="auto"/>
              <w:jc w:val="center"/>
              <w:rPr>
                <w:rFonts w:hint="eastAsia" w:ascii="仿宋" w:hAnsi="仿宋" w:eastAsia="仿宋" w:cs="仿宋"/>
                <w:color w:val="auto"/>
              </w:rPr>
            </w:pPr>
            <w:r>
              <w:rPr>
                <w:rFonts w:hint="eastAsia" w:ascii="仿宋" w:hAnsi="仿宋" w:eastAsia="仿宋" w:cs="仿宋"/>
                <w:color w:val="auto"/>
              </w:rPr>
              <w:t>50%</w:t>
            </w:r>
          </w:p>
        </w:tc>
        <w:tc>
          <w:tcPr>
            <w:tcW w:w="1936" w:type="pct"/>
            <w:tcBorders>
              <w:top w:val="nil"/>
              <w:left w:val="nil"/>
              <w:bottom w:val="single" w:color="auto" w:sz="4" w:space="0"/>
              <w:right w:val="single" w:color="auto" w:sz="4" w:space="0"/>
            </w:tcBorders>
            <w:vAlign w:val="center"/>
          </w:tcPr>
          <w:p>
            <w:pPr>
              <w:spacing w:line="360" w:lineRule="auto"/>
              <w:rPr>
                <w:rFonts w:hint="eastAsia" w:ascii="仿宋" w:hAnsi="仿宋" w:eastAsia="仿宋" w:cs="仿宋"/>
                <w:color w:val="auto"/>
              </w:rPr>
            </w:pPr>
            <w:r>
              <w:rPr>
                <w:rFonts w:hint="eastAsia" w:ascii="仿宋" w:hAnsi="仿宋" w:eastAsia="仿宋" w:cs="仿宋"/>
                <w:color w:val="auto"/>
              </w:rPr>
              <w:t>运维服务直接客户满意、非常满意事件数/运维服务单总事件数</w:t>
            </w:r>
          </w:p>
        </w:tc>
        <w:tc>
          <w:tcPr>
            <w:tcW w:w="493" w:type="pct"/>
            <w:tcBorders>
              <w:top w:val="single" w:color="auto" w:sz="4" w:space="0"/>
              <w:left w:val="nil"/>
              <w:bottom w:val="single" w:color="auto" w:sz="4" w:space="0"/>
              <w:right w:val="single" w:color="auto" w:sz="4" w:space="0"/>
            </w:tcBorders>
            <w:vAlign w:val="center"/>
          </w:tcPr>
          <w:p>
            <w:pPr>
              <w:spacing w:line="360" w:lineRule="auto"/>
              <w:jc w:val="center"/>
              <w:rPr>
                <w:rFonts w:hint="eastAsia" w:ascii="仿宋" w:hAnsi="仿宋" w:eastAsia="仿宋" w:cs="仿宋"/>
                <w:color w:val="auto"/>
              </w:rPr>
            </w:pPr>
            <w:r>
              <w:rPr>
                <w:rFonts w:hint="eastAsia" w:ascii="仿宋" w:hAnsi="仿宋" w:eastAsia="仿宋" w:cs="仿宋"/>
                <w:color w:val="auto"/>
              </w:rPr>
              <w:t>年</w:t>
            </w:r>
          </w:p>
        </w:tc>
      </w:tr>
      <w:tr>
        <w:tblPrEx>
          <w:tblCellMar>
            <w:top w:w="0" w:type="dxa"/>
            <w:left w:w="108" w:type="dxa"/>
            <w:bottom w:w="0" w:type="dxa"/>
            <w:right w:w="108" w:type="dxa"/>
          </w:tblCellMar>
        </w:tblPrEx>
        <w:trPr>
          <w:trHeight w:val="90" w:hRule="atLeast"/>
        </w:trPr>
        <w:tc>
          <w:tcPr>
            <w:tcW w:w="317" w:type="pct"/>
            <w:vMerge w:val="restart"/>
            <w:tcBorders>
              <w:top w:val="single" w:color="auto" w:sz="4" w:space="0"/>
              <w:left w:val="single" w:color="auto" w:sz="4" w:space="0"/>
              <w:bottom w:val="single" w:color="auto" w:sz="4" w:space="0"/>
              <w:right w:val="single" w:color="auto" w:sz="4" w:space="0"/>
            </w:tcBorders>
            <w:vAlign w:val="center"/>
          </w:tcPr>
          <w:p>
            <w:pPr>
              <w:pStyle w:val="2"/>
              <w:ind w:left="0" w:leftChars="0" w:firstLine="0" w:firstLineChars="0"/>
              <w:rPr>
                <w:rFonts w:hint="eastAsia"/>
              </w:rPr>
            </w:pPr>
          </w:p>
          <w:p>
            <w:pPr>
              <w:spacing w:line="360" w:lineRule="auto"/>
              <w:jc w:val="both"/>
              <w:rPr>
                <w:rFonts w:hint="eastAsia" w:ascii="仿宋" w:hAnsi="仿宋" w:eastAsia="仿宋" w:cs="仿宋"/>
                <w:b/>
                <w:bCs/>
                <w:color w:val="auto"/>
              </w:rPr>
            </w:pPr>
            <w:r>
              <w:rPr>
                <w:rFonts w:hint="eastAsia" w:ascii="仿宋" w:hAnsi="仿宋" w:eastAsia="仿宋" w:cs="仿宋"/>
                <w:b/>
                <w:bCs/>
                <w:color w:val="auto"/>
              </w:rPr>
              <w:t>过程</w:t>
            </w:r>
          </w:p>
        </w:tc>
        <w:tc>
          <w:tcPr>
            <w:tcW w:w="629" w:type="pct"/>
            <w:tcBorders>
              <w:top w:val="single" w:color="auto" w:sz="4" w:space="0"/>
              <w:left w:val="nil"/>
              <w:bottom w:val="single" w:color="auto" w:sz="4" w:space="0"/>
              <w:right w:val="single" w:color="auto" w:sz="4" w:space="0"/>
            </w:tcBorders>
            <w:vAlign w:val="center"/>
          </w:tcPr>
          <w:p>
            <w:pPr>
              <w:spacing w:line="360" w:lineRule="auto"/>
              <w:jc w:val="center"/>
              <w:rPr>
                <w:rFonts w:hint="eastAsia" w:ascii="仿宋" w:hAnsi="仿宋" w:eastAsia="仿宋" w:cs="仿宋"/>
                <w:color w:val="auto"/>
              </w:rPr>
            </w:pPr>
            <w:r>
              <w:rPr>
                <w:rFonts w:hint="eastAsia" w:ascii="仿宋" w:hAnsi="仿宋" w:eastAsia="仿宋" w:cs="仿宋"/>
                <w:color w:val="auto"/>
              </w:rPr>
              <w:t>故障申告</w:t>
            </w:r>
          </w:p>
        </w:tc>
        <w:tc>
          <w:tcPr>
            <w:tcW w:w="737" w:type="pct"/>
            <w:tcBorders>
              <w:top w:val="single" w:color="auto" w:sz="4" w:space="0"/>
              <w:left w:val="nil"/>
              <w:bottom w:val="single" w:color="auto" w:sz="4" w:space="0"/>
              <w:right w:val="single" w:color="auto" w:sz="4" w:space="0"/>
            </w:tcBorders>
            <w:vAlign w:val="center"/>
          </w:tcPr>
          <w:p>
            <w:pPr>
              <w:spacing w:line="360" w:lineRule="auto"/>
              <w:jc w:val="center"/>
              <w:rPr>
                <w:rFonts w:hint="eastAsia" w:ascii="仿宋" w:hAnsi="仿宋" w:eastAsia="仿宋" w:cs="仿宋"/>
                <w:color w:val="auto"/>
              </w:rPr>
            </w:pPr>
            <w:r>
              <w:rPr>
                <w:rFonts w:hint="eastAsia" w:ascii="仿宋" w:hAnsi="仿宋" w:eastAsia="仿宋" w:cs="仿宋"/>
                <w:color w:val="auto"/>
              </w:rPr>
              <w:t>故障关单率</w:t>
            </w:r>
          </w:p>
        </w:tc>
        <w:tc>
          <w:tcPr>
            <w:tcW w:w="484" w:type="pct"/>
            <w:tcBorders>
              <w:top w:val="single" w:color="auto" w:sz="4" w:space="0"/>
              <w:left w:val="nil"/>
              <w:bottom w:val="single" w:color="auto" w:sz="4" w:space="0"/>
              <w:right w:val="single" w:color="auto" w:sz="4" w:space="0"/>
            </w:tcBorders>
            <w:vAlign w:val="center"/>
          </w:tcPr>
          <w:p>
            <w:pPr>
              <w:spacing w:line="360" w:lineRule="auto"/>
              <w:jc w:val="center"/>
              <w:rPr>
                <w:rFonts w:hint="eastAsia" w:ascii="仿宋" w:hAnsi="仿宋" w:eastAsia="仿宋" w:cs="仿宋"/>
                <w:color w:val="auto"/>
              </w:rPr>
            </w:pPr>
            <w:r>
              <w:rPr>
                <w:rFonts w:hint="eastAsia" w:ascii="仿宋" w:hAnsi="仿宋" w:eastAsia="仿宋" w:cs="仿宋"/>
                <w:color w:val="auto"/>
              </w:rPr>
              <w:t>≥99%</w:t>
            </w:r>
          </w:p>
        </w:tc>
        <w:tc>
          <w:tcPr>
            <w:tcW w:w="400" w:type="pct"/>
            <w:tcBorders>
              <w:top w:val="single" w:color="auto" w:sz="4" w:space="0"/>
              <w:left w:val="nil"/>
              <w:bottom w:val="single" w:color="auto" w:sz="4" w:space="0"/>
              <w:right w:val="single" w:color="auto" w:sz="4" w:space="0"/>
            </w:tcBorders>
            <w:vAlign w:val="center"/>
          </w:tcPr>
          <w:p>
            <w:pPr>
              <w:spacing w:line="360" w:lineRule="auto"/>
              <w:jc w:val="center"/>
              <w:rPr>
                <w:rFonts w:hint="eastAsia" w:ascii="仿宋" w:hAnsi="仿宋" w:eastAsia="仿宋" w:cs="仿宋"/>
                <w:color w:val="auto"/>
              </w:rPr>
            </w:pPr>
            <w:r>
              <w:rPr>
                <w:rFonts w:hint="eastAsia" w:ascii="仿宋" w:hAnsi="仿宋" w:eastAsia="仿宋" w:cs="仿宋"/>
                <w:color w:val="auto"/>
              </w:rPr>
              <w:t>20%</w:t>
            </w:r>
          </w:p>
        </w:tc>
        <w:tc>
          <w:tcPr>
            <w:tcW w:w="1936" w:type="pct"/>
            <w:tcBorders>
              <w:top w:val="single" w:color="auto" w:sz="4" w:space="0"/>
              <w:left w:val="nil"/>
              <w:bottom w:val="single" w:color="auto" w:sz="4" w:space="0"/>
              <w:right w:val="single" w:color="auto" w:sz="4" w:space="0"/>
            </w:tcBorders>
            <w:vAlign w:val="center"/>
          </w:tcPr>
          <w:p>
            <w:pPr>
              <w:spacing w:line="360" w:lineRule="auto"/>
              <w:rPr>
                <w:rFonts w:hint="eastAsia" w:ascii="仿宋" w:hAnsi="仿宋" w:eastAsia="仿宋" w:cs="仿宋"/>
                <w:color w:val="auto"/>
              </w:rPr>
            </w:pPr>
            <w:r>
              <w:rPr>
                <w:rFonts w:hint="eastAsia" w:ascii="仿宋" w:hAnsi="仿宋" w:eastAsia="仿宋" w:cs="仿宋"/>
                <w:color w:val="auto"/>
              </w:rPr>
              <w:t>问题被解决并在系统里已关单的总件数（关单时间必须与SLA挂钩）/故障总件数×100%</w:t>
            </w:r>
          </w:p>
        </w:tc>
        <w:tc>
          <w:tcPr>
            <w:tcW w:w="493" w:type="pct"/>
            <w:tcBorders>
              <w:top w:val="single" w:color="auto" w:sz="4" w:space="0"/>
              <w:left w:val="nil"/>
              <w:bottom w:val="single" w:color="auto" w:sz="4" w:space="0"/>
              <w:right w:val="single" w:color="auto" w:sz="4" w:space="0"/>
            </w:tcBorders>
            <w:vAlign w:val="center"/>
          </w:tcPr>
          <w:p>
            <w:pPr>
              <w:spacing w:line="360" w:lineRule="auto"/>
              <w:jc w:val="center"/>
              <w:rPr>
                <w:rFonts w:hint="eastAsia" w:ascii="仿宋" w:hAnsi="仿宋" w:eastAsia="仿宋" w:cs="仿宋"/>
                <w:color w:val="auto"/>
              </w:rPr>
            </w:pPr>
            <w:r>
              <w:rPr>
                <w:rFonts w:hint="eastAsia" w:ascii="仿宋" w:hAnsi="仿宋" w:eastAsia="仿宋" w:cs="仿宋"/>
                <w:color w:val="auto"/>
              </w:rPr>
              <w:t>年</w:t>
            </w:r>
          </w:p>
        </w:tc>
      </w:tr>
      <w:tr>
        <w:tblPrEx>
          <w:tblCellMar>
            <w:top w:w="0" w:type="dxa"/>
            <w:left w:w="108" w:type="dxa"/>
            <w:bottom w:w="0" w:type="dxa"/>
            <w:right w:w="108" w:type="dxa"/>
          </w:tblCellMar>
        </w:tblPrEx>
        <w:trPr>
          <w:trHeight w:val="1674" w:hRule="atLeast"/>
        </w:trPr>
        <w:tc>
          <w:tcPr>
            <w:tcW w:w="317" w:type="pct"/>
            <w:vMerge w:val="continue"/>
            <w:tcBorders>
              <w:top w:val="single" w:color="auto" w:sz="4" w:space="0"/>
              <w:left w:val="single" w:color="auto" w:sz="4" w:space="0"/>
              <w:bottom w:val="single" w:color="000000" w:sz="4" w:space="0"/>
              <w:right w:val="single" w:color="auto" w:sz="4" w:space="0"/>
            </w:tcBorders>
            <w:vAlign w:val="center"/>
          </w:tcPr>
          <w:p>
            <w:pPr>
              <w:spacing w:line="360" w:lineRule="auto"/>
              <w:rPr>
                <w:rFonts w:hint="eastAsia" w:ascii="仿宋" w:hAnsi="仿宋" w:eastAsia="仿宋" w:cs="仿宋"/>
                <w:b/>
                <w:bCs/>
                <w:color w:val="auto"/>
              </w:rPr>
            </w:pPr>
          </w:p>
        </w:tc>
        <w:tc>
          <w:tcPr>
            <w:tcW w:w="629"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color w:val="auto"/>
              </w:rPr>
            </w:pPr>
            <w:r>
              <w:rPr>
                <w:rFonts w:hint="eastAsia" w:ascii="仿宋" w:hAnsi="仿宋" w:eastAsia="仿宋" w:cs="仿宋"/>
                <w:color w:val="auto"/>
              </w:rPr>
              <w:t>月度例行工作计划</w:t>
            </w:r>
          </w:p>
        </w:tc>
        <w:tc>
          <w:tcPr>
            <w:tcW w:w="737" w:type="pct"/>
            <w:tcBorders>
              <w:top w:val="single" w:color="auto" w:sz="4" w:space="0"/>
              <w:left w:val="nil"/>
              <w:bottom w:val="single" w:color="auto" w:sz="4" w:space="0"/>
              <w:right w:val="single" w:color="auto" w:sz="4" w:space="0"/>
            </w:tcBorders>
            <w:vAlign w:val="center"/>
          </w:tcPr>
          <w:p>
            <w:pPr>
              <w:spacing w:line="360" w:lineRule="auto"/>
              <w:jc w:val="center"/>
              <w:rPr>
                <w:rFonts w:hint="eastAsia" w:ascii="仿宋" w:hAnsi="仿宋" w:eastAsia="仿宋" w:cs="仿宋"/>
                <w:color w:val="auto"/>
              </w:rPr>
            </w:pPr>
            <w:r>
              <w:rPr>
                <w:rFonts w:hint="eastAsia" w:ascii="仿宋" w:hAnsi="仿宋" w:eastAsia="仿宋" w:cs="仿宋"/>
                <w:color w:val="auto"/>
              </w:rPr>
              <w:t>计划达成率</w:t>
            </w:r>
          </w:p>
        </w:tc>
        <w:tc>
          <w:tcPr>
            <w:tcW w:w="484" w:type="pct"/>
            <w:tcBorders>
              <w:top w:val="single" w:color="auto" w:sz="4" w:space="0"/>
              <w:left w:val="nil"/>
              <w:bottom w:val="single" w:color="auto" w:sz="4" w:space="0"/>
              <w:right w:val="single" w:color="auto" w:sz="4" w:space="0"/>
            </w:tcBorders>
            <w:vAlign w:val="center"/>
          </w:tcPr>
          <w:p>
            <w:pPr>
              <w:spacing w:line="360" w:lineRule="auto"/>
              <w:jc w:val="center"/>
              <w:rPr>
                <w:rFonts w:hint="eastAsia" w:ascii="仿宋" w:hAnsi="仿宋" w:eastAsia="仿宋" w:cs="仿宋"/>
                <w:color w:val="auto"/>
              </w:rPr>
            </w:pPr>
            <w:r>
              <w:rPr>
                <w:rFonts w:hint="eastAsia" w:ascii="仿宋" w:hAnsi="仿宋" w:eastAsia="仿宋" w:cs="仿宋"/>
                <w:color w:val="auto"/>
              </w:rPr>
              <w:t>≥99%</w:t>
            </w:r>
          </w:p>
        </w:tc>
        <w:tc>
          <w:tcPr>
            <w:tcW w:w="400" w:type="pct"/>
            <w:tcBorders>
              <w:top w:val="single" w:color="auto" w:sz="4" w:space="0"/>
              <w:left w:val="nil"/>
              <w:bottom w:val="single" w:color="auto" w:sz="4" w:space="0"/>
              <w:right w:val="single" w:color="auto" w:sz="4" w:space="0"/>
            </w:tcBorders>
            <w:vAlign w:val="center"/>
          </w:tcPr>
          <w:p>
            <w:pPr>
              <w:spacing w:line="360" w:lineRule="auto"/>
              <w:jc w:val="center"/>
              <w:rPr>
                <w:rFonts w:hint="eastAsia" w:ascii="仿宋" w:hAnsi="仿宋" w:eastAsia="仿宋" w:cs="仿宋"/>
                <w:color w:val="auto"/>
              </w:rPr>
            </w:pPr>
            <w:r>
              <w:rPr>
                <w:rFonts w:hint="eastAsia" w:ascii="仿宋" w:hAnsi="仿宋" w:eastAsia="仿宋" w:cs="仿宋"/>
                <w:color w:val="auto"/>
              </w:rPr>
              <w:t>20%</w:t>
            </w:r>
          </w:p>
        </w:tc>
        <w:tc>
          <w:tcPr>
            <w:tcW w:w="1936" w:type="pct"/>
            <w:tcBorders>
              <w:top w:val="single" w:color="auto" w:sz="4" w:space="0"/>
              <w:left w:val="nil"/>
              <w:bottom w:val="single" w:color="auto" w:sz="4" w:space="0"/>
              <w:right w:val="single" w:color="auto" w:sz="4" w:space="0"/>
            </w:tcBorders>
            <w:vAlign w:val="center"/>
          </w:tcPr>
          <w:p>
            <w:pPr>
              <w:spacing w:line="360" w:lineRule="auto"/>
              <w:rPr>
                <w:rFonts w:hint="eastAsia" w:ascii="仿宋" w:hAnsi="仿宋" w:eastAsia="仿宋" w:cs="仿宋"/>
                <w:color w:val="auto"/>
              </w:rPr>
            </w:pPr>
            <w:r>
              <w:rPr>
                <w:rFonts w:hint="eastAsia" w:ascii="仿宋" w:hAnsi="仿宋" w:eastAsia="仿宋" w:cs="仿宋"/>
                <w:color w:val="auto"/>
              </w:rPr>
              <w:t>重点例行工作计划完成并审核通过的总数/计划安排工作总数×100%</w:t>
            </w:r>
          </w:p>
        </w:tc>
        <w:tc>
          <w:tcPr>
            <w:tcW w:w="493" w:type="pct"/>
            <w:tcBorders>
              <w:top w:val="single" w:color="auto" w:sz="4" w:space="0"/>
              <w:left w:val="nil"/>
              <w:bottom w:val="single" w:color="auto" w:sz="4" w:space="0"/>
              <w:right w:val="single" w:color="auto" w:sz="4" w:space="0"/>
            </w:tcBorders>
            <w:vAlign w:val="center"/>
          </w:tcPr>
          <w:p>
            <w:pPr>
              <w:spacing w:line="360" w:lineRule="auto"/>
              <w:jc w:val="center"/>
              <w:rPr>
                <w:rFonts w:hint="eastAsia" w:ascii="仿宋" w:hAnsi="仿宋" w:eastAsia="仿宋" w:cs="仿宋"/>
                <w:color w:val="auto"/>
              </w:rPr>
            </w:pPr>
            <w:r>
              <w:rPr>
                <w:rFonts w:hint="eastAsia" w:ascii="仿宋" w:hAnsi="仿宋" w:eastAsia="仿宋" w:cs="仿宋"/>
                <w:color w:val="auto"/>
              </w:rPr>
              <w:t>年</w:t>
            </w:r>
          </w:p>
        </w:tc>
      </w:tr>
      <w:tr>
        <w:tblPrEx>
          <w:tblCellMar>
            <w:top w:w="0" w:type="dxa"/>
            <w:left w:w="108" w:type="dxa"/>
            <w:bottom w:w="0" w:type="dxa"/>
            <w:right w:w="108" w:type="dxa"/>
          </w:tblCellMar>
        </w:tblPrEx>
        <w:trPr>
          <w:trHeight w:val="699" w:hRule="atLeast"/>
        </w:trPr>
        <w:tc>
          <w:tcPr>
            <w:tcW w:w="317" w:type="pct"/>
            <w:vMerge w:val="continue"/>
            <w:tcBorders>
              <w:top w:val="nil"/>
              <w:left w:val="single" w:color="auto" w:sz="4" w:space="0"/>
              <w:bottom w:val="single" w:color="000000" w:sz="4" w:space="0"/>
              <w:right w:val="single" w:color="auto" w:sz="4" w:space="0"/>
            </w:tcBorders>
            <w:vAlign w:val="center"/>
          </w:tcPr>
          <w:p>
            <w:pPr>
              <w:spacing w:line="360" w:lineRule="auto"/>
              <w:rPr>
                <w:rFonts w:hint="eastAsia" w:ascii="仿宋" w:hAnsi="仿宋" w:eastAsia="仿宋" w:cs="仿宋"/>
                <w:b/>
                <w:bCs/>
                <w:color w:val="auto"/>
              </w:rPr>
            </w:pPr>
          </w:p>
        </w:tc>
        <w:tc>
          <w:tcPr>
            <w:tcW w:w="629" w:type="pct"/>
            <w:tcBorders>
              <w:top w:val="single" w:color="auto" w:sz="4" w:space="0"/>
              <w:left w:val="nil"/>
              <w:bottom w:val="single" w:color="auto" w:sz="4" w:space="0"/>
              <w:right w:val="single" w:color="auto" w:sz="4" w:space="0"/>
            </w:tcBorders>
            <w:vAlign w:val="center"/>
          </w:tcPr>
          <w:p>
            <w:pPr>
              <w:spacing w:line="360" w:lineRule="auto"/>
              <w:jc w:val="center"/>
              <w:rPr>
                <w:rFonts w:hint="eastAsia" w:ascii="仿宋" w:hAnsi="仿宋" w:eastAsia="仿宋" w:cs="仿宋"/>
                <w:color w:val="auto"/>
              </w:rPr>
            </w:pPr>
            <w:r>
              <w:rPr>
                <w:rFonts w:hint="eastAsia" w:ascii="仿宋" w:hAnsi="仿宋" w:eastAsia="仿宋" w:cs="仿宋"/>
                <w:color w:val="auto"/>
              </w:rPr>
              <w:t>服务报告</w:t>
            </w:r>
          </w:p>
        </w:tc>
        <w:tc>
          <w:tcPr>
            <w:tcW w:w="737" w:type="pct"/>
            <w:tcBorders>
              <w:top w:val="single" w:color="auto" w:sz="4" w:space="0"/>
              <w:left w:val="nil"/>
              <w:bottom w:val="single" w:color="auto" w:sz="4" w:space="0"/>
              <w:right w:val="single" w:color="auto" w:sz="4" w:space="0"/>
            </w:tcBorders>
            <w:vAlign w:val="center"/>
          </w:tcPr>
          <w:p>
            <w:pPr>
              <w:spacing w:line="360" w:lineRule="auto"/>
              <w:jc w:val="center"/>
              <w:rPr>
                <w:rFonts w:hint="eastAsia" w:ascii="仿宋" w:hAnsi="仿宋" w:eastAsia="仿宋" w:cs="仿宋"/>
                <w:color w:val="auto"/>
              </w:rPr>
            </w:pPr>
            <w:r>
              <w:rPr>
                <w:rFonts w:hint="eastAsia" w:ascii="仿宋" w:hAnsi="仿宋" w:eastAsia="仿宋" w:cs="仿宋"/>
                <w:color w:val="auto"/>
              </w:rPr>
              <w:t>服务报告按时交付率</w:t>
            </w:r>
          </w:p>
        </w:tc>
        <w:tc>
          <w:tcPr>
            <w:tcW w:w="484" w:type="pct"/>
            <w:tcBorders>
              <w:top w:val="single" w:color="auto" w:sz="4" w:space="0"/>
              <w:left w:val="nil"/>
              <w:bottom w:val="single" w:color="auto" w:sz="4" w:space="0"/>
              <w:right w:val="single" w:color="auto" w:sz="4" w:space="0"/>
            </w:tcBorders>
            <w:vAlign w:val="center"/>
          </w:tcPr>
          <w:p>
            <w:pPr>
              <w:spacing w:line="360" w:lineRule="auto"/>
              <w:jc w:val="center"/>
              <w:rPr>
                <w:rFonts w:hint="eastAsia" w:ascii="仿宋" w:hAnsi="仿宋" w:eastAsia="仿宋" w:cs="仿宋"/>
                <w:color w:val="auto"/>
              </w:rPr>
            </w:pPr>
            <w:r>
              <w:rPr>
                <w:rFonts w:hint="eastAsia" w:ascii="仿宋" w:hAnsi="仿宋" w:eastAsia="仿宋" w:cs="仿宋"/>
                <w:color w:val="auto"/>
              </w:rPr>
              <w:t>≥100%</w:t>
            </w:r>
          </w:p>
        </w:tc>
        <w:tc>
          <w:tcPr>
            <w:tcW w:w="400" w:type="pct"/>
            <w:tcBorders>
              <w:top w:val="single" w:color="auto" w:sz="4" w:space="0"/>
              <w:left w:val="nil"/>
              <w:bottom w:val="single" w:color="auto" w:sz="4" w:space="0"/>
              <w:right w:val="single" w:color="auto" w:sz="4" w:space="0"/>
            </w:tcBorders>
            <w:vAlign w:val="center"/>
          </w:tcPr>
          <w:p>
            <w:pPr>
              <w:spacing w:line="360" w:lineRule="auto"/>
              <w:jc w:val="center"/>
              <w:rPr>
                <w:rFonts w:hint="eastAsia" w:ascii="仿宋" w:hAnsi="仿宋" w:eastAsia="仿宋" w:cs="仿宋"/>
                <w:color w:val="auto"/>
              </w:rPr>
            </w:pPr>
            <w:r>
              <w:rPr>
                <w:rFonts w:hint="eastAsia" w:ascii="仿宋" w:hAnsi="仿宋" w:eastAsia="仿宋" w:cs="仿宋"/>
                <w:color w:val="auto"/>
              </w:rPr>
              <w:t>10%</w:t>
            </w:r>
          </w:p>
        </w:tc>
        <w:tc>
          <w:tcPr>
            <w:tcW w:w="1936" w:type="pct"/>
            <w:tcBorders>
              <w:top w:val="single" w:color="auto" w:sz="4" w:space="0"/>
              <w:left w:val="nil"/>
              <w:bottom w:val="single" w:color="auto" w:sz="4" w:space="0"/>
              <w:right w:val="single" w:color="auto" w:sz="4" w:space="0"/>
            </w:tcBorders>
            <w:vAlign w:val="center"/>
          </w:tcPr>
          <w:p>
            <w:pPr>
              <w:spacing w:line="360" w:lineRule="auto"/>
              <w:rPr>
                <w:rFonts w:hint="eastAsia" w:ascii="仿宋" w:hAnsi="仿宋" w:eastAsia="仿宋" w:cs="仿宋"/>
                <w:color w:val="auto"/>
              </w:rPr>
            </w:pPr>
            <w:r>
              <w:rPr>
                <w:rFonts w:hint="eastAsia" w:ascii="仿宋" w:hAnsi="仿宋" w:eastAsia="仿宋" w:cs="仿宋"/>
                <w:color w:val="auto"/>
              </w:rPr>
              <w:t>服务报告按时交付数/服务报告总×100%；按时交付是指：按合同约定的时间交付服务报告</w:t>
            </w:r>
          </w:p>
        </w:tc>
        <w:tc>
          <w:tcPr>
            <w:tcW w:w="493" w:type="pct"/>
            <w:tcBorders>
              <w:top w:val="single" w:color="auto" w:sz="4" w:space="0"/>
              <w:left w:val="nil"/>
              <w:bottom w:val="single" w:color="auto" w:sz="4" w:space="0"/>
              <w:right w:val="single" w:color="auto" w:sz="4" w:space="0"/>
            </w:tcBorders>
            <w:vAlign w:val="center"/>
          </w:tcPr>
          <w:p>
            <w:pPr>
              <w:spacing w:line="360" w:lineRule="auto"/>
              <w:jc w:val="center"/>
              <w:rPr>
                <w:rFonts w:hint="eastAsia" w:ascii="仿宋" w:hAnsi="仿宋" w:eastAsia="仿宋" w:cs="仿宋"/>
                <w:color w:val="auto"/>
              </w:rPr>
            </w:pPr>
            <w:r>
              <w:rPr>
                <w:rFonts w:hint="eastAsia" w:ascii="仿宋" w:hAnsi="仿宋" w:eastAsia="仿宋" w:cs="仿宋"/>
                <w:color w:val="auto"/>
              </w:rPr>
              <w:t>年</w:t>
            </w:r>
          </w:p>
        </w:tc>
      </w:tr>
    </w:tbl>
    <w:p>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考核成绩＝</w:t>
      </w:r>
      <w:r>
        <w:rPr>
          <w:rFonts w:hint="eastAsia" w:ascii="仿宋" w:hAnsi="仿宋" w:eastAsia="仿宋" w:cs="仿宋"/>
          <w:color w:val="auto"/>
          <w:sz w:val="24"/>
          <w:szCs w:val="24"/>
          <w:lang w:eastAsia="zh-CN"/>
        </w:rPr>
        <w:t>供应商</w:t>
      </w:r>
      <w:r>
        <w:rPr>
          <w:rFonts w:hint="eastAsia" w:ascii="仿宋" w:hAnsi="仿宋" w:eastAsia="仿宋" w:cs="仿宋"/>
          <w:color w:val="auto"/>
          <w:sz w:val="24"/>
          <w:szCs w:val="24"/>
        </w:rPr>
        <w:t>服务评价指标月度评分</w:t>
      </w:r>
    </w:p>
    <w:p>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月度考核分数&gt;90分，</w:t>
      </w:r>
      <w:r>
        <w:rPr>
          <w:rFonts w:hint="eastAsia" w:ascii="仿宋" w:hAnsi="仿宋" w:eastAsia="仿宋" w:cs="仿宋"/>
          <w:color w:val="auto"/>
          <w:sz w:val="24"/>
          <w:szCs w:val="24"/>
          <w:lang w:val="en-US" w:eastAsia="zh-CN"/>
        </w:rPr>
        <w:t>武汉市投资促进局</w:t>
      </w:r>
      <w:r>
        <w:rPr>
          <w:rFonts w:hint="eastAsia" w:ascii="仿宋" w:hAnsi="仿宋" w:eastAsia="仿宋" w:cs="仿宋"/>
          <w:color w:val="auto"/>
          <w:sz w:val="24"/>
          <w:szCs w:val="24"/>
        </w:rPr>
        <w:t>全额支付余下的100%服务费用；</w:t>
      </w:r>
    </w:p>
    <w:p>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月度考核分数&gt;60分，</w:t>
      </w:r>
      <w:r>
        <w:rPr>
          <w:rFonts w:hint="eastAsia" w:ascii="仿宋" w:hAnsi="仿宋" w:eastAsia="仿宋" w:cs="仿宋"/>
          <w:color w:val="auto"/>
          <w:sz w:val="24"/>
          <w:szCs w:val="24"/>
          <w:lang w:val="en-US" w:eastAsia="zh-CN"/>
        </w:rPr>
        <w:t>武汉市投资促进局</w:t>
      </w:r>
      <w:r>
        <w:rPr>
          <w:rFonts w:hint="eastAsia" w:ascii="仿宋" w:hAnsi="仿宋" w:eastAsia="仿宋" w:cs="仿宋"/>
          <w:color w:val="auto"/>
          <w:sz w:val="24"/>
          <w:szCs w:val="24"/>
        </w:rPr>
        <w:t>按考核分数比例支付余下的服务费用；</w:t>
      </w:r>
    </w:p>
    <w:p>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月度考核分数&lt;60分，</w:t>
      </w:r>
      <w:r>
        <w:rPr>
          <w:rFonts w:hint="eastAsia" w:ascii="仿宋" w:hAnsi="仿宋" w:eastAsia="仿宋" w:cs="仿宋"/>
          <w:color w:val="auto"/>
          <w:sz w:val="24"/>
          <w:szCs w:val="24"/>
          <w:lang w:val="en-US" w:eastAsia="zh-CN"/>
        </w:rPr>
        <w:t>武汉市投资促进局</w:t>
      </w:r>
      <w:r>
        <w:rPr>
          <w:rFonts w:hint="eastAsia" w:ascii="仿宋" w:hAnsi="仿宋" w:eastAsia="仿宋" w:cs="仿宋"/>
          <w:color w:val="auto"/>
          <w:sz w:val="24"/>
          <w:szCs w:val="24"/>
        </w:rPr>
        <w:t>不支付余下的服务费用；</w:t>
      </w:r>
    </w:p>
    <w:p>
      <w:pPr>
        <w:spacing w:line="360" w:lineRule="auto"/>
        <w:ind w:firstLine="480" w:firstLineChars="200"/>
        <w:rPr>
          <w:rFonts w:hint="eastAsia" w:ascii="仿宋" w:hAnsi="仿宋" w:eastAsia="仿宋" w:cs="仿宋"/>
          <w:color w:val="auto"/>
          <w:lang w:eastAsia="zh-CN"/>
        </w:rPr>
      </w:pPr>
      <w:r>
        <w:rPr>
          <w:rFonts w:hint="eastAsia" w:ascii="仿宋" w:hAnsi="仿宋" w:eastAsia="仿宋" w:cs="仿宋"/>
          <w:color w:val="auto"/>
          <w:sz w:val="24"/>
          <w:szCs w:val="24"/>
        </w:rPr>
        <w:t>注：以上指标双方可根据项目推进不同的阶段，对指标进行调整。</w:t>
      </w:r>
    </w:p>
    <w:bookmarkEnd w:id="41"/>
    <w:bookmarkEnd w:id="42"/>
    <w:bookmarkEnd w:id="43"/>
    <w:bookmarkEnd w:id="44"/>
    <w:bookmarkEnd w:id="45"/>
    <w:p>
      <w:pPr>
        <w:pStyle w:val="3"/>
        <w:spacing w:line="360" w:lineRule="auto"/>
        <w:ind w:firstLine="562" w:firstLineChars="175"/>
        <w:rPr>
          <w:rFonts w:hint="eastAsia" w:ascii="仿宋" w:hAnsi="仿宋" w:eastAsia="仿宋" w:cs="仿宋"/>
          <w:color w:val="auto"/>
          <w:szCs w:val="24"/>
        </w:rPr>
      </w:pPr>
      <w:bookmarkStart w:id="49" w:name="_Toc17292"/>
      <w:bookmarkEnd w:id="49"/>
      <w:bookmarkStart w:id="50" w:name="_Toc6705"/>
      <w:bookmarkEnd w:id="50"/>
      <w:bookmarkStart w:id="51" w:name="_Toc19737"/>
      <w:bookmarkEnd w:id="51"/>
      <w:r>
        <w:rPr>
          <w:rFonts w:hint="eastAsia" w:ascii="仿宋" w:hAnsi="仿宋" w:eastAsia="仿宋" w:cs="仿宋"/>
          <w:color w:val="auto"/>
          <w:szCs w:val="24"/>
          <w:lang w:eastAsia="zh-CN"/>
        </w:rPr>
        <w:t>六</w:t>
      </w:r>
      <w:r>
        <w:rPr>
          <w:rFonts w:hint="eastAsia" w:ascii="仿宋" w:hAnsi="仿宋" w:eastAsia="仿宋" w:cs="仿宋"/>
          <w:color w:val="auto"/>
          <w:szCs w:val="24"/>
        </w:rPr>
        <w:t>、外包维护工作的其他要求</w:t>
      </w:r>
    </w:p>
    <w:p>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.1</w:t>
      </w:r>
      <w:r>
        <w:rPr>
          <w:rFonts w:hint="eastAsia" w:ascii="仿宋" w:hAnsi="仿宋" w:eastAsia="仿宋" w:cs="仿宋"/>
          <w:color w:val="auto"/>
          <w:sz w:val="24"/>
          <w:szCs w:val="24"/>
          <w:lang w:val="en-US" w:eastAsia="zh-CN"/>
        </w:rPr>
        <w:t>武汉市投资促进局</w:t>
      </w:r>
      <w:r>
        <w:rPr>
          <w:rFonts w:hint="eastAsia" w:ascii="仿宋" w:hAnsi="仿宋" w:eastAsia="仿宋" w:cs="仿宋"/>
          <w:color w:val="auto"/>
          <w:sz w:val="24"/>
          <w:szCs w:val="24"/>
        </w:rPr>
        <w:t>只提供办公场所，所有外包服务所需的终端设备、调试设备均由服务商自行提供。</w:t>
      </w:r>
    </w:p>
    <w:p>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.2在考核时间段内，所有驻场人员均需接受</w:t>
      </w:r>
      <w:r>
        <w:rPr>
          <w:rFonts w:hint="eastAsia" w:ascii="仿宋" w:hAnsi="仿宋" w:eastAsia="仿宋" w:cs="仿宋"/>
          <w:color w:val="auto"/>
          <w:sz w:val="24"/>
          <w:szCs w:val="24"/>
          <w:lang w:val="en-US" w:eastAsia="zh-CN"/>
        </w:rPr>
        <w:t>武汉市投资促进局</w:t>
      </w:r>
      <w:r>
        <w:rPr>
          <w:rFonts w:hint="eastAsia" w:ascii="仿宋" w:hAnsi="仿宋" w:eastAsia="仿宋" w:cs="仿宋"/>
          <w:color w:val="auto"/>
          <w:sz w:val="24"/>
          <w:szCs w:val="24"/>
        </w:rPr>
        <w:t>的考核和评估，合格后的人员变更需提交变更申请，在</w:t>
      </w:r>
      <w:r>
        <w:rPr>
          <w:rFonts w:hint="eastAsia" w:ascii="仿宋" w:hAnsi="仿宋" w:eastAsia="仿宋" w:cs="仿宋"/>
          <w:color w:val="auto"/>
          <w:sz w:val="24"/>
          <w:szCs w:val="24"/>
          <w:lang w:val="en-US" w:eastAsia="zh-CN"/>
        </w:rPr>
        <w:t>市投资促进局</w:t>
      </w:r>
      <w:r>
        <w:rPr>
          <w:rFonts w:hint="eastAsia" w:ascii="仿宋" w:hAnsi="仿宋" w:eastAsia="仿宋" w:cs="仿宋"/>
          <w:color w:val="auto"/>
          <w:sz w:val="24"/>
          <w:szCs w:val="24"/>
        </w:rPr>
        <w:t>批准后方可变更。</w:t>
      </w:r>
    </w:p>
    <w:p>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.3</w:t>
      </w:r>
      <w:r>
        <w:rPr>
          <w:rFonts w:hint="eastAsia" w:ascii="仿宋" w:hAnsi="仿宋" w:eastAsia="仿宋" w:cs="仿宋"/>
          <w:color w:val="auto"/>
          <w:sz w:val="24"/>
          <w:szCs w:val="24"/>
          <w:lang w:val="en-US" w:eastAsia="zh-CN"/>
        </w:rPr>
        <w:t>武汉市投资促进局</w:t>
      </w:r>
      <w:r>
        <w:rPr>
          <w:rFonts w:hint="eastAsia" w:ascii="仿宋" w:hAnsi="仿宋" w:eastAsia="仿宋" w:cs="仿宋"/>
          <w:color w:val="auto"/>
          <w:sz w:val="24"/>
          <w:szCs w:val="24"/>
        </w:rPr>
        <w:t>审核，未经认可不得随意更换通过评估的工程师。</w:t>
      </w:r>
    </w:p>
    <w:p>
      <w:pPr>
        <w:rPr>
          <w:color w:val="auto"/>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lvl w:ilvl="0" w:tentative="0">
      <w:start w:val="4"/>
      <w:numFmt w:val="chineseCounting"/>
      <w:suff w:val="nothing"/>
      <w:lvlText w:val="%1、"/>
      <w:lvlJc w:val="left"/>
      <w:rPr>
        <w:rFonts w:hint="eastAsia"/>
      </w:rPr>
    </w:lvl>
  </w:abstractNum>
  <w:abstractNum w:abstractNumId="1">
    <w:nsid w:val="00000002"/>
    <w:multiLevelType w:val="multilevel"/>
    <w:tmpl w:val="00000002"/>
    <w:lvl w:ilvl="0" w:tentative="0">
      <w:start w:val="1"/>
      <w:numFmt w:val="bullet"/>
      <w:lvlText w:val=""/>
      <w:lvlJc w:val="left"/>
      <w:pPr>
        <w:tabs>
          <w:tab w:val="left" w:pos="0"/>
        </w:tabs>
        <w:ind w:left="0" w:hanging="420"/>
      </w:pPr>
      <w:rPr>
        <w:rFonts w:hint="default" w:ascii="Wingdings" w:hAnsi="Wingdings"/>
      </w:rPr>
    </w:lvl>
    <w:lvl w:ilvl="1" w:tentative="0">
      <w:start w:val="1"/>
      <w:numFmt w:val="bullet"/>
      <w:lvlText w:val=""/>
      <w:lvlJc w:val="left"/>
      <w:pPr>
        <w:tabs>
          <w:tab w:val="left" w:pos="420"/>
        </w:tabs>
        <w:ind w:left="420" w:hanging="420"/>
      </w:pPr>
      <w:rPr>
        <w:rFonts w:hint="default" w:ascii="Wingdings" w:hAnsi="Wingdings"/>
      </w:rPr>
    </w:lvl>
    <w:lvl w:ilvl="2" w:tentative="0">
      <w:start w:val="1"/>
      <w:numFmt w:val="bullet"/>
      <w:lvlText w:val=""/>
      <w:lvlJc w:val="left"/>
      <w:pPr>
        <w:tabs>
          <w:tab w:val="left" w:pos="840"/>
        </w:tabs>
        <w:ind w:left="840" w:hanging="420"/>
      </w:pPr>
      <w:rPr>
        <w:rFonts w:hint="default" w:ascii="Wingdings" w:hAnsi="Wingdings"/>
      </w:rPr>
    </w:lvl>
    <w:lvl w:ilvl="3" w:tentative="0">
      <w:start w:val="1"/>
      <w:numFmt w:val="bullet"/>
      <w:lvlText w:val=""/>
      <w:lvlJc w:val="left"/>
      <w:pPr>
        <w:tabs>
          <w:tab w:val="left" w:pos="1260"/>
        </w:tabs>
        <w:ind w:left="1260" w:hanging="420"/>
      </w:pPr>
      <w:rPr>
        <w:rFonts w:hint="default" w:ascii="Wingdings" w:hAnsi="Wingdings"/>
      </w:rPr>
    </w:lvl>
    <w:lvl w:ilvl="4" w:tentative="0">
      <w:start w:val="1"/>
      <w:numFmt w:val="bullet"/>
      <w:lvlText w:val=""/>
      <w:lvlJc w:val="left"/>
      <w:pPr>
        <w:tabs>
          <w:tab w:val="left" w:pos="1680"/>
        </w:tabs>
        <w:ind w:left="1680" w:hanging="420"/>
      </w:pPr>
      <w:rPr>
        <w:rFonts w:hint="default" w:ascii="Wingdings" w:hAnsi="Wingdings"/>
      </w:rPr>
    </w:lvl>
    <w:lvl w:ilvl="5" w:tentative="0">
      <w:start w:val="1"/>
      <w:numFmt w:val="bullet"/>
      <w:lvlText w:val=""/>
      <w:lvlJc w:val="left"/>
      <w:pPr>
        <w:tabs>
          <w:tab w:val="left" w:pos="2100"/>
        </w:tabs>
        <w:ind w:left="2100" w:hanging="420"/>
      </w:pPr>
      <w:rPr>
        <w:rFonts w:hint="default" w:ascii="Wingdings" w:hAnsi="Wingdings"/>
      </w:rPr>
    </w:lvl>
    <w:lvl w:ilvl="6" w:tentative="0">
      <w:start w:val="1"/>
      <w:numFmt w:val="bullet"/>
      <w:lvlText w:val=""/>
      <w:lvlJc w:val="left"/>
      <w:pPr>
        <w:tabs>
          <w:tab w:val="left" w:pos="2520"/>
        </w:tabs>
        <w:ind w:left="2520" w:hanging="420"/>
      </w:pPr>
      <w:rPr>
        <w:rFonts w:hint="default" w:ascii="Wingdings" w:hAnsi="Wingdings"/>
      </w:rPr>
    </w:lvl>
    <w:lvl w:ilvl="7" w:tentative="0">
      <w:start w:val="1"/>
      <w:numFmt w:val="bullet"/>
      <w:lvlText w:val=""/>
      <w:lvlJc w:val="left"/>
      <w:pPr>
        <w:tabs>
          <w:tab w:val="left" w:pos="2940"/>
        </w:tabs>
        <w:ind w:left="2940" w:hanging="420"/>
      </w:pPr>
      <w:rPr>
        <w:rFonts w:hint="default" w:ascii="Wingdings" w:hAnsi="Wingdings"/>
      </w:rPr>
    </w:lvl>
    <w:lvl w:ilvl="8" w:tentative="0">
      <w:start w:val="1"/>
      <w:numFmt w:val="bullet"/>
      <w:lvlText w:val=""/>
      <w:lvlJc w:val="left"/>
      <w:pPr>
        <w:tabs>
          <w:tab w:val="left" w:pos="3360"/>
        </w:tabs>
        <w:ind w:left="3360" w:hanging="420"/>
      </w:pPr>
      <w:rPr>
        <w:rFonts w:hint="default" w:ascii="Wingdings" w:hAnsi="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4D426D8"/>
    <w:rsid w:val="0C811FDB"/>
    <w:rsid w:val="14DE7E69"/>
    <w:rsid w:val="24D426D8"/>
    <w:rsid w:val="251178F3"/>
    <w:rsid w:val="3B494330"/>
    <w:rsid w:val="3DB5051B"/>
    <w:rsid w:val="3E374DBA"/>
    <w:rsid w:val="495710D2"/>
    <w:rsid w:val="53374BE3"/>
    <w:rsid w:val="6DCB02E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宋体"/>
      <w:kern w:val="2"/>
      <w:sz w:val="21"/>
      <w:szCs w:val="22"/>
      <w:lang w:val="en-US" w:eastAsia="zh-CN" w:bidi="ar-SA"/>
    </w:rPr>
  </w:style>
  <w:style w:type="paragraph" w:styleId="3">
    <w:name w:val="heading 2"/>
    <w:basedOn w:val="1"/>
    <w:next w:val="1"/>
    <w:qFormat/>
    <w:uiPriority w:val="9"/>
    <w:pPr>
      <w:keepNext/>
      <w:keepLines/>
      <w:spacing w:before="260" w:after="260" w:line="416" w:lineRule="auto"/>
      <w:outlineLvl w:val="1"/>
    </w:pPr>
    <w:rPr>
      <w:rFonts w:ascii="Cambria" w:hAnsi="Cambria" w:eastAsia="宋体" w:cs="宋体"/>
      <w:b/>
      <w:bCs/>
      <w:sz w:val="32"/>
      <w:szCs w:val="32"/>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customStyle="1" w:styleId="2">
    <w:name w:val="01 正文-首行缩进2字符"/>
    <w:basedOn w:val="1"/>
    <w:qFormat/>
    <w:uiPriority w:val="0"/>
    <w:pPr>
      <w:spacing w:before="50" w:beforeLines="50" w:after="50" w:afterLines="50" w:line="360" w:lineRule="auto"/>
      <w:ind w:firstLine="200" w:firstLineChars="200"/>
    </w:pPr>
    <w:rPr>
      <w:rFonts w:ascii="Arial" w:hAnsi="Arial" w:eastAsia="宋体"/>
      <w:color w:val="000000"/>
      <w:sz w:val="24"/>
    </w:rPr>
  </w:style>
  <w:style w:type="paragraph" w:styleId="4">
    <w:name w:val="annotation text"/>
    <w:basedOn w:val="1"/>
    <w:qFormat/>
    <w:uiPriority w:val="99"/>
    <w:pPr>
      <w:jc w:val="left"/>
    </w:pPr>
  </w:style>
  <w:style w:type="paragraph" w:styleId="5">
    <w:name w:val="Body Text"/>
    <w:basedOn w:val="1"/>
    <w:qFormat/>
    <w:uiPriority w:val="99"/>
    <w:pPr>
      <w:spacing w:after="120"/>
    </w:pPr>
  </w:style>
  <w:style w:type="paragraph" w:styleId="6">
    <w:name w:val="footer"/>
    <w:basedOn w:val="1"/>
    <w:qFormat/>
    <w:uiPriority w:val="99"/>
    <w:pPr>
      <w:tabs>
        <w:tab w:val="center" w:pos="4153"/>
        <w:tab w:val="right" w:pos="8306"/>
      </w:tabs>
      <w:snapToGrid w:val="0"/>
      <w:jc w:val="left"/>
    </w:pPr>
    <w:rPr>
      <w:sz w:val="18"/>
      <w:szCs w:val="18"/>
    </w:rPr>
  </w:style>
  <w:style w:type="paragraph" w:styleId="7">
    <w:name w:val="header"/>
    <w:basedOn w:val="1"/>
    <w:qFormat/>
    <w:uiPriority w:val="99"/>
    <w:pPr>
      <w:pBdr>
        <w:bottom w:val="single" w:color="auto" w:sz="6" w:space="1"/>
      </w:pBdr>
      <w:tabs>
        <w:tab w:val="center" w:pos="4153"/>
        <w:tab w:val="right" w:pos="8306"/>
      </w:tabs>
      <w:snapToGrid w:val="0"/>
      <w:jc w:val="center"/>
    </w:pPr>
    <w:rPr>
      <w:sz w:val="18"/>
      <w:szCs w:val="18"/>
    </w:rPr>
  </w:style>
  <w:style w:type="paragraph" w:customStyle="1" w:styleId="10">
    <w:name w:val="Table Text"/>
    <w:basedOn w:val="1"/>
    <w:semiHidden/>
    <w:qFormat/>
    <w:uiPriority w:val="0"/>
    <w:rPr>
      <w:rFonts w:ascii="宋体" w:hAnsi="宋体" w:eastAsia="宋体" w:cs="宋体"/>
      <w:sz w:val="24"/>
      <w:szCs w:val="24"/>
      <w:lang w:val="en-US" w:eastAsia="en-US" w:bidi="ar-SA"/>
    </w:rPr>
  </w:style>
  <w:style w:type="paragraph" w:styleId="11">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武汉市政务服务管理办</Company>
  <Pages>1</Pages>
  <Words>0</Words>
  <Characters>0</Characters>
  <Lines>0</Lines>
  <Paragraphs>0</Paragraphs>
  <TotalTime>5</TotalTime>
  <ScaleCrop>false</ScaleCrop>
  <LinksUpToDate>false</LinksUpToDate>
  <CharactersWithSpaces>0</CharactersWithSpaces>
  <Application>WPS Office_11.8.6.8811_F1E327BC-269C-435d-A152-05C5408002CA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2025-12-04T08:12:00Z</dcterms:created>
  <dc:creator>eric</dc:creator>
  <cp:lastModifiedBy>郑思言</cp:lastModifiedBy>
  <dcterms:modified xsi:type="dcterms:W3CDTF">2025-12-04T08:26:54Z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2052-11.8.6.8811</vt:lpwstr>
  </property>
</Properties>
</file>