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4829CE">
      <w:pPr>
        <w:pStyle w:val="2"/>
        <w:numPr>
          <w:ilvl w:val="0"/>
          <w:numId w:val="0"/>
        </w:numPr>
        <w:jc w:val="center"/>
        <w:rPr>
          <w:rFonts w:hint="eastAsia"/>
          <w:sz w:val="24"/>
          <w:szCs w:val="24"/>
        </w:rPr>
      </w:pPr>
      <w:bookmarkStart w:id="0" w:name="OLE_LINK2"/>
      <w:r>
        <w:rPr>
          <w:rFonts w:hint="eastAsia"/>
          <w:sz w:val="24"/>
          <w:szCs w:val="24"/>
        </w:rPr>
        <w:t>业务管理类系统运维服务采购需求</w:t>
      </w:r>
    </w:p>
    <w:bookmarkEnd w:id="0"/>
    <w:p w14:paraId="486EBD81">
      <w:pPr>
        <w:pStyle w:val="3"/>
        <w:rPr>
          <w:rFonts w:hint="eastAsia"/>
          <w:sz w:val="24"/>
          <w:szCs w:val="24"/>
          <w:lang w:val="zh-CN"/>
        </w:rPr>
      </w:pPr>
      <w:r>
        <w:rPr>
          <w:rFonts w:hint="eastAsia"/>
          <w:sz w:val="24"/>
          <w:szCs w:val="24"/>
          <w:lang w:val="zh-CN"/>
        </w:rPr>
        <w:t>项目概况</w:t>
      </w:r>
    </w:p>
    <w:p w14:paraId="7CBA3B62">
      <w:pPr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  <w:lang w:val="zh-CN"/>
        </w:rPr>
        <w:t>项目名称：业务管理类系统运维服务</w:t>
      </w:r>
      <w:r>
        <w:rPr>
          <w:rFonts w:hint="eastAsia" w:ascii="宋体" w:hAnsi="宋体" w:eastAsia="宋体"/>
          <w:sz w:val="24"/>
          <w:szCs w:val="24"/>
        </w:rPr>
        <w:t>项目</w:t>
      </w:r>
    </w:p>
    <w:p w14:paraId="3D431085">
      <w:pPr>
        <w:pStyle w:val="3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服务有效期</w:t>
      </w:r>
    </w:p>
    <w:p w14:paraId="0287A2E0">
      <w:pPr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2026年10月1日——2027年9月30日，服务期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/>
          <w:sz w:val="24"/>
          <w:szCs w:val="24"/>
        </w:rPr>
        <w:t>年。</w:t>
      </w:r>
    </w:p>
    <w:p w14:paraId="57A45B42">
      <w:pPr>
        <w:pStyle w:val="3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总体服务内容</w:t>
      </w:r>
    </w:p>
    <w:p w14:paraId="3D3A0BAA">
      <w:pPr>
        <w:spacing w:line="360" w:lineRule="auto"/>
        <w:ind w:firstLine="42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业务管理类系统包含</w:t>
      </w:r>
      <w:r>
        <w:rPr>
          <w:rFonts w:hint="eastAsia" w:ascii="宋体" w:hAnsi="宋体" w:eastAsia="宋体"/>
          <w:sz w:val="24"/>
          <w:szCs w:val="24"/>
          <w:u w:val="single"/>
        </w:rPr>
        <w:t>业务管理信息系统（9.0，含驻场服务1人）、后勤管理系统、血液制备管理系统、血液安全监测预警系统、献血服务系统、集成平台系统、数据质量管理系统、执业比对统计系统、亲权鉴定信息系统、输血研究血型参比等系统</w:t>
      </w:r>
      <w:r>
        <w:rPr>
          <w:rFonts w:hint="eastAsia" w:ascii="宋体" w:hAnsi="宋体" w:eastAsia="宋体"/>
          <w:sz w:val="24"/>
          <w:szCs w:val="24"/>
        </w:rPr>
        <w:t>，该运维服务项目旨在保障以上系统正常稳定运行，</w:t>
      </w:r>
      <w:r>
        <w:rPr>
          <w:rFonts w:ascii="宋体" w:hAnsi="宋体" w:eastAsia="宋体"/>
          <w:sz w:val="24"/>
          <w:szCs w:val="24"/>
        </w:rPr>
        <w:t>全面负责系统日常管理维护工作，确保相关业务的持续性，延长系统生命周期。处理各科室软件使用问题，包括应用系统的故障诊断、问题排除，完成版本升级、漏洞修复等任务。</w:t>
      </w:r>
      <w:r>
        <w:rPr>
          <w:rFonts w:hint="eastAsia" w:ascii="宋体" w:hAnsi="宋体" w:eastAsia="宋体"/>
          <w:sz w:val="24"/>
          <w:szCs w:val="24"/>
        </w:rPr>
        <w:t>提供</w:t>
      </w:r>
      <w:r>
        <w:rPr>
          <w:rFonts w:ascii="宋体" w:hAnsi="宋体" w:eastAsia="宋体"/>
          <w:sz w:val="24"/>
          <w:szCs w:val="24"/>
        </w:rPr>
        <w:t>数据库运维</w:t>
      </w:r>
      <w:r>
        <w:rPr>
          <w:rFonts w:hint="eastAsia" w:ascii="宋体" w:hAnsi="宋体" w:eastAsia="宋体"/>
          <w:sz w:val="24"/>
          <w:szCs w:val="24"/>
        </w:rPr>
        <w:t>服务</w:t>
      </w:r>
      <w:r>
        <w:rPr>
          <w:rFonts w:ascii="宋体" w:hAnsi="宋体" w:eastAsia="宋体"/>
          <w:sz w:val="24"/>
          <w:szCs w:val="24"/>
        </w:rPr>
        <w:t>，通过性能调整、数据库优化等手段，保障数据管理和应用的稳定性及安全性。此外，还需</w:t>
      </w:r>
      <w:r>
        <w:rPr>
          <w:rFonts w:hint="eastAsia" w:ascii="宋体" w:hAnsi="宋体" w:eastAsia="宋体"/>
          <w:sz w:val="24"/>
          <w:szCs w:val="24"/>
        </w:rPr>
        <w:t>提供数据统计服务和</w:t>
      </w:r>
      <w:r>
        <w:rPr>
          <w:rFonts w:ascii="宋体" w:hAnsi="宋体" w:eastAsia="宋体"/>
          <w:sz w:val="24"/>
          <w:szCs w:val="24"/>
        </w:rPr>
        <w:t>完善系统功能，开展优化及新功能开发等服务工作，以满足相关软件系统需求。</w:t>
      </w:r>
    </w:p>
    <w:p w14:paraId="47FFF879">
      <w:pPr>
        <w:pStyle w:val="3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付款方式</w:t>
      </w:r>
    </w:p>
    <w:p w14:paraId="74C685F0"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合同签订后</w:t>
      </w:r>
      <w:r>
        <w:rPr>
          <w:rFonts w:hint="eastAsia" w:ascii="宋体" w:hAnsi="宋体" w:eastAsia="宋体"/>
          <w:sz w:val="24"/>
          <w:szCs w:val="24"/>
        </w:rPr>
        <w:t>，供货方以6个月为周期提供运维服务报告等资料，采购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/>
          <w:sz w:val="24"/>
          <w:szCs w:val="24"/>
        </w:rPr>
        <w:t>验收通过后支付50%的合同款项，共支付两次付清全款。如服务未全部达要求，所付款项应减掉扣除款项。</w:t>
      </w:r>
    </w:p>
    <w:p w14:paraId="1009425D">
      <w:pPr>
        <w:pStyle w:val="3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服务内容</w:t>
      </w:r>
    </w:p>
    <w:p w14:paraId="113D18CD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</w:p>
    <w:tbl>
      <w:tblPr>
        <w:tblStyle w:val="14"/>
        <w:tblW w:w="92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"/>
        <w:gridCol w:w="1417"/>
        <w:gridCol w:w="2181"/>
        <w:gridCol w:w="3489"/>
        <w:gridCol w:w="881"/>
        <w:gridCol w:w="367"/>
      </w:tblGrid>
      <w:tr w14:paraId="2936B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162E01D2">
            <w:pPr>
              <w:jc w:val="center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7E088889"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服务方式</w:t>
            </w:r>
          </w:p>
        </w:tc>
        <w:tc>
          <w:tcPr>
            <w:tcW w:w="2181" w:type="dxa"/>
            <w:vAlign w:val="center"/>
          </w:tcPr>
          <w:p w14:paraId="286AF944"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服务简述</w:t>
            </w:r>
          </w:p>
        </w:tc>
        <w:tc>
          <w:tcPr>
            <w:tcW w:w="3489" w:type="dxa"/>
            <w:vAlign w:val="center"/>
          </w:tcPr>
          <w:p w14:paraId="2AE9652B"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服务内容</w:t>
            </w:r>
          </w:p>
        </w:tc>
        <w:tc>
          <w:tcPr>
            <w:tcW w:w="1248" w:type="dxa"/>
            <w:gridSpan w:val="2"/>
            <w:vAlign w:val="center"/>
          </w:tcPr>
          <w:p w14:paraId="56DAF6B1">
            <w:pPr>
              <w:jc w:val="left"/>
              <w:rPr>
                <w:rFonts w:hint="eastAsia" w:ascii="仿宋" w:hAnsi="仿宋" w:eastAsia="仿宋" w:cs="宋体"/>
                <w:b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服务时效</w:t>
            </w:r>
          </w:p>
        </w:tc>
      </w:tr>
      <w:tr w14:paraId="1B185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Merge w:val="restart"/>
            <w:vAlign w:val="center"/>
          </w:tcPr>
          <w:p w14:paraId="330409F1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1</w:t>
            </w:r>
            <w:r>
              <w:rPr>
                <w:rFonts w:ascii="仿宋" w:hAnsi="仿宋" w:eastAsia="仿宋" w:cs="宋体"/>
                <w:sz w:val="24"/>
              </w:rPr>
              <w:t>.1</w:t>
            </w:r>
          </w:p>
        </w:tc>
        <w:tc>
          <w:tcPr>
            <w:tcW w:w="1417" w:type="dxa"/>
            <w:vMerge w:val="restart"/>
            <w:vAlign w:val="center"/>
          </w:tcPr>
          <w:p w14:paraId="3CFE3A4B">
            <w:pPr>
              <w:jc w:val="left"/>
              <w:rPr>
                <w:rFonts w:hint="eastAsia" w:ascii="仿宋" w:hAnsi="仿宋" w:eastAsia="仿宋" w:cs="宋体"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远程服务</w:t>
            </w:r>
          </w:p>
        </w:tc>
        <w:tc>
          <w:tcPr>
            <w:tcW w:w="2181" w:type="dxa"/>
            <w:vAlign w:val="center"/>
          </w:tcPr>
          <w:p w14:paraId="000F1DA0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服务时段</w:t>
            </w:r>
          </w:p>
        </w:tc>
        <w:tc>
          <w:tcPr>
            <w:tcW w:w="3489" w:type="dxa"/>
            <w:vAlign w:val="center"/>
          </w:tcPr>
          <w:p w14:paraId="5EF03673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软件供应商提供远程运维服务</w:t>
            </w:r>
          </w:p>
        </w:tc>
        <w:tc>
          <w:tcPr>
            <w:tcW w:w="1248" w:type="dxa"/>
            <w:gridSpan w:val="2"/>
            <w:vAlign w:val="center"/>
          </w:tcPr>
          <w:p w14:paraId="4065C3E1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7天*24小时</w:t>
            </w:r>
          </w:p>
        </w:tc>
      </w:tr>
      <w:tr w14:paraId="42BFD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Merge w:val="continue"/>
            <w:vAlign w:val="center"/>
          </w:tcPr>
          <w:p w14:paraId="0FE724AB">
            <w:pPr>
              <w:ind w:firstLine="480" w:firstLineChars="200"/>
              <w:jc w:val="center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1417" w:type="dxa"/>
            <w:vMerge w:val="continue"/>
            <w:vAlign w:val="center"/>
          </w:tcPr>
          <w:p w14:paraId="317671CA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27F818AB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响应时效</w:t>
            </w:r>
          </w:p>
        </w:tc>
        <w:tc>
          <w:tcPr>
            <w:tcW w:w="3489" w:type="dxa"/>
            <w:vAlign w:val="center"/>
          </w:tcPr>
          <w:p w14:paraId="73D71A21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接到服务申请，在响应时效内，提供解决方案。</w:t>
            </w:r>
          </w:p>
        </w:tc>
        <w:tc>
          <w:tcPr>
            <w:tcW w:w="1248" w:type="dxa"/>
            <w:gridSpan w:val="2"/>
            <w:vAlign w:val="center"/>
          </w:tcPr>
          <w:p w14:paraId="1E12652B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3FA94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555FC4ED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1</w:t>
            </w:r>
            <w:r>
              <w:rPr>
                <w:rFonts w:ascii="仿宋" w:hAnsi="仿宋" w:eastAsia="仿宋" w:cs="宋体"/>
                <w:sz w:val="24"/>
              </w:rPr>
              <w:t>.2</w:t>
            </w:r>
          </w:p>
        </w:tc>
        <w:tc>
          <w:tcPr>
            <w:tcW w:w="1417" w:type="dxa"/>
            <w:vAlign w:val="center"/>
          </w:tcPr>
          <w:p w14:paraId="56128B31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现场服务</w:t>
            </w:r>
          </w:p>
        </w:tc>
        <w:tc>
          <w:tcPr>
            <w:tcW w:w="2181" w:type="dxa"/>
            <w:vAlign w:val="center"/>
          </w:tcPr>
          <w:p w14:paraId="2072C180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服务要求</w:t>
            </w:r>
          </w:p>
        </w:tc>
        <w:tc>
          <w:tcPr>
            <w:tcW w:w="3489" w:type="dxa"/>
            <w:vAlign w:val="center"/>
          </w:tcPr>
          <w:p w14:paraId="6D761826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安排1名具备系统运维3年以上工作经验工程师提供工作日驻场5*8服务（</w:t>
            </w:r>
            <w:r>
              <w:rPr>
                <w:rFonts w:ascii="仿宋" w:hAnsi="仿宋" w:eastAsia="仿宋" w:cs="宋体"/>
                <w:sz w:val="24"/>
              </w:rPr>
              <w:t>不可抗力除外</w:t>
            </w:r>
            <w:r>
              <w:rPr>
                <w:rFonts w:hint="eastAsia" w:ascii="仿宋" w:hAnsi="仿宋" w:eastAsia="仿宋" w:cs="宋体"/>
                <w:sz w:val="24"/>
              </w:rPr>
              <w:t>）</w:t>
            </w:r>
          </w:p>
        </w:tc>
        <w:tc>
          <w:tcPr>
            <w:tcW w:w="1248" w:type="dxa"/>
            <w:gridSpan w:val="2"/>
            <w:vAlign w:val="center"/>
          </w:tcPr>
          <w:p w14:paraId="66896309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5*8小时驻场</w:t>
            </w:r>
          </w:p>
        </w:tc>
      </w:tr>
      <w:tr w14:paraId="2F642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5CEB8A5A">
            <w:pPr>
              <w:jc w:val="center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2</w:t>
            </w:r>
          </w:p>
        </w:tc>
        <w:tc>
          <w:tcPr>
            <w:tcW w:w="1417" w:type="dxa"/>
            <w:vAlign w:val="center"/>
          </w:tcPr>
          <w:p w14:paraId="53278E90"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服务类别</w:t>
            </w:r>
          </w:p>
        </w:tc>
        <w:tc>
          <w:tcPr>
            <w:tcW w:w="2181" w:type="dxa"/>
            <w:vAlign w:val="center"/>
          </w:tcPr>
          <w:p w14:paraId="2F950B6C"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服务简述</w:t>
            </w:r>
          </w:p>
        </w:tc>
        <w:tc>
          <w:tcPr>
            <w:tcW w:w="3489" w:type="dxa"/>
            <w:vAlign w:val="center"/>
          </w:tcPr>
          <w:p w14:paraId="03E3F14D"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服务内容</w:t>
            </w:r>
          </w:p>
        </w:tc>
        <w:tc>
          <w:tcPr>
            <w:tcW w:w="1248" w:type="dxa"/>
            <w:gridSpan w:val="2"/>
            <w:vAlign w:val="center"/>
          </w:tcPr>
          <w:p w14:paraId="5AACB9E3">
            <w:pPr>
              <w:jc w:val="left"/>
              <w:rPr>
                <w:rFonts w:hint="eastAsia"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驻场服务</w:t>
            </w:r>
          </w:p>
        </w:tc>
      </w:tr>
      <w:tr w14:paraId="7645C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30F9FE55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</w:t>
            </w:r>
          </w:p>
        </w:tc>
        <w:tc>
          <w:tcPr>
            <w:tcW w:w="1417" w:type="dxa"/>
            <w:vMerge w:val="restart"/>
            <w:vAlign w:val="center"/>
          </w:tcPr>
          <w:p w14:paraId="019ECB0A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培训指导服务</w:t>
            </w:r>
          </w:p>
        </w:tc>
        <w:tc>
          <w:tcPr>
            <w:tcW w:w="2181" w:type="dxa"/>
            <w:vAlign w:val="center"/>
          </w:tcPr>
          <w:p w14:paraId="43DFEF09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软件功能使用培训</w:t>
            </w:r>
          </w:p>
        </w:tc>
        <w:tc>
          <w:tcPr>
            <w:tcW w:w="3489" w:type="dxa"/>
            <w:vAlign w:val="center"/>
          </w:tcPr>
          <w:p w14:paraId="00E21327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软件功能使用培训</w:t>
            </w:r>
          </w:p>
        </w:tc>
        <w:tc>
          <w:tcPr>
            <w:tcW w:w="1248" w:type="dxa"/>
            <w:gridSpan w:val="2"/>
            <w:vAlign w:val="center"/>
          </w:tcPr>
          <w:p w14:paraId="7C0566CD">
            <w:pPr>
              <w:jc w:val="left"/>
              <w:rPr>
                <w:rFonts w:hint="eastAsia" w:ascii="仿宋" w:hAnsi="仿宋" w:eastAsia="仿宋" w:cs="宋体"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38082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6E65123C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.2</w:t>
            </w:r>
          </w:p>
        </w:tc>
        <w:tc>
          <w:tcPr>
            <w:tcW w:w="1417" w:type="dxa"/>
            <w:vMerge w:val="continue"/>
            <w:vAlign w:val="center"/>
          </w:tcPr>
          <w:p w14:paraId="36798CF2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7020F135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业务流程使用指导</w:t>
            </w:r>
          </w:p>
        </w:tc>
        <w:tc>
          <w:tcPr>
            <w:tcW w:w="3489" w:type="dxa"/>
            <w:vAlign w:val="center"/>
          </w:tcPr>
          <w:p w14:paraId="3AD28187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业务流程使用指导</w:t>
            </w:r>
          </w:p>
        </w:tc>
        <w:tc>
          <w:tcPr>
            <w:tcW w:w="1248" w:type="dxa"/>
            <w:gridSpan w:val="2"/>
            <w:vAlign w:val="center"/>
          </w:tcPr>
          <w:p w14:paraId="38BFFAE0">
            <w:pPr>
              <w:jc w:val="left"/>
              <w:rPr>
                <w:rFonts w:hint="eastAsia" w:ascii="仿宋" w:hAnsi="仿宋" w:eastAsia="仿宋" w:cs="宋体"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0FACD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2CBCF433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.3</w:t>
            </w:r>
          </w:p>
        </w:tc>
        <w:tc>
          <w:tcPr>
            <w:tcW w:w="1417" w:type="dxa"/>
            <w:vMerge w:val="restart"/>
            <w:vAlign w:val="center"/>
          </w:tcPr>
          <w:p w14:paraId="67F11D58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数据服务</w:t>
            </w:r>
          </w:p>
        </w:tc>
        <w:tc>
          <w:tcPr>
            <w:tcW w:w="2181" w:type="dxa"/>
            <w:vAlign w:val="center"/>
          </w:tcPr>
          <w:p w14:paraId="27FFAA7D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错误数据修正</w:t>
            </w:r>
          </w:p>
        </w:tc>
        <w:tc>
          <w:tcPr>
            <w:tcW w:w="3489" w:type="dxa"/>
            <w:vAlign w:val="center"/>
          </w:tcPr>
          <w:p w14:paraId="163C3802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人为操作错误的数据修正</w:t>
            </w:r>
          </w:p>
        </w:tc>
        <w:tc>
          <w:tcPr>
            <w:tcW w:w="1248" w:type="dxa"/>
            <w:gridSpan w:val="2"/>
            <w:vAlign w:val="center"/>
          </w:tcPr>
          <w:p w14:paraId="1F3D59DA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4021F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73F64B4B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.4</w:t>
            </w:r>
          </w:p>
        </w:tc>
        <w:tc>
          <w:tcPr>
            <w:tcW w:w="1417" w:type="dxa"/>
            <w:vMerge w:val="continue"/>
            <w:vAlign w:val="center"/>
          </w:tcPr>
          <w:p w14:paraId="4AB37914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6238BF6B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数据提取</w:t>
            </w:r>
          </w:p>
        </w:tc>
        <w:tc>
          <w:tcPr>
            <w:tcW w:w="3489" w:type="dxa"/>
            <w:vAlign w:val="center"/>
          </w:tcPr>
          <w:p w14:paraId="36144CD4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根据管理需求，临时或紧急提取数据</w:t>
            </w:r>
          </w:p>
        </w:tc>
        <w:tc>
          <w:tcPr>
            <w:tcW w:w="1248" w:type="dxa"/>
            <w:gridSpan w:val="2"/>
            <w:vAlign w:val="center"/>
          </w:tcPr>
          <w:p w14:paraId="43D43C81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62F41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715C8B6A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.5</w:t>
            </w:r>
          </w:p>
        </w:tc>
        <w:tc>
          <w:tcPr>
            <w:tcW w:w="1417" w:type="dxa"/>
            <w:vMerge w:val="restart"/>
            <w:vAlign w:val="center"/>
          </w:tcPr>
          <w:p w14:paraId="065D5E58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报表服务</w:t>
            </w:r>
          </w:p>
        </w:tc>
        <w:tc>
          <w:tcPr>
            <w:tcW w:w="2181" w:type="dxa"/>
            <w:vAlign w:val="center"/>
          </w:tcPr>
          <w:p w14:paraId="46F8FAC2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报表核对</w:t>
            </w:r>
          </w:p>
        </w:tc>
        <w:tc>
          <w:tcPr>
            <w:tcW w:w="3489" w:type="dxa"/>
            <w:vAlign w:val="center"/>
          </w:tcPr>
          <w:p w14:paraId="58B8C56F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协助用户进行报表核对</w:t>
            </w:r>
          </w:p>
        </w:tc>
        <w:tc>
          <w:tcPr>
            <w:tcW w:w="1248" w:type="dxa"/>
            <w:gridSpan w:val="2"/>
            <w:vAlign w:val="center"/>
          </w:tcPr>
          <w:p w14:paraId="437B0ED0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1E711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488CFE72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.6</w:t>
            </w:r>
          </w:p>
        </w:tc>
        <w:tc>
          <w:tcPr>
            <w:tcW w:w="1417" w:type="dxa"/>
            <w:vMerge w:val="continue"/>
            <w:vAlign w:val="center"/>
          </w:tcPr>
          <w:p w14:paraId="640A31E1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7628761A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报表定制</w:t>
            </w:r>
          </w:p>
        </w:tc>
        <w:tc>
          <w:tcPr>
            <w:tcW w:w="3489" w:type="dxa"/>
            <w:vAlign w:val="center"/>
          </w:tcPr>
          <w:p w14:paraId="0947BCD5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本地化报表定制服务</w:t>
            </w:r>
          </w:p>
        </w:tc>
        <w:tc>
          <w:tcPr>
            <w:tcW w:w="1248" w:type="dxa"/>
            <w:gridSpan w:val="2"/>
            <w:vAlign w:val="center"/>
          </w:tcPr>
          <w:p w14:paraId="2023F4BF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小于15天</w:t>
            </w:r>
          </w:p>
        </w:tc>
      </w:tr>
      <w:tr w14:paraId="46F13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731F3B63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.7</w:t>
            </w:r>
          </w:p>
        </w:tc>
        <w:tc>
          <w:tcPr>
            <w:tcW w:w="1417" w:type="dxa"/>
            <w:vAlign w:val="center"/>
          </w:tcPr>
          <w:p w14:paraId="103644A5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程序修正</w:t>
            </w:r>
          </w:p>
        </w:tc>
        <w:tc>
          <w:tcPr>
            <w:tcW w:w="2181" w:type="dxa"/>
            <w:vAlign w:val="center"/>
          </w:tcPr>
          <w:p w14:paraId="0CF43534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程序修正</w:t>
            </w:r>
          </w:p>
        </w:tc>
        <w:tc>
          <w:tcPr>
            <w:tcW w:w="3489" w:type="dxa"/>
            <w:vAlign w:val="center"/>
          </w:tcPr>
          <w:p w14:paraId="0FA9B567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程序缺陷修正</w:t>
            </w:r>
          </w:p>
        </w:tc>
        <w:tc>
          <w:tcPr>
            <w:tcW w:w="1248" w:type="dxa"/>
            <w:gridSpan w:val="2"/>
            <w:vAlign w:val="center"/>
          </w:tcPr>
          <w:p w14:paraId="7CA0FC04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小于20天</w:t>
            </w:r>
          </w:p>
        </w:tc>
      </w:tr>
      <w:tr w14:paraId="42AE0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  <w:jc w:val="center"/>
        </w:trPr>
        <w:tc>
          <w:tcPr>
            <w:tcW w:w="875" w:type="dxa"/>
            <w:vAlign w:val="center"/>
          </w:tcPr>
          <w:p w14:paraId="2DD3BD78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.8</w:t>
            </w:r>
          </w:p>
        </w:tc>
        <w:tc>
          <w:tcPr>
            <w:tcW w:w="1417" w:type="dxa"/>
            <w:vMerge w:val="restart"/>
            <w:vAlign w:val="center"/>
          </w:tcPr>
          <w:p w14:paraId="2F18785D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软件修改</w:t>
            </w:r>
          </w:p>
        </w:tc>
        <w:tc>
          <w:tcPr>
            <w:tcW w:w="2181" w:type="dxa"/>
            <w:vAlign w:val="center"/>
          </w:tcPr>
          <w:p w14:paraId="58CE6478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功能完善</w:t>
            </w:r>
          </w:p>
        </w:tc>
        <w:tc>
          <w:tcPr>
            <w:tcW w:w="3489" w:type="dxa"/>
            <w:vAlign w:val="center"/>
          </w:tcPr>
          <w:p w14:paraId="00F143E3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以已存在软件功能为基础，对软件进行完善、扩展；或者软件接口新增或调试已有接口，自采购方提交需求给供货方之日起，至采购方确认供货方交付的需求时止，交付时长不超过30天。</w:t>
            </w:r>
          </w:p>
        </w:tc>
        <w:tc>
          <w:tcPr>
            <w:tcW w:w="1248" w:type="dxa"/>
            <w:gridSpan w:val="2"/>
            <w:vAlign w:val="center"/>
          </w:tcPr>
          <w:p w14:paraId="42C60B58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小于30天</w:t>
            </w:r>
          </w:p>
        </w:tc>
      </w:tr>
      <w:tr w14:paraId="367C3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29F965CF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.9</w:t>
            </w:r>
          </w:p>
        </w:tc>
        <w:tc>
          <w:tcPr>
            <w:tcW w:w="1417" w:type="dxa"/>
            <w:vMerge w:val="continue"/>
            <w:vAlign w:val="center"/>
          </w:tcPr>
          <w:p w14:paraId="5FC390C9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6C966002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功能增加</w:t>
            </w:r>
          </w:p>
        </w:tc>
        <w:tc>
          <w:tcPr>
            <w:tcW w:w="3489" w:type="dxa"/>
            <w:vAlign w:val="center"/>
          </w:tcPr>
          <w:p w14:paraId="5FEE29A1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所提需求为新增功能点。自采购方提交需求给供货方之日起，至采购方确认供货方交付的需求时止。一般需求交付时长不超过2个月，紧急需求交付时长不超过15天。</w:t>
            </w:r>
          </w:p>
        </w:tc>
        <w:tc>
          <w:tcPr>
            <w:tcW w:w="1248" w:type="dxa"/>
            <w:gridSpan w:val="2"/>
            <w:vAlign w:val="center"/>
          </w:tcPr>
          <w:p w14:paraId="4EBFFDE6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小于2个月</w:t>
            </w:r>
          </w:p>
        </w:tc>
      </w:tr>
      <w:tr w14:paraId="44940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5640AD37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.10</w:t>
            </w:r>
          </w:p>
        </w:tc>
        <w:tc>
          <w:tcPr>
            <w:tcW w:w="1417" w:type="dxa"/>
            <w:vMerge w:val="restart"/>
            <w:vAlign w:val="center"/>
          </w:tcPr>
          <w:p w14:paraId="0A420AF9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部署服务</w:t>
            </w:r>
          </w:p>
        </w:tc>
        <w:tc>
          <w:tcPr>
            <w:tcW w:w="2181" w:type="dxa"/>
            <w:vAlign w:val="center"/>
          </w:tcPr>
          <w:p w14:paraId="22ABACD4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客户终端部署</w:t>
            </w:r>
          </w:p>
        </w:tc>
        <w:tc>
          <w:tcPr>
            <w:tcW w:w="3489" w:type="dxa"/>
            <w:vAlign w:val="center"/>
          </w:tcPr>
          <w:p w14:paraId="2F120799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客户终端安装部署</w:t>
            </w:r>
          </w:p>
        </w:tc>
        <w:tc>
          <w:tcPr>
            <w:tcW w:w="1248" w:type="dxa"/>
            <w:gridSpan w:val="2"/>
            <w:vAlign w:val="center"/>
          </w:tcPr>
          <w:p w14:paraId="61BA5677">
            <w:pPr>
              <w:jc w:val="left"/>
              <w:rPr>
                <w:rFonts w:hint="eastAsia" w:ascii="仿宋" w:hAnsi="仿宋" w:eastAsia="仿宋" w:cs="宋体"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3DB74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7D6755C3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.11</w:t>
            </w:r>
          </w:p>
        </w:tc>
        <w:tc>
          <w:tcPr>
            <w:tcW w:w="1417" w:type="dxa"/>
            <w:vMerge w:val="continue"/>
            <w:vAlign w:val="center"/>
          </w:tcPr>
          <w:p w14:paraId="005222AA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6A087AF1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核心服务器部署</w:t>
            </w:r>
          </w:p>
        </w:tc>
        <w:tc>
          <w:tcPr>
            <w:tcW w:w="3489" w:type="dxa"/>
            <w:vAlign w:val="center"/>
          </w:tcPr>
          <w:p w14:paraId="62616FAE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数据库服务器、应用服务器部署</w:t>
            </w:r>
          </w:p>
        </w:tc>
        <w:tc>
          <w:tcPr>
            <w:tcW w:w="1248" w:type="dxa"/>
            <w:gridSpan w:val="2"/>
            <w:vAlign w:val="center"/>
          </w:tcPr>
          <w:p w14:paraId="4F063F4D">
            <w:pPr>
              <w:jc w:val="left"/>
              <w:rPr>
                <w:rFonts w:hint="eastAsia" w:ascii="仿宋" w:hAnsi="仿宋" w:eastAsia="仿宋" w:cs="宋体"/>
                <w:sz w:val="24"/>
                <w:highlight w:val="yellow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701AB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3AF94D2D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.12</w:t>
            </w:r>
          </w:p>
        </w:tc>
        <w:tc>
          <w:tcPr>
            <w:tcW w:w="1417" w:type="dxa"/>
            <w:vMerge w:val="continue"/>
            <w:vAlign w:val="center"/>
          </w:tcPr>
          <w:p w14:paraId="091281D4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260B6AA0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非核心服务器部署</w:t>
            </w:r>
          </w:p>
        </w:tc>
        <w:tc>
          <w:tcPr>
            <w:tcW w:w="3489" w:type="dxa"/>
            <w:vAlign w:val="center"/>
          </w:tcPr>
          <w:p w14:paraId="1F062FFA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任务计划、数据采集、接口服务等功能部署</w:t>
            </w:r>
          </w:p>
        </w:tc>
        <w:tc>
          <w:tcPr>
            <w:tcW w:w="1248" w:type="dxa"/>
            <w:gridSpan w:val="2"/>
            <w:vAlign w:val="center"/>
          </w:tcPr>
          <w:p w14:paraId="4B6B57F8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619AA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737CC50C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.14</w:t>
            </w:r>
          </w:p>
        </w:tc>
        <w:tc>
          <w:tcPr>
            <w:tcW w:w="1417" w:type="dxa"/>
            <w:vMerge w:val="continue"/>
            <w:vAlign w:val="center"/>
          </w:tcPr>
          <w:p w14:paraId="14A044B0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6377D9FE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接口部署</w:t>
            </w:r>
          </w:p>
        </w:tc>
        <w:tc>
          <w:tcPr>
            <w:tcW w:w="3489" w:type="dxa"/>
            <w:vAlign w:val="center"/>
          </w:tcPr>
          <w:p w14:paraId="07F2DF1C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原有设备或其他应用系统接口重新部署</w:t>
            </w:r>
          </w:p>
        </w:tc>
        <w:tc>
          <w:tcPr>
            <w:tcW w:w="1248" w:type="dxa"/>
            <w:gridSpan w:val="2"/>
            <w:vAlign w:val="center"/>
          </w:tcPr>
          <w:p w14:paraId="0B65F5FD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57B6D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046A65C0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.15</w:t>
            </w:r>
          </w:p>
        </w:tc>
        <w:tc>
          <w:tcPr>
            <w:tcW w:w="1417" w:type="dxa"/>
            <w:vMerge w:val="restart"/>
            <w:vAlign w:val="center"/>
          </w:tcPr>
          <w:p w14:paraId="00CE3AF0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应急服务</w:t>
            </w:r>
          </w:p>
        </w:tc>
        <w:tc>
          <w:tcPr>
            <w:tcW w:w="2181" w:type="dxa"/>
            <w:vAlign w:val="center"/>
          </w:tcPr>
          <w:p w14:paraId="02B7C7E8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重大问题远程不间断处理</w:t>
            </w:r>
          </w:p>
        </w:tc>
        <w:tc>
          <w:tcPr>
            <w:tcW w:w="3489" w:type="dxa"/>
            <w:vAlign w:val="center"/>
          </w:tcPr>
          <w:p w14:paraId="5F7CC408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2小时内解决用户问题</w:t>
            </w:r>
          </w:p>
        </w:tc>
        <w:tc>
          <w:tcPr>
            <w:tcW w:w="1248" w:type="dxa"/>
            <w:gridSpan w:val="2"/>
            <w:vAlign w:val="center"/>
          </w:tcPr>
          <w:p w14:paraId="50794773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77005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1D8362B2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.16</w:t>
            </w:r>
          </w:p>
        </w:tc>
        <w:tc>
          <w:tcPr>
            <w:tcW w:w="1417" w:type="dxa"/>
            <w:vMerge w:val="continue"/>
            <w:vAlign w:val="center"/>
          </w:tcPr>
          <w:p w14:paraId="546DF9FD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1A1C4903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重大问题紧急现场时效</w:t>
            </w:r>
          </w:p>
        </w:tc>
        <w:tc>
          <w:tcPr>
            <w:tcW w:w="3489" w:type="dxa"/>
            <w:vAlign w:val="center"/>
          </w:tcPr>
          <w:p w14:paraId="4A29B35C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核心服务器宕机、数据库损坏、严重数据安全隐患，提供现场服务</w:t>
            </w:r>
          </w:p>
        </w:tc>
        <w:tc>
          <w:tcPr>
            <w:tcW w:w="1248" w:type="dxa"/>
            <w:gridSpan w:val="2"/>
            <w:vAlign w:val="center"/>
          </w:tcPr>
          <w:p w14:paraId="3CD29DE6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即时</w:t>
            </w:r>
          </w:p>
        </w:tc>
      </w:tr>
      <w:tr w14:paraId="4A250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507A8848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.1</w:t>
            </w:r>
            <w:r>
              <w:rPr>
                <w:rFonts w:hint="eastAsia" w:ascii="仿宋" w:hAnsi="仿宋" w:eastAsia="仿宋" w:cs="宋体"/>
                <w:sz w:val="24"/>
              </w:rPr>
              <w:t>7</w:t>
            </w:r>
          </w:p>
        </w:tc>
        <w:tc>
          <w:tcPr>
            <w:tcW w:w="1417" w:type="dxa"/>
            <w:vMerge w:val="restart"/>
            <w:vAlign w:val="center"/>
          </w:tcPr>
          <w:p w14:paraId="07CB16B7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巡检服务</w:t>
            </w:r>
          </w:p>
        </w:tc>
        <w:tc>
          <w:tcPr>
            <w:tcW w:w="2181" w:type="dxa"/>
            <w:vAlign w:val="center"/>
          </w:tcPr>
          <w:p w14:paraId="153314D1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硬件检查</w:t>
            </w:r>
          </w:p>
        </w:tc>
        <w:tc>
          <w:tcPr>
            <w:tcW w:w="3489" w:type="dxa"/>
            <w:vAlign w:val="center"/>
          </w:tcPr>
          <w:p w14:paraId="63B26174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检查服务器内存、硬盘、网卡等状态，确保硬件设备正常运行</w:t>
            </w:r>
          </w:p>
        </w:tc>
        <w:tc>
          <w:tcPr>
            <w:tcW w:w="1248" w:type="dxa"/>
            <w:gridSpan w:val="2"/>
            <w:vAlign w:val="center"/>
          </w:tcPr>
          <w:p w14:paraId="4D517C93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4次/年</w:t>
            </w:r>
          </w:p>
        </w:tc>
      </w:tr>
      <w:tr w14:paraId="1964F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0896B3B4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</w:rPr>
              <w:t>18</w:t>
            </w:r>
          </w:p>
        </w:tc>
        <w:tc>
          <w:tcPr>
            <w:tcW w:w="1417" w:type="dxa"/>
            <w:vMerge w:val="continue"/>
            <w:vAlign w:val="center"/>
          </w:tcPr>
          <w:p w14:paraId="1878BA3D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6A8D7253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软件检查</w:t>
            </w:r>
          </w:p>
        </w:tc>
        <w:tc>
          <w:tcPr>
            <w:tcW w:w="3489" w:type="dxa"/>
            <w:vAlign w:val="center"/>
          </w:tcPr>
          <w:p w14:paraId="4F67D4E2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检查操作系统及驱动完整性，确保操作系统可正常运行；检查服务器上运行的服务及软件，并确保其状态正常；检查数据库的运行情况，保障稳定运行。</w:t>
            </w:r>
          </w:p>
        </w:tc>
        <w:tc>
          <w:tcPr>
            <w:tcW w:w="1248" w:type="dxa"/>
            <w:gridSpan w:val="2"/>
            <w:vAlign w:val="center"/>
          </w:tcPr>
          <w:p w14:paraId="5D5ED02B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4次/年</w:t>
            </w:r>
          </w:p>
        </w:tc>
      </w:tr>
      <w:tr w14:paraId="7ABD58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5209B893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2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</w:rPr>
              <w:t>19</w:t>
            </w:r>
          </w:p>
        </w:tc>
        <w:tc>
          <w:tcPr>
            <w:tcW w:w="1417" w:type="dxa"/>
            <w:vMerge w:val="continue"/>
            <w:vAlign w:val="center"/>
          </w:tcPr>
          <w:p w14:paraId="59FAC60E">
            <w:pPr>
              <w:ind w:firstLine="480" w:firstLineChars="200"/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  <w:tc>
          <w:tcPr>
            <w:tcW w:w="2181" w:type="dxa"/>
            <w:vAlign w:val="center"/>
          </w:tcPr>
          <w:p w14:paraId="048CDB16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安全检查</w:t>
            </w:r>
          </w:p>
        </w:tc>
        <w:tc>
          <w:tcPr>
            <w:tcW w:w="3489" w:type="dxa"/>
            <w:vAlign w:val="center"/>
          </w:tcPr>
          <w:p w14:paraId="2ABD7FDC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检查服务器安全配置，确保服务器安全配置达到要求；检查系统服务、端口连接，确保服务及端口连接配置正常；检查服务器上不合理的账号及口令，并做删除处理，确保系统安全。</w:t>
            </w:r>
          </w:p>
        </w:tc>
        <w:tc>
          <w:tcPr>
            <w:tcW w:w="1248" w:type="dxa"/>
            <w:gridSpan w:val="2"/>
            <w:vAlign w:val="center"/>
          </w:tcPr>
          <w:p w14:paraId="42DEDC7C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4次/年</w:t>
            </w:r>
          </w:p>
        </w:tc>
      </w:tr>
      <w:tr w14:paraId="1D4D8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  <w:tblHeader/>
          <w:jc w:val="center"/>
        </w:trPr>
        <w:tc>
          <w:tcPr>
            <w:tcW w:w="875" w:type="dxa"/>
            <w:vAlign w:val="center"/>
          </w:tcPr>
          <w:p w14:paraId="27BFA4D3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3</w:t>
            </w:r>
          </w:p>
        </w:tc>
        <w:tc>
          <w:tcPr>
            <w:tcW w:w="8335" w:type="dxa"/>
            <w:gridSpan w:val="5"/>
            <w:vAlign w:val="center"/>
          </w:tcPr>
          <w:p w14:paraId="7E22EF91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主要条款说明</w:t>
            </w:r>
          </w:p>
        </w:tc>
      </w:tr>
      <w:tr w14:paraId="326E2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4168B802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3</w:t>
            </w:r>
            <w:r>
              <w:rPr>
                <w:rFonts w:ascii="仿宋" w:hAnsi="仿宋" w:eastAsia="仿宋" w:cs="宋体"/>
                <w:sz w:val="24"/>
              </w:rPr>
              <w:t>.</w:t>
            </w:r>
            <w:r>
              <w:rPr>
                <w:rFonts w:hint="eastAsia" w:ascii="仿宋" w:hAnsi="仿宋" w:eastAsia="仿宋" w:cs="宋体"/>
                <w:sz w:val="24"/>
              </w:rPr>
              <w:t>1</w:t>
            </w:r>
          </w:p>
        </w:tc>
        <w:tc>
          <w:tcPr>
            <w:tcW w:w="7968" w:type="dxa"/>
            <w:gridSpan w:val="4"/>
            <w:vAlign w:val="center"/>
          </w:tcPr>
          <w:p w14:paraId="32749079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本项目维护范围包括</w:t>
            </w:r>
            <w:r>
              <w:rPr>
                <w:rFonts w:hint="eastAsia" w:ascii="仿宋" w:hAnsi="仿宋" w:eastAsia="仿宋" w:cs="宋体"/>
                <w:sz w:val="24"/>
                <w:u w:val="single"/>
              </w:rPr>
              <w:t>业务管理信息系统（9.0，含驻场服务1人）、后勤管理系统、血液制备管理系统、血液安全监测预警系统、献血服务系统、集成平台系统、数据质量管理系统、执业比对统计系统、亲权鉴定信息系统、输血研究血型参比等系统</w:t>
            </w:r>
            <w:r>
              <w:rPr>
                <w:rFonts w:hint="eastAsia" w:ascii="仿宋" w:hAnsi="仿宋" w:eastAsia="仿宋" w:cs="宋体"/>
                <w:sz w:val="24"/>
              </w:rPr>
              <w:t>。</w:t>
            </w:r>
          </w:p>
          <w:p w14:paraId="6967FBCB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在合同期内，采购方提交的的需求（含功能完善、功能增加、报表定制、接口开发与调试）按开发内容评估实际工作量，工期小于5个工作日的免费开发实施，大于5个工作日的双方另行协商费用。</w:t>
            </w:r>
          </w:p>
        </w:tc>
        <w:tc>
          <w:tcPr>
            <w:tcW w:w="367" w:type="dxa"/>
            <w:vAlign w:val="center"/>
          </w:tcPr>
          <w:p w14:paraId="55337722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</w:tr>
      <w:tr w14:paraId="1648E5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tblHeader/>
          <w:jc w:val="center"/>
        </w:trPr>
        <w:tc>
          <w:tcPr>
            <w:tcW w:w="875" w:type="dxa"/>
            <w:vAlign w:val="center"/>
          </w:tcPr>
          <w:p w14:paraId="0E6E659F">
            <w:pPr>
              <w:jc w:val="center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3.2</w:t>
            </w:r>
          </w:p>
        </w:tc>
        <w:tc>
          <w:tcPr>
            <w:tcW w:w="7968" w:type="dxa"/>
            <w:gridSpan w:val="4"/>
            <w:vAlign w:val="center"/>
          </w:tcPr>
          <w:p w14:paraId="3C3D40C8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b/>
                <w:bCs/>
                <w:sz w:val="24"/>
              </w:rPr>
              <w:t>验收标准：以6个月为周期，供货方提供1次运维服务报告，采购方确认签字，考核付款。</w:t>
            </w:r>
          </w:p>
        </w:tc>
        <w:tc>
          <w:tcPr>
            <w:tcW w:w="367" w:type="dxa"/>
            <w:vAlign w:val="center"/>
          </w:tcPr>
          <w:p w14:paraId="14EAFF18">
            <w:pPr>
              <w:jc w:val="left"/>
              <w:rPr>
                <w:rFonts w:hint="eastAsia" w:ascii="仿宋" w:hAnsi="仿宋" w:eastAsia="仿宋" w:cs="宋体"/>
                <w:sz w:val="24"/>
              </w:rPr>
            </w:pPr>
          </w:p>
        </w:tc>
      </w:tr>
    </w:tbl>
    <w:p w14:paraId="326339D2">
      <w:pPr>
        <w:spacing w:line="360" w:lineRule="auto"/>
        <w:rPr>
          <w:rFonts w:hint="eastAsia" w:ascii="宋体" w:hAnsi="宋体" w:eastAsia="宋体"/>
          <w:sz w:val="24"/>
          <w:szCs w:val="24"/>
        </w:rPr>
      </w:pPr>
    </w:p>
    <w:p w14:paraId="6DC2BF6E">
      <w:pPr>
        <w:widowControl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br w:type="page"/>
      </w:r>
    </w:p>
    <w:p w14:paraId="0E61EDA5">
      <w:pPr>
        <w:pStyle w:val="3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服务考核</w:t>
      </w:r>
      <w:r>
        <w:rPr>
          <w:rFonts w:hint="eastAsia"/>
          <w:sz w:val="24"/>
          <w:szCs w:val="24"/>
          <w:lang w:val="en-US" w:eastAsia="zh-CN"/>
        </w:rPr>
        <w:t>表</w:t>
      </w:r>
      <w:bookmarkStart w:id="1" w:name="_GoBack"/>
      <w:bookmarkEnd w:id="1"/>
    </w:p>
    <w:p w14:paraId="74EBC907">
      <w:pPr>
        <w:spacing w:line="276" w:lineRule="auto"/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1)</w:t>
      </w:r>
      <w:r>
        <w:rPr>
          <w:rFonts w:ascii="宋体" w:hAnsi="宋体" w:eastAsia="宋体"/>
          <w:sz w:val="24"/>
          <w:szCs w:val="24"/>
        </w:rPr>
        <w:tab/>
      </w:r>
      <w:r>
        <w:rPr>
          <w:rFonts w:ascii="宋体" w:hAnsi="宋体" w:eastAsia="宋体"/>
          <w:sz w:val="24"/>
          <w:szCs w:val="24"/>
        </w:rPr>
        <w:t>满分为100分，以下为扣分项，1分=</w:t>
      </w:r>
      <w:r>
        <w:rPr>
          <w:rFonts w:hint="eastAsia" w:ascii="宋体" w:hAnsi="宋体" w:eastAsia="宋体"/>
          <w:sz w:val="24"/>
          <w:szCs w:val="24"/>
        </w:rPr>
        <w:t>5</w:t>
      </w:r>
      <w:r>
        <w:rPr>
          <w:rFonts w:ascii="宋体" w:hAnsi="宋体" w:eastAsia="宋体"/>
          <w:sz w:val="24"/>
          <w:szCs w:val="24"/>
        </w:rPr>
        <w:t>00元。</w:t>
      </w:r>
    </w:p>
    <w:p w14:paraId="148BFD71">
      <w:pPr>
        <w:spacing w:line="276" w:lineRule="auto"/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2)</w:t>
      </w:r>
      <w:r>
        <w:rPr>
          <w:rFonts w:ascii="宋体" w:hAnsi="宋体" w:eastAsia="宋体"/>
          <w:sz w:val="24"/>
          <w:szCs w:val="24"/>
        </w:rPr>
        <w:tab/>
      </w:r>
      <w:r>
        <w:rPr>
          <w:rFonts w:ascii="宋体" w:hAnsi="宋体" w:eastAsia="宋体"/>
          <w:sz w:val="24"/>
          <w:szCs w:val="24"/>
        </w:rPr>
        <w:t>每次付款前完成测评。</w:t>
      </w:r>
    </w:p>
    <w:p w14:paraId="5986A11B">
      <w:pPr>
        <w:spacing w:line="276" w:lineRule="auto"/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3)</w:t>
      </w:r>
      <w:r>
        <w:rPr>
          <w:rFonts w:ascii="宋体" w:hAnsi="宋体" w:eastAsia="宋体"/>
          <w:sz w:val="24"/>
          <w:szCs w:val="24"/>
        </w:rPr>
        <w:tab/>
      </w:r>
      <w:r>
        <w:rPr>
          <w:rFonts w:ascii="宋体" w:hAnsi="宋体" w:eastAsia="宋体"/>
          <w:sz w:val="24"/>
          <w:szCs w:val="24"/>
        </w:rPr>
        <w:t>考核分数低于85分，将被列为不合格供应商。</w:t>
      </w:r>
    </w:p>
    <w:p w14:paraId="1CDF6679">
      <w:pPr>
        <w:spacing w:line="276" w:lineRule="auto"/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4)</w:t>
      </w:r>
      <w:r>
        <w:rPr>
          <w:rFonts w:ascii="宋体" w:hAnsi="宋体" w:eastAsia="宋体"/>
          <w:sz w:val="24"/>
          <w:szCs w:val="24"/>
        </w:rPr>
        <w:tab/>
      </w:r>
      <w:r>
        <w:rPr>
          <w:rFonts w:ascii="宋体" w:hAnsi="宋体" w:eastAsia="宋体"/>
          <w:sz w:val="24"/>
          <w:szCs w:val="24"/>
        </w:rPr>
        <w:t>由于运维服务商原因，导致数据丢失且无法恢复，列为不合格供应商。</w:t>
      </w:r>
    </w:p>
    <w:p w14:paraId="6872D09C">
      <w:pPr>
        <w:pStyle w:val="9"/>
        <w:suppressAutoHyphens/>
        <w:spacing w:before="100" w:beforeAutospacing="1" w:after="100" w:afterAutospacing="1" w:line="360" w:lineRule="auto"/>
        <w:jc w:val="center"/>
        <w:rPr>
          <w:sz w:val="24"/>
        </w:rPr>
      </w:pPr>
      <w:r>
        <w:rPr>
          <w:rFonts w:hint="eastAsia" w:ascii="宋体" w:hAnsi="宋体" w:cs="宋体"/>
          <w:b/>
          <w:bCs/>
          <w:kern w:val="0"/>
          <w:szCs w:val="21"/>
        </w:rPr>
        <w:t>考核表</w:t>
      </w:r>
    </w:p>
    <w:tbl>
      <w:tblPr>
        <w:tblStyle w:val="14"/>
        <w:tblW w:w="878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1243"/>
        <w:gridCol w:w="4637"/>
        <w:gridCol w:w="920"/>
        <w:gridCol w:w="960"/>
      </w:tblGrid>
      <w:tr w14:paraId="721C58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68036">
            <w:pPr>
              <w:widowControl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  <w:t>考核分类</w:t>
            </w:r>
          </w:p>
        </w:tc>
        <w:tc>
          <w:tcPr>
            <w:tcW w:w="58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5199FF">
            <w:pPr>
              <w:widowControl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  <w:t>考核项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8D8136">
            <w:pPr>
              <w:widowControl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  <w:t>考核标准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A2C997">
            <w:pPr>
              <w:widowControl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  <w:t>核查发现及描述</w:t>
            </w:r>
          </w:p>
        </w:tc>
      </w:tr>
      <w:tr w14:paraId="2F8650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2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F24D8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 xml:space="preserve">服务方式 </w:t>
            </w:r>
          </w:p>
        </w:tc>
        <w:tc>
          <w:tcPr>
            <w:tcW w:w="12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B54EB4"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远程服务</w:t>
            </w:r>
          </w:p>
        </w:tc>
        <w:tc>
          <w:tcPr>
            <w:tcW w:w="4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99403C"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7*24小时远程技术支持，15分钟内响应，1小时内电脑端远程协助，不符合扣0.5分/次。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420667">
            <w:pPr>
              <w:widowControl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FC77A2">
            <w:pPr>
              <w:widowControl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  <w:t>　</w:t>
            </w:r>
          </w:p>
        </w:tc>
      </w:tr>
      <w:tr w14:paraId="2C342C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B7FB26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2AB0E8"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驻场服务</w:t>
            </w:r>
          </w:p>
        </w:tc>
        <w:tc>
          <w:tcPr>
            <w:tcW w:w="4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D16E6E"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提供驻场5*8服务，24小时远程响应。驻场缺席，扣0.5分/天（不可抗力除外）。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8623A4">
            <w:pPr>
              <w:widowControl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122578">
            <w:pPr>
              <w:widowControl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  <w:t>　</w:t>
            </w:r>
          </w:p>
        </w:tc>
      </w:tr>
      <w:tr w14:paraId="1905A4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10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A4EE5A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58EC88"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现场应急</w:t>
            </w:r>
          </w:p>
        </w:tc>
        <w:tc>
          <w:tcPr>
            <w:tcW w:w="4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76DE38"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非驻场时间，核心服务器宕机、数据库损坏、严重数据安全隐患、系统瘫痪、重要时期，服务提供方应按照采购方要求，安排工程师2小时内到达现场，每延迟1小时，扣1分，拒绝到现场服务扣4分/次。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37E8C1">
            <w:pPr>
              <w:widowControl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E908DC">
            <w:pPr>
              <w:widowControl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</w:rPr>
              <w:t>　</w:t>
            </w:r>
          </w:p>
        </w:tc>
      </w:tr>
      <w:tr w14:paraId="3832AF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2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7584E4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基础服务</w:t>
            </w:r>
          </w:p>
        </w:tc>
        <w:tc>
          <w:tcPr>
            <w:tcW w:w="12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77D394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培训指导服务</w:t>
            </w:r>
          </w:p>
        </w:tc>
        <w:tc>
          <w:tcPr>
            <w:tcW w:w="4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FCA9C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按照采购方需求提供软件功能使用培训、业务流程使用指导。未及时提供指导每次扣0.2分；指导不到位导致用户无法正常使用，每次扣0.5分。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0B4A4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2C9A9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 w14:paraId="3C2180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8960A1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4CB47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数据服务</w:t>
            </w:r>
          </w:p>
        </w:tc>
        <w:tc>
          <w:tcPr>
            <w:tcW w:w="4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B4FB8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及时完成人为操作错误数据修正，按需求提取数据，数据修正、提取不及时每次扣0.2分。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211A0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F0E8D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 w14:paraId="775D0F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8A8E3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B3F65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报表服务</w:t>
            </w:r>
          </w:p>
        </w:tc>
        <w:tc>
          <w:tcPr>
            <w:tcW w:w="4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FE346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及时完成报表生成、核对，不符合每次扣0.2分；本地化报表定制在15天内完成，每超期一天扣0.1分。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2D5A9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F9206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 w14:paraId="4DC1D5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10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A3890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C8C9E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部署服务</w:t>
            </w:r>
          </w:p>
        </w:tc>
        <w:tc>
          <w:tcPr>
            <w:tcW w:w="4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F6516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及时完成客户终端、核心/非核心服务器、原有接口的部署工作。部署超期或失误导致系统无法正常运行，每次扣1分。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9C9B0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F43C7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 w14:paraId="41A93B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2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B1C82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系统维护</w:t>
            </w:r>
          </w:p>
        </w:tc>
        <w:tc>
          <w:tcPr>
            <w:tcW w:w="12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C179A7"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运维服务</w:t>
            </w:r>
          </w:p>
        </w:tc>
        <w:tc>
          <w:tcPr>
            <w:tcW w:w="4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64A7A7"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每半年提交一次运维服务报告，有缺失扣2分/次。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807D0D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4A04DB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 w14:paraId="7FC0F2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4B0E02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65239E"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巡检服务</w:t>
            </w:r>
          </w:p>
        </w:tc>
        <w:tc>
          <w:tcPr>
            <w:tcW w:w="4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14236A"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每年完成4次硬件、软件、安全、运行参数情况巡检，巡检记录完整，有缺失扣1分/次。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9F6A22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B75EE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 w14:paraId="23615B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2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187B8D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软件修改</w:t>
            </w:r>
          </w:p>
        </w:tc>
        <w:tc>
          <w:tcPr>
            <w:tcW w:w="12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488ECA"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程序BUG</w:t>
            </w:r>
          </w:p>
        </w:tc>
        <w:tc>
          <w:tcPr>
            <w:tcW w:w="4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9AA88F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如出现程序缺陷修正，自提交之日起，应20天内完成，每个需求延迟1天，扣0.2分。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841533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D23041B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 w14:paraId="1E5BAD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FE03DF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</w:rPr>
            </w:pPr>
          </w:p>
        </w:tc>
        <w:tc>
          <w:tcPr>
            <w:tcW w:w="124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76B95"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功能增加</w:t>
            </w:r>
          </w:p>
        </w:tc>
        <w:tc>
          <w:tcPr>
            <w:tcW w:w="4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1730B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新增功能一般需求交付时长不超过2个月，每个需求延迟1天,扣0.1分。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4B47A1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ABC2170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 w14:paraId="52AD2B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0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EF841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</w:rPr>
            </w:pPr>
          </w:p>
        </w:tc>
        <w:tc>
          <w:tcPr>
            <w:tcW w:w="124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56A0D7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</w:rPr>
            </w:pPr>
          </w:p>
        </w:tc>
        <w:tc>
          <w:tcPr>
            <w:tcW w:w="4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654009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如新增功能为紧急需求，应15天内交付，紧急需求每年不超过10个,每个需求延迟1天，扣0.2分。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C564A45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56C3153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 w14:paraId="7C7F91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689CA3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4E0C74"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功能完善</w:t>
            </w:r>
          </w:p>
        </w:tc>
        <w:tc>
          <w:tcPr>
            <w:tcW w:w="4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40A5EB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功能完善需求应30天内交付。每个需求延迟1天,扣0.2分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429F1CE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82E1F9C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 w14:paraId="7C41FA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0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F2DA40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网络安全检查</w:t>
            </w:r>
          </w:p>
        </w:tc>
        <w:tc>
          <w:tcPr>
            <w:tcW w:w="12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AB990D"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安全漏铜</w:t>
            </w:r>
          </w:p>
        </w:tc>
        <w:tc>
          <w:tcPr>
            <w:tcW w:w="4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1B4C5B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如出现被上级部门检测出数据库的中、高危漏洞，必须配合优化整改，拒不配合整改的高危漏洞每个扣1分，中危漏洞每个扣 0.5分。由于条件所限，无法修复的漏洞除外。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74D279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5F467E1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 w14:paraId="3BA24D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0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21CFD7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服务满意度</w:t>
            </w:r>
          </w:p>
        </w:tc>
        <w:tc>
          <w:tcPr>
            <w:tcW w:w="12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2F10CB">
            <w:pPr>
              <w:widowControl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服务瑕疵</w:t>
            </w:r>
          </w:p>
        </w:tc>
        <w:tc>
          <w:tcPr>
            <w:tcW w:w="4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A42398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</w:rPr>
              <w:t>对运维服务人员的态度及意识、沟通效果、专业技术水平是否满意，存在服务瑕疵，每次扣0.2分。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9F674FA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EF29746"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 w14:paraId="3A6AA8A4">
      <w:pPr>
        <w:rPr>
          <w:rFonts w:hint="eastAsia" w:ascii="Calibri" w:hAnsi="Calibri" w:cs="Times New Roman"/>
          <w:szCs w:val="20"/>
        </w:rPr>
      </w:pPr>
    </w:p>
    <w:p w14:paraId="28D47D70">
      <w:pPr>
        <w:pStyle w:val="13"/>
      </w:pPr>
    </w:p>
    <w:p w14:paraId="7A7DFFAC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6053DA"/>
    <w:multiLevelType w:val="multilevel"/>
    <w:tmpl w:val="626053DA"/>
    <w:lvl w:ilvl="0" w:tentative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pStyle w:val="7"/>
      <w:isLgl/>
      <w:suff w:val="space"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>
    <w:nsid w:val="68374C8D"/>
    <w:multiLevelType w:val="multilevel"/>
    <w:tmpl w:val="68374C8D"/>
    <w:lvl w:ilvl="0" w:tentative="0">
      <w:start w:val="1"/>
      <w:numFmt w:val="chineseCountingThousand"/>
      <w:pStyle w:val="2"/>
      <w:suff w:val="space"/>
      <w:lvlText w:val="%1、"/>
      <w:lvlJc w:val="left"/>
      <w:pPr>
        <w:ind w:left="0" w:firstLine="0"/>
      </w:pPr>
      <w:rPr>
        <w:rFonts w:cs="Times New Roman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 w14:prst="orthographicFront"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1" w:tentative="0">
      <w:start w:val="1"/>
      <w:numFmt w:val="decimal"/>
      <w:pStyle w:val="3"/>
      <w:isLgl/>
      <w:suff w:val="space"/>
      <w:lvlText w:val="%1.%2."/>
      <w:lvlJc w:val="left"/>
      <w:pPr>
        <w:ind w:left="0" w:firstLine="0"/>
      </w:pPr>
      <w:rPr>
        <w:rFonts w:hint="eastAsia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2" w:tentative="0">
      <w:start w:val="1"/>
      <w:numFmt w:val="decimal"/>
      <w:pStyle w:val="4"/>
      <w:isLgl/>
      <w:suff w:val="space"/>
      <w:lvlText w:val="%1.%2.%3."/>
      <w:lvlJc w:val="left"/>
      <w:pPr>
        <w:ind w:left="0" w:firstLine="0"/>
      </w:pPr>
      <w:rPr>
        <w:rFonts w:hint="eastAsia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3" w:tentative="0">
      <w:start w:val="1"/>
      <w:numFmt w:val="decimal"/>
      <w:pStyle w:val="5"/>
      <w:isLgl/>
      <w:suff w:val="space"/>
      <w:lvlText w:val="%1.%2.%3.%4."/>
      <w:lvlJc w:val="left"/>
      <w:pPr>
        <w:ind w:left="0" w:firstLine="0"/>
      </w:pPr>
      <w:rPr>
        <w:rFonts w:hint="eastAsia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4" w:tentative="0">
      <w:start w:val="1"/>
      <w:numFmt w:val="decimal"/>
      <w:pStyle w:val="6"/>
      <w:isLgl/>
      <w:suff w:val="space"/>
      <w:lvlText w:val="%1.%2.%3.%4.%5."/>
      <w:lvlJc w:val="left"/>
      <w:pPr>
        <w:ind w:left="0" w:firstLine="0"/>
      </w:pPr>
      <w:rPr>
        <w:rFonts w:hint="eastAsia" w:eastAsia="宋体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3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5" w:tentative="0">
      <w:start w:val="1"/>
      <w:numFmt w:val="decimal"/>
      <w:isLgl/>
      <w:suff w:val="space"/>
      <w:lvlText w:val="%1.%2.%3.%4.%5.%6."/>
      <w:lvlJc w:val="left"/>
      <w:pPr>
        <w:ind w:left="0" w:firstLine="0"/>
      </w:pPr>
      <w:rPr>
        <w:rFonts w:hint="eastAsia" w:eastAsia="宋体"/>
        <w:b/>
        <w:i w:val="0"/>
        <w:strike w:val="0"/>
        <w:dstrike w:val="0"/>
        <w:sz w:val="30"/>
        <w:vertAlign w:val="baseline"/>
      </w:rPr>
    </w:lvl>
    <w:lvl w:ilvl="6" w:tentative="0">
      <w:start w:val="1"/>
      <w:numFmt w:val="decimal"/>
      <w:isLgl/>
      <w:suff w:val="space"/>
      <w:lvlText w:val="%1.%2.%3.%4.%5.%6.%7."/>
      <w:lvlJc w:val="left"/>
      <w:pPr>
        <w:ind w:left="0" w:firstLine="0"/>
      </w:pPr>
      <w:rPr>
        <w:rFonts w:hint="eastAsia" w:eastAsia="宋体"/>
        <w:b/>
        <w:i w:val="0"/>
        <w:sz w:val="30"/>
      </w:rPr>
    </w:lvl>
    <w:lvl w:ilvl="7" w:tentative="0">
      <w:start w:val="1"/>
      <w:numFmt w:val="decimal"/>
      <w:isLgl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isLgl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A92"/>
    <w:rsid w:val="00010A38"/>
    <w:rsid w:val="00020065"/>
    <w:rsid w:val="00081009"/>
    <w:rsid w:val="000D087C"/>
    <w:rsid w:val="000D6577"/>
    <w:rsid w:val="00101797"/>
    <w:rsid w:val="001023BE"/>
    <w:rsid w:val="00112AAE"/>
    <w:rsid w:val="00150FF0"/>
    <w:rsid w:val="0016695A"/>
    <w:rsid w:val="0017670B"/>
    <w:rsid w:val="00176ACB"/>
    <w:rsid w:val="00177DE5"/>
    <w:rsid w:val="00195F61"/>
    <w:rsid w:val="001A5BAD"/>
    <w:rsid w:val="001C5472"/>
    <w:rsid w:val="001F35B8"/>
    <w:rsid w:val="00222D4B"/>
    <w:rsid w:val="00275606"/>
    <w:rsid w:val="00291792"/>
    <w:rsid w:val="002A49CC"/>
    <w:rsid w:val="002B2448"/>
    <w:rsid w:val="002D2436"/>
    <w:rsid w:val="002D6470"/>
    <w:rsid w:val="00321857"/>
    <w:rsid w:val="003A7707"/>
    <w:rsid w:val="00433986"/>
    <w:rsid w:val="00444556"/>
    <w:rsid w:val="00444C1C"/>
    <w:rsid w:val="00455930"/>
    <w:rsid w:val="004717AE"/>
    <w:rsid w:val="0049170F"/>
    <w:rsid w:val="004F3C08"/>
    <w:rsid w:val="004F7407"/>
    <w:rsid w:val="00505032"/>
    <w:rsid w:val="00515BB5"/>
    <w:rsid w:val="00536447"/>
    <w:rsid w:val="0055680E"/>
    <w:rsid w:val="00564243"/>
    <w:rsid w:val="00570CD7"/>
    <w:rsid w:val="00585808"/>
    <w:rsid w:val="0059097C"/>
    <w:rsid w:val="005B03A7"/>
    <w:rsid w:val="005C5B7C"/>
    <w:rsid w:val="006018EC"/>
    <w:rsid w:val="00656FF9"/>
    <w:rsid w:val="006755A6"/>
    <w:rsid w:val="0068014E"/>
    <w:rsid w:val="006829A9"/>
    <w:rsid w:val="006D5139"/>
    <w:rsid w:val="006E7F98"/>
    <w:rsid w:val="00706A5C"/>
    <w:rsid w:val="0075057A"/>
    <w:rsid w:val="00752F85"/>
    <w:rsid w:val="00773A92"/>
    <w:rsid w:val="0077445E"/>
    <w:rsid w:val="007A1C33"/>
    <w:rsid w:val="007E38AB"/>
    <w:rsid w:val="00834A89"/>
    <w:rsid w:val="00842F00"/>
    <w:rsid w:val="008858CA"/>
    <w:rsid w:val="008929B3"/>
    <w:rsid w:val="008A43E9"/>
    <w:rsid w:val="008E68FD"/>
    <w:rsid w:val="0092744F"/>
    <w:rsid w:val="0093192F"/>
    <w:rsid w:val="00953AE8"/>
    <w:rsid w:val="00960309"/>
    <w:rsid w:val="009841AE"/>
    <w:rsid w:val="009E4FBD"/>
    <w:rsid w:val="009E5004"/>
    <w:rsid w:val="00A12EF2"/>
    <w:rsid w:val="00A221E2"/>
    <w:rsid w:val="00A23421"/>
    <w:rsid w:val="00A27F80"/>
    <w:rsid w:val="00A737FD"/>
    <w:rsid w:val="00A82B6B"/>
    <w:rsid w:val="00AA2C4A"/>
    <w:rsid w:val="00B73A9B"/>
    <w:rsid w:val="00B773AC"/>
    <w:rsid w:val="00BC63BB"/>
    <w:rsid w:val="00BD605A"/>
    <w:rsid w:val="00BF3C19"/>
    <w:rsid w:val="00BF66BA"/>
    <w:rsid w:val="00C24CC3"/>
    <w:rsid w:val="00C84032"/>
    <w:rsid w:val="00D12360"/>
    <w:rsid w:val="00D17EF1"/>
    <w:rsid w:val="00D246D3"/>
    <w:rsid w:val="00D33570"/>
    <w:rsid w:val="00D94966"/>
    <w:rsid w:val="00DB4168"/>
    <w:rsid w:val="00DF17C8"/>
    <w:rsid w:val="00E00201"/>
    <w:rsid w:val="00E221F0"/>
    <w:rsid w:val="00E33BE1"/>
    <w:rsid w:val="00E34D96"/>
    <w:rsid w:val="00EE55D6"/>
    <w:rsid w:val="00EF3D83"/>
    <w:rsid w:val="00F04A3F"/>
    <w:rsid w:val="00FD43D9"/>
    <w:rsid w:val="00FF5DE8"/>
    <w:rsid w:val="50C74B2F"/>
    <w:rsid w:val="57BD0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0" w:name="Body Text"/>
    <w:lsdException w:qFormat="1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nhideWhenUsed="0" w:uiPriority="22" w:semiHidden="0" w:name="Strong"/>
    <w:lsdException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0"/>
    <w:pPr>
      <w:keepNext/>
      <w:keepLines/>
      <w:widowControl/>
      <w:numPr>
        <w:ilvl w:val="0"/>
        <w:numId w:val="1"/>
      </w:numPr>
      <w:wordWrap w:val="0"/>
      <w:spacing w:line="360" w:lineRule="auto"/>
      <w:jc w:val="left"/>
      <w:outlineLvl w:val="0"/>
    </w:pPr>
    <w:rPr>
      <w:rFonts w:ascii="宋体" w:hAnsi="宋体" w:eastAsia="宋体" w:cs="Times New Roman"/>
      <w:b/>
      <w:bCs/>
      <w:color w:val="000000"/>
      <w:kern w:val="48"/>
      <w:sz w:val="30"/>
      <w:szCs w:val="36"/>
      <w:lang w:val="zh-CN"/>
    </w:rPr>
  </w:style>
  <w:style w:type="paragraph" w:styleId="3">
    <w:name w:val="heading 2"/>
    <w:basedOn w:val="1"/>
    <w:next w:val="1"/>
    <w:link w:val="19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宋体" w:hAnsi="宋体" w:eastAsia="宋体" w:cstheme="majorBidi"/>
      <w:b/>
      <w:bCs/>
      <w:sz w:val="30"/>
      <w:szCs w:val="32"/>
    </w:rPr>
  </w:style>
  <w:style w:type="paragraph" w:styleId="4">
    <w:name w:val="heading 3"/>
    <w:basedOn w:val="1"/>
    <w:next w:val="1"/>
    <w:link w:val="20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rFonts w:ascii="宋体" w:hAnsi="宋体" w:eastAsia="宋体"/>
      <w:b/>
      <w:bCs/>
      <w:sz w:val="30"/>
      <w:szCs w:val="32"/>
    </w:rPr>
  </w:style>
  <w:style w:type="paragraph" w:styleId="5">
    <w:name w:val="heading 4"/>
    <w:basedOn w:val="1"/>
    <w:next w:val="1"/>
    <w:link w:val="21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宋体" w:hAnsi="宋体" w:eastAsia="宋体" w:cstheme="majorBidi"/>
      <w:b/>
      <w:bCs/>
      <w:sz w:val="30"/>
      <w:szCs w:val="28"/>
    </w:rPr>
  </w:style>
  <w:style w:type="paragraph" w:styleId="6">
    <w:name w:val="heading 5"/>
    <w:basedOn w:val="1"/>
    <w:next w:val="1"/>
    <w:link w:val="22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rFonts w:ascii="宋体" w:hAnsi="宋体" w:eastAsia="宋体"/>
      <w:b/>
      <w:bCs/>
      <w:sz w:val="30"/>
      <w:szCs w:val="28"/>
    </w:rPr>
  </w:style>
  <w:style w:type="paragraph" w:styleId="7">
    <w:name w:val="heading 6"/>
    <w:basedOn w:val="1"/>
    <w:next w:val="1"/>
    <w:link w:val="23"/>
    <w:qFormat/>
    <w:uiPriority w:val="0"/>
    <w:pPr>
      <w:keepNext/>
      <w:keepLines/>
      <w:numPr>
        <w:ilvl w:val="5"/>
        <w:numId w:val="2"/>
      </w:numPr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8">
    <w:name w:val="heading 7"/>
    <w:basedOn w:val="1"/>
    <w:next w:val="1"/>
    <w:link w:val="24"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character" w:default="1" w:styleId="16">
    <w:name w:val="Default Paragraph Font"/>
    <w:semiHidden/>
    <w:unhideWhenUsed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Body Text"/>
    <w:basedOn w:val="1"/>
    <w:link w:val="29"/>
    <w:semiHidden/>
    <w:unhideWhenUsed/>
    <w:qFormat/>
    <w:uiPriority w:val="0"/>
    <w:pPr>
      <w:spacing w:after="120"/>
    </w:pPr>
    <w:rPr>
      <w:rFonts w:ascii="Calibri" w:hAnsi="Calibri" w:eastAsia="宋体" w:cs="Times New Roman"/>
      <w:szCs w:val="20"/>
    </w:rPr>
  </w:style>
  <w:style w:type="paragraph" w:styleId="10">
    <w:name w:val="Body Text Indent"/>
    <w:basedOn w:val="1"/>
    <w:link w:val="25"/>
    <w:semiHidden/>
    <w:unhideWhenUsed/>
    <w:qFormat/>
    <w:uiPriority w:val="0"/>
    <w:pPr>
      <w:spacing w:after="120"/>
      <w:ind w:left="420" w:leftChars="200"/>
    </w:pPr>
    <w:rPr>
      <w:rFonts w:ascii="Calibri" w:hAnsi="Calibri" w:eastAsia="宋体" w:cs="Times New Roman"/>
      <w:sz w:val="28"/>
      <w:szCs w:val="20"/>
    </w:rPr>
  </w:style>
  <w:style w:type="paragraph" w:styleId="11">
    <w:name w:val="footer"/>
    <w:basedOn w:val="1"/>
    <w:link w:val="2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autoRedefine/>
    <w:semiHidden/>
    <w:unhideWhenUsed/>
    <w:qFormat/>
    <w:uiPriority w:val="39"/>
    <w:rPr>
      <w:rFonts w:ascii="Calibri" w:hAnsi="Calibri" w:eastAsia="宋体" w:cs="Times New Roman"/>
      <w:szCs w:val="20"/>
    </w:rPr>
  </w:style>
  <w:style w:type="table" w:styleId="15">
    <w:name w:val="Table Grid"/>
    <w:basedOn w:val="14"/>
    <w:qFormat/>
    <w:uiPriority w:val="0"/>
    <w:rPr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标题 1 字符"/>
    <w:basedOn w:val="16"/>
    <w:qFormat/>
    <w:uiPriority w:val="9"/>
    <w:rPr>
      <w:b/>
      <w:bCs/>
      <w:kern w:val="44"/>
      <w:sz w:val="44"/>
      <w:szCs w:val="44"/>
    </w:rPr>
  </w:style>
  <w:style w:type="character" w:customStyle="1" w:styleId="18">
    <w:name w:val="标题 1 字符1"/>
    <w:link w:val="2"/>
    <w:qFormat/>
    <w:uiPriority w:val="0"/>
    <w:rPr>
      <w:rFonts w:ascii="宋体" w:hAnsi="宋体" w:eastAsia="宋体" w:cs="Times New Roman"/>
      <w:b/>
      <w:bCs/>
      <w:color w:val="000000"/>
      <w:kern w:val="48"/>
      <w:sz w:val="30"/>
      <w:szCs w:val="36"/>
      <w:lang w:val="zh-CN"/>
    </w:rPr>
  </w:style>
  <w:style w:type="character" w:customStyle="1" w:styleId="19">
    <w:name w:val="标题 2 字符"/>
    <w:basedOn w:val="16"/>
    <w:link w:val="3"/>
    <w:qFormat/>
    <w:uiPriority w:val="0"/>
    <w:rPr>
      <w:rFonts w:ascii="宋体" w:hAnsi="宋体" w:eastAsia="宋体" w:cstheme="majorBidi"/>
      <w:b/>
      <w:bCs/>
      <w:sz w:val="30"/>
      <w:szCs w:val="32"/>
    </w:rPr>
  </w:style>
  <w:style w:type="character" w:customStyle="1" w:styleId="20">
    <w:name w:val="标题 3 字符"/>
    <w:basedOn w:val="16"/>
    <w:link w:val="4"/>
    <w:qFormat/>
    <w:uiPriority w:val="0"/>
    <w:rPr>
      <w:rFonts w:ascii="宋体" w:hAnsi="宋体" w:eastAsia="宋体"/>
      <w:b/>
      <w:bCs/>
      <w:sz w:val="30"/>
      <w:szCs w:val="32"/>
    </w:rPr>
  </w:style>
  <w:style w:type="character" w:customStyle="1" w:styleId="21">
    <w:name w:val="标题 4 字符"/>
    <w:basedOn w:val="16"/>
    <w:link w:val="5"/>
    <w:qFormat/>
    <w:uiPriority w:val="0"/>
    <w:rPr>
      <w:rFonts w:ascii="宋体" w:hAnsi="宋体" w:eastAsia="宋体" w:cstheme="majorBidi"/>
      <w:b/>
      <w:bCs/>
      <w:sz w:val="30"/>
      <w:szCs w:val="28"/>
    </w:rPr>
  </w:style>
  <w:style w:type="character" w:customStyle="1" w:styleId="22">
    <w:name w:val="标题 5 字符"/>
    <w:basedOn w:val="16"/>
    <w:link w:val="6"/>
    <w:qFormat/>
    <w:uiPriority w:val="0"/>
    <w:rPr>
      <w:rFonts w:ascii="宋体" w:hAnsi="宋体" w:eastAsia="宋体"/>
      <w:b/>
      <w:bCs/>
      <w:sz w:val="30"/>
      <w:szCs w:val="28"/>
    </w:rPr>
  </w:style>
  <w:style w:type="character" w:customStyle="1" w:styleId="23">
    <w:name w:val="标题 6 字符"/>
    <w:basedOn w:val="16"/>
    <w:link w:val="7"/>
    <w:qFormat/>
    <w:uiPriority w:val="0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24">
    <w:name w:val="标题 7 字符"/>
    <w:basedOn w:val="16"/>
    <w:link w:val="8"/>
    <w:qFormat/>
    <w:uiPriority w:val="0"/>
    <w:rPr>
      <w:b/>
      <w:bCs/>
      <w:sz w:val="24"/>
      <w:szCs w:val="24"/>
    </w:rPr>
  </w:style>
  <w:style w:type="character" w:customStyle="1" w:styleId="25">
    <w:name w:val="正文文本缩进 字符"/>
    <w:basedOn w:val="16"/>
    <w:link w:val="10"/>
    <w:semiHidden/>
    <w:qFormat/>
    <w:uiPriority w:val="0"/>
    <w:rPr>
      <w:rFonts w:ascii="Calibri" w:hAnsi="Calibri" w:eastAsia="宋体" w:cs="Times New Roman"/>
      <w:sz w:val="28"/>
      <w:szCs w:val="20"/>
    </w:rPr>
  </w:style>
  <w:style w:type="character" w:customStyle="1" w:styleId="26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27">
    <w:name w:val="页脚 字符"/>
    <w:basedOn w:val="16"/>
    <w:link w:val="11"/>
    <w:qFormat/>
    <w:uiPriority w:val="99"/>
    <w:rPr>
      <w:sz w:val="18"/>
      <w:szCs w:val="18"/>
    </w:rPr>
  </w:style>
  <w:style w:type="paragraph" w:styleId="28">
    <w:name w:val="List Paragraph"/>
    <w:basedOn w:val="1"/>
    <w:qFormat/>
    <w:uiPriority w:val="34"/>
    <w:pPr>
      <w:spacing w:line="300" w:lineRule="auto"/>
      <w:ind w:firstLine="420" w:firstLineChars="200"/>
    </w:pPr>
    <w:rPr>
      <w:rFonts w:ascii="Calibri" w:hAnsi="Calibri" w:eastAsia="仿宋" w:cs="Times New Roman"/>
      <w:sz w:val="24"/>
      <w:szCs w:val="22"/>
    </w:rPr>
  </w:style>
  <w:style w:type="character" w:customStyle="1" w:styleId="29">
    <w:name w:val="正文文本 字符"/>
    <w:basedOn w:val="16"/>
    <w:link w:val="9"/>
    <w:semiHidden/>
    <w:qFormat/>
    <w:uiPriority w:val="0"/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D1F7C-EBA7-4DB2-88F6-F9E0AD7AB18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2420</Words>
  <Characters>2552</Characters>
  <Lines>20</Lines>
  <Paragraphs>5</Paragraphs>
  <TotalTime>694</TotalTime>
  <ScaleCrop>false</ScaleCrop>
  <LinksUpToDate>false</LinksUpToDate>
  <CharactersWithSpaces>2588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2025-04-11T06:28:00Z</dcterms:created>
  <dc:creator>sunmr</dc:creator>
  <cp:lastModifiedBy>cgb</cp:lastModifiedBy>
  <dcterms:modified xsi:type="dcterms:W3CDTF">2026-04-22T01:23:01Z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eyJoZGlkIjoiNzNjZmRlMzY5Y2M4NTdjODMyZDkwNzQ5ZWQ4YjNjYmUiLCJ1c2VySWQiOiI1MjUxMDUwODAifQ==</vt:lpwstr>
  </property>
  <property fmtid="{D5CDD505-2E9C-101B-9397-08002B2CF9AE}" pid="3" name="KSOProductBuildVer">
    <vt:lpwstr>2052-12.1.0.25865</vt:lpwstr>
  </property>
  <property fmtid="{D5CDD505-2E9C-101B-9397-08002B2CF9AE}" pid="4" name="ICV">
    <vt:lpwstr>8CB2EA8A958B40B68CF0CCBE1B84E8FD_12</vt:lpwstr>
  </property>
</Properties>
</file>