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81C535">
      <w:pPr>
        <w:tabs>
          <w:tab w:val="left" w:pos="3120"/>
          <w:tab w:val="center" w:pos="4308"/>
        </w:tabs>
        <w:ind w:firstLine="0"/>
        <w:rPr>
          <w:rFonts w:hint="eastAsia" w:asciiTheme="minorEastAsia" w:hAnsiTheme="minorEastAsia" w:eastAsiaTheme="minorEastAsia"/>
          <w:b/>
        </w:rPr>
      </w:pPr>
      <w:r>
        <w:rPr>
          <w:rFonts w:hint="eastAsia" w:asciiTheme="minorEastAsia" w:hAnsiTheme="minorEastAsia" w:eastAsiaTheme="minorEastAsia"/>
          <w:b/>
        </w:rPr>
        <w:t xml:space="preserve"> </w:t>
      </w:r>
      <w:r>
        <w:rPr>
          <w:rFonts w:asciiTheme="minorEastAsia" w:hAnsiTheme="minorEastAsia" w:eastAsiaTheme="minorEastAsia"/>
          <w:b/>
        </w:rPr>
        <w:tab/>
      </w:r>
    </w:p>
    <w:p w14:paraId="37D8B0AC">
      <w:pPr>
        <w:tabs>
          <w:tab w:val="left" w:pos="3120"/>
          <w:tab w:val="center" w:pos="4308"/>
        </w:tabs>
        <w:ind w:firstLine="0"/>
        <w:rPr>
          <w:rFonts w:hint="eastAsia" w:asciiTheme="minorEastAsia" w:hAnsiTheme="minorEastAsia" w:eastAsiaTheme="minorEastAsia"/>
          <w:b/>
        </w:rPr>
      </w:pPr>
    </w:p>
    <w:p w14:paraId="1810A1B6">
      <w:pPr>
        <w:tabs>
          <w:tab w:val="left" w:pos="3120"/>
          <w:tab w:val="center" w:pos="4308"/>
        </w:tabs>
        <w:ind w:firstLine="0"/>
        <w:rPr>
          <w:rFonts w:hint="eastAsia" w:asciiTheme="minorEastAsia" w:hAnsiTheme="minorEastAsia" w:eastAsiaTheme="minorEastAsia"/>
          <w:b/>
        </w:rPr>
      </w:pPr>
    </w:p>
    <w:p w14:paraId="18AC16EB">
      <w:pPr>
        <w:tabs>
          <w:tab w:val="left" w:pos="3120"/>
          <w:tab w:val="center" w:pos="4308"/>
        </w:tabs>
        <w:ind w:firstLine="0"/>
        <w:rPr>
          <w:rFonts w:hint="eastAsia" w:asciiTheme="minorEastAsia" w:hAnsiTheme="minorEastAsia" w:eastAsiaTheme="minorEastAsia"/>
          <w:b/>
        </w:rPr>
      </w:pPr>
    </w:p>
    <w:p w14:paraId="18A70AE3">
      <w:pPr>
        <w:tabs>
          <w:tab w:val="left" w:pos="3120"/>
          <w:tab w:val="center" w:pos="4308"/>
        </w:tabs>
        <w:ind w:firstLine="0"/>
        <w:rPr>
          <w:rFonts w:hint="eastAsia" w:asciiTheme="minorEastAsia" w:hAnsiTheme="minorEastAsia" w:eastAsiaTheme="minorEastAsia"/>
          <w:b/>
        </w:rPr>
      </w:pPr>
    </w:p>
    <w:p w14:paraId="08D5BB52">
      <w:pPr>
        <w:tabs>
          <w:tab w:val="left" w:pos="3120"/>
          <w:tab w:val="center" w:pos="4308"/>
        </w:tabs>
        <w:ind w:firstLine="0"/>
        <w:rPr>
          <w:rFonts w:hint="eastAsia" w:asciiTheme="minorEastAsia" w:hAnsiTheme="minorEastAsia" w:eastAsiaTheme="minorEastAsia"/>
          <w:b/>
        </w:rPr>
      </w:pPr>
    </w:p>
    <w:p w14:paraId="5F016F71">
      <w:pPr>
        <w:tabs>
          <w:tab w:val="left" w:pos="3120"/>
          <w:tab w:val="center" w:pos="4308"/>
        </w:tabs>
        <w:ind w:firstLine="0"/>
        <w:rPr>
          <w:rFonts w:hint="eastAsia" w:asciiTheme="minorEastAsia" w:hAnsiTheme="minorEastAsia" w:eastAsiaTheme="minorEastAsia"/>
          <w:b/>
        </w:rPr>
      </w:pPr>
    </w:p>
    <w:p w14:paraId="2492F47E">
      <w:pPr>
        <w:tabs>
          <w:tab w:val="left" w:pos="3120"/>
          <w:tab w:val="center" w:pos="4308"/>
        </w:tabs>
        <w:ind w:firstLine="0"/>
        <w:rPr>
          <w:rFonts w:hint="eastAsia" w:asciiTheme="minorEastAsia" w:hAnsiTheme="minorEastAsia" w:eastAsiaTheme="minorEastAsia"/>
          <w:b/>
        </w:rPr>
      </w:pPr>
    </w:p>
    <w:p w14:paraId="704C79C4">
      <w:pPr>
        <w:ind w:left="420" w:firstLine="0"/>
        <w:jc w:val="center"/>
        <w:rPr>
          <w:rFonts w:hint="eastAsia" w:asciiTheme="minorEastAsia" w:hAnsiTheme="minorEastAsia" w:eastAsiaTheme="minorEastAsia"/>
          <w:b/>
          <w:sz w:val="44"/>
          <w:szCs w:val="44"/>
        </w:rPr>
      </w:pPr>
      <w:r>
        <w:rPr>
          <w:rFonts w:hint="eastAsia" w:asciiTheme="minorEastAsia" w:hAnsiTheme="minorEastAsia" w:eastAsiaTheme="minorEastAsia"/>
          <w:b/>
          <w:sz w:val="44"/>
          <w:szCs w:val="44"/>
        </w:rPr>
        <w:t>武汉市中级人民法院2026年度</w:t>
      </w:r>
    </w:p>
    <w:p w14:paraId="69DB2A3C">
      <w:pPr>
        <w:ind w:left="420" w:firstLine="0"/>
        <w:jc w:val="center"/>
        <w:rPr>
          <w:rFonts w:hint="eastAsia" w:asciiTheme="minorEastAsia" w:hAnsiTheme="minorEastAsia" w:eastAsiaTheme="minorEastAsia"/>
          <w:b/>
          <w:sz w:val="44"/>
          <w:szCs w:val="44"/>
        </w:rPr>
      </w:pPr>
      <w:r>
        <w:rPr>
          <w:rFonts w:hint="eastAsia" w:asciiTheme="minorEastAsia" w:hAnsiTheme="minorEastAsia" w:eastAsiaTheme="minorEastAsia"/>
          <w:b/>
          <w:sz w:val="44"/>
          <w:szCs w:val="44"/>
          <w:lang w:eastAsia="zh-CN"/>
        </w:rPr>
        <w:t>终端外设运维服务</w:t>
      </w:r>
      <w:r>
        <w:rPr>
          <w:rFonts w:hint="eastAsia" w:asciiTheme="minorEastAsia" w:hAnsiTheme="minorEastAsia" w:eastAsiaTheme="minorEastAsia"/>
          <w:b/>
          <w:sz w:val="44"/>
          <w:szCs w:val="44"/>
        </w:rPr>
        <w:t>采购需求</w:t>
      </w:r>
    </w:p>
    <w:p w14:paraId="66428718">
      <w:pPr>
        <w:ind w:left="420" w:firstLine="0"/>
        <w:rPr>
          <w:rFonts w:hint="eastAsia" w:asciiTheme="minorEastAsia" w:hAnsiTheme="minorEastAsia" w:eastAsiaTheme="minorEastAsia"/>
        </w:rPr>
      </w:pPr>
    </w:p>
    <w:p w14:paraId="3B288BE1">
      <w:pPr>
        <w:ind w:left="420" w:firstLine="0"/>
        <w:rPr>
          <w:rFonts w:hint="eastAsia" w:asciiTheme="minorEastAsia" w:hAnsiTheme="minorEastAsia" w:eastAsiaTheme="minorEastAsia"/>
        </w:rPr>
      </w:pPr>
    </w:p>
    <w:p w14:paraId="4CCFB747">
      <w:pPr>
        <w:ind w:left="420" w:firstLine="0"/>
        <w:rPr>
          <w:rFonts w:hint="eastAsia" w:asciiTheme="minorEastAsia" w:hAnsiTheme="minorEastAsia" w:eastAsiaTheme="minorEastAsia"/>
        </w:rPr>
      </w:pPr>
    </w:p>
    <w:p w14:paraId="057B8DF7">
      <w:pPr>
        <w:ind w:left="420" w:firstLine="0"/>
        <w:rPr>
          <w:rFonts w:hint="eastAsia" w:asciiTheme="minorEastAsia" w:hAnsiTheme="minorEastAsia" w:eastAsiaTheme="minorEastAsia"/>
        </w:rPr>
      </w:pPr>
    </w:p>
    <w:p w14:paraId="633DCBD1">
      <w:pPr>
        <w:ind w:left="0" w:leftChars="0" w:firstLine="0" w:firstLineChars="0"/>
        <w:rPr>
          <w:rFonts w:hint="eastAsia" w:asciiTheme="minorEastAsia" w:hAnsiTheme="minorEastAsia" w:eastAsiaTheme="minorEastAsia"/>
        </w:rPr>
      </w:pPr>
    </w:p>
    <w:p w14:paraId="299E519B">
      <w:pPr>
        <w:ind w:left="0" w:leftChars="0" w:firstLine="0" w:firstLineChars="0"/>
        <w:rPr>
          <w:rFonts w:hint="eastAsia" w:asciiTheme="minorEastAsia" w:hAnsiTheme="minorEastAsia" w:eastAsiaTheme="minorEastAsia"/>
        </w:rPr>
      </w:pPr>
    </w:p>
    <w:p w14:paraId="489B6670">
      <w:pPr>
        <w:ind w:left="420" w:firstLine="0"/>
        <w:rPr>
          <w:rFonts w:hint="eastAsia" w:asciiTheme="minorEastAsia" w:hAnsiTheme="minorEastAsia" w:eastAsiaTheme="minorEastAsia"/>
        </w:rPr>
      </w:pPr>
    </w:p>
    <w:p w14:paraId="0E0730FF">
      <w:pPr>
        <w:ind w:left="420" w:firstLine="0"/>
        <w:rPr>
          <w:rFonts w:hint="eastAsia" w:asciiTheme="minorEastAsia" w:hAnsiTheme="minorEastAsia" w:eastAsiaTheme="minorEastAsia"/>
        </w:rPr>
      </w:pPr>
    </w:p>
    <w:p w14:paraId="5A658DE0">
      <w:pPr>
        <w:ind w:left="420" w:firstLine="0"/>
        <w:rPr>
          <w:rFonts w:hint="eastAsia" w:asciiTheme="minorEastAsia" w:hAnsiTheme="minorEastAsia" w:eastAsiaTheme="minorEastAsia"/>
        </w:rPr>
      </w:pPr>
    </w:p>
    <w:p w14:paraId="12136BAC">
      <w:pPr>
        <w:ind w:left="420" w:firstLine="0"/>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t>武汉市中级人民法院</w:t>
      </w:r>
    </w:p>
    <w:p w14:paraId="4F9B3BC5">
      <w:pPr>
        <w:ind w:left="420" w:firstLine="0"/>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t>2025年</w:t>
      </w:r>
      <w:r>
        <w:rPr>
          <w:rFonts w:asciiTheme="minorEastAsia" w:hAnsiTheme="minorEastAsia" w:eastAsiaTheme="minorEastAsia"/>
          <w:sz w:val="32"/>
          <w:szCs w:val="32"/>
        </w:rPr>
        <w:t>1</w:t>
      </w:r>
      <w:r>
        <w:rPr>
          <w:rFonts w:hint="eastAsia" w:asciiTheme="minorEastAsia" w:hAnsiTheme="minorEastAsia" w:eastAsiaTheme="minorEastAsia"/>
          <w:sz w:val="32"/>
          <w:szCs w:val="32"/>
          <w:lang w:val="en-US" w:eastAsia="zh-CN"/>
        </w:rPr>
        <w:t>2</w:t>
      </w:r>
      <w:r>
        <w:rPr>
          <w:rFonts w:hint="eastAsia" w:asciiTheme="minorEastAsia" w:hAnsiTheme="minorEastAsia" w:eastAsiaTheme="minorEastAsia"/>
          <w:sz w:val="32"/>
          <w:szCs w:val="32"/>
        </w:rPr>
        <w:t>月</w:t>
      </w:r>
    </w:p>
    <w:p w14:paraId="25096F79">
      <w:pPr>
        <w:ind w:left="420" w:firstLine="0"/>
        <w:rPr>
          <w:rFonts w:hint="eastAsia" w:asciiTheme="minorEastAsia" w:hAnsiTheme="minorEastAsia" w:eastAsiaTheme="minorEastAsia"/>
        </w:rPr>
      </w:pPr>
    </w:p>
    <w:p w14:paraId="0406784D">
      <w:pPr>
        <w:ind w:left="420" w:firstLine="0"/>
        <w:rPr>
          <w:rFonts w:hint="eastAsia" w:asciiTheme="minorEastAsia" w:hAnsiTheme="minorEastAsia" w:eastAsiaTheme="minorEastAsia"/>
        </w:rPr>
      </w:pPr>
    </w:p>
    <w:p w14:paraId="1BC31816">
      <w:pPr>
        <w:ind w:firstLine="0"/>
        <w:rPr>
          <w:rFonts w:hint="eastAsia" w:asciiTheme="minorEastAsia" w:hAnsiTheme="minorEastAsia" w:eastAsiaTheme="minorEastAsia"/>
        </w:rPr>
      </w:pPr>
    </w:p>
    <w:p w14:paraId="37FD3F35">
      <w:pPr>
        <w:rPr>
          <w:rFonts w:hint="eastAsia" w:asciiTheme="minorEastAsia" w:hAnsiTheme="minorEastAsia" w:eastAsiaTheme="minorEastAsia"/>
        </w:rPr>
        <w:sectPr>
          <w:headerReference r:id="rId5" w:type="default"/>
          <w:pgSz w:w="11906" w:h="16838"/>
          <w:pgMar w:top="1247" w:right="1588" w:bottom="1701" w:left="1701" w:header="851" w:footer="992" w:gutter="0"/>
          <w:pgNumType w:fmt="upperRoman" w:start="1"/>
          <w:cols w:space="425" w:num="1"/>
          <w:docGrid w:type="linesAndChars" w:linePitch="312" w:charSpace="0"/>
        </w:sectPr>
      </w:pPr>
    </w:p>
    <w:p w14:paraId="15563FDD">
      <w:pPr>
        <w:pStyle w:val="2"/>
        <w:rPr>
          <w:rFonts w:hint="eastAsia" w:asciiTheme="minorEastAsia" w:hAnsiTheme="minorEastAsia" w:eastAsiaTheme="minorEastAsia"/>
        </w:rPr>
      </w:pPr>
      <w:bookmarkStart w:id="0" w:name="_Toc99456624"/>
      <w:r>
        <w:rPr>
          <w:rFonts w:hint="eastAsia" w:asciiTheme="minorEastAsia" w:hAnsiTheme="minorEastAsia" w:eastAsiaTheme="minorEastAsia"/>
        </w:rPr>
        <w:t>采购名称</w:t>
      </w:r>
      <w:bookmarkEnd w:id="0"/>
    </w:p>
    <w:p w14:paraId="63477A39">
      <w:pPr>
        <w:pStyle w:val="12"/>
        <w:tabs>
          <w:tab w:val="left" w:pos="0"/>
          <w:tab w:val="left" w:pos="284"/>
          <w:tab w:val="left" w:pos="851"/>
        </w:tabs>
        <w:ind w:firstLine="340" w:firstLineChars="142"/>
        <w:rPr>
          <w:rFonts w:hint="eastAsia" w:asciiTheme="minorEastAsia" w:hAnsiTheme="minorEastAsia" w:eastAsiaTheme="minorEastAsia"/>
          <w:color w:val="000000"/>
        </w:rPr>
      </w:pPr>
      <w:r>
        <w:rPr>
          <w:rFonts w:hint="eastAsia" w:asciiTheme="minorEastAsia" w:hAnsiTheme="minorEastAsia" w:eastAsiaTheme="minorEastAsia"/>
          <w:color w:val="000000"/>
        </w:rPr>
        <w:t>项目名称：武汉市中级人民法院2026年度终端外设运维服务。</w:t>
      </w:r>
    </w:p>
    <w:p w14:paraId="5174F59A"/>
    <w:p w14:paraId="624F69A4">
      <w:pPr>
        <w:pStyle w:val="2"/>
        <w:rPr>
          <w:rFonts w:hint="eastAsia" w:asciiTheme="minorEastAsia" w:hAnsiTheme="minorEastAsia" w:eastAsiaTheme="minorEastAsia"/>
        </w:rPr>
      </w:pPr>
      <w:bookmarkStart w:id="1" w:name="_Toc99456625"/>
      <w:r>
        <w:rPr>
          <w:rFonts w:hint="eastAsia" w:asciiTheme="minorEastAsia" w:hAnsiTheme="minorEastAsia" w:eastAsiaTheme="minorEastAsia"/>
        </w:rPr>
        <w:t>采购预算</w:t>
      </w:r>
      <w:bookmarkEnd w:id="1"/>
    </w:p>
    <w:p w14:paraId="355B059B">
      <w:pPr>
        <w:pStyle w:val="12"/>
        <w:tabs>
          <w:tab w:val="left" w:pos="0"/>
          <w:tab w:val="left" w:pos="284"/>
          <w:tab w:val="left" w:pos="851"/>
        </w:tabs>
        <w:ind w:firstLine="340" w:firstLineChars="142"/>
        <w:rPr>
          <w:rFonts w:hint="eastAsia" w:asciiTheme="minorEastAsia" w:hAnsiTheme="minorEastAsia" w:eastAsiaTheme="minorEastAsia"/>
          <w:b/>
        </w:rPr>
      </w:pPr>
      <w:r>
        <w:rPr>
          <w:rFonts w:hint="eastAsia" w:asciiTheme="minorEastAsia" w:hAnsiTheme="minorEastAsia" w:eastAsiaTheme="minorEastAsia"/>
          <w:color w:val="000000"/>
          <w:highlight w:val="none"/>
        </w:rPr>
        <w:t>采购预算为人民币13</w:t>
      </w:r>
      <w:r>
        <w:rPr>
          <w:rFonts w:hint="eastAsia" w:asciiTheme="minorEastAsia" w:hAnsiTheme="minorEastAsia" w:eastAsiaTheme="minorEastAsia"/>
          <w:color w:val="000000"/>
          <w:highlight w:val="none"/>
          <w:lang w:val="en-US" w:eastAsia="zh-CN"/>
        </w:rPr>
        <w:t>4.8002</w:t>
      </w:r>
      <w:r>
        <w:rPr>
          <w:rFonts w:hint="eastAsia" w:asciiTheme="minorEastAsia" w:hAnsiTheme="minorEastAsia" w:eastAsiaTheme="minorEastAsia"/>
          <w:color w:val="000000"/>
          <w:highlight w:val="none"/>
        </w:rPr>
        <w:t>万元；供应商报价超采购预算均为无效报价。</w:t>
      </w:r>
    </w:p>
    <w:p w14:paraId="432A5166"/>
    <w:p w14:paraId="040DAAA4">
      <w:pPr>
        <w:pStyle w:val="2"/>
        <w:rPr>
          <w:rFonts w:hint="eastAsia" w:asciiTheme="minorEastAsia" w:hAnsiTheme="minorEastAsia" w:eastAsiaTheme="minorEastAsia"/>
        </w:rPr>
      </w:pPr>
      <w:bookmarkStart w:id="2" w:name="_Toc99456626"/>
      <w:r>
        <w:rPr>
          <w:rFonts w:hint="eastAsia" w:asciiTheme="minorEastAsia" w:hAnsiTheme="minorEastAsia" w:eastAsiaTheme="minorEastAsia"/>
        </w:rPr>
        <w:t>采购需求</w:t>
      </w:r>
      <w:bookmarkEnd w:id="2"/>
    </w:p>
    <w:p w14:paraId="07905CEB">
      <w:pPr>
        <w:pStyle w:val="4"/>
      </w:pPr>
      <w:bookmarkStart w:id="3" w:name="_Toc99456627"/>
      <w:r>
        <w:rPr>
          <w:rFonts w:hint="eastAsia"/>
        </w:rPr>
        <w:t>服务目标</w:t>
      </w:r>
      <w:bookmarkEnd w:id="3"/>
    </w:p>
    <w:p w14:paraId="29023568">
      <w:pPr>
        <w:ind w:firstLine="480" w:firstLineChars="200"/>
        <w:rPr>
          <w:rFonts w:hint="eastAsia" w:asciiTheme="minorEastAsia" w:hAnsiTheme="minorEastAsia" w:eastAsiaTheme="minorEastAsia"/>
          <w:bCs/>
        </w:rPr>
      </w:pPr>
      <w:r>
        <w:rPr>
          <w:rFonts w:hint="eastAsia" w:asciiTheme="minorEastAsia" w:hAnsiTheme="minorEastAsia" w:eastAsiaTheme="minorEastAsia"/>
          <w:bCs/>
        </w:rPr>
        <w:t>信息系统技术运维服务是希望通过整合运维资源、完善制度、明确职责、规范流程、加强管理、强化监督、落实考评等措施，为武汉市中级人民法院全院干警提供“一站式”服务，保障全院硬件设备正常运转，实现运维保障体系规范性、有效性、及时性、完善性，确保信息化技术为全院办公办案工作提供最直接、最有效的技术支撑。</w:t>
      </w:r>
    </w:p>
    <w:p w14:paraId="5D301C55">
      <w:pPr>
        <w:ind w:firstLine="540" w:firstLineChars="225"/>
        <w:rPr>
          <w:rFonts w:hint="eastAsia" w:asciiTheme="minorEastAsia" w:hAnsiTheme="minorEastAsia" w:eastAsiaTheme="minorEastAsia"/>
          <w:bCs/>
        </w:rPr>
      </w:pPr>
      <w:r>
        <w:rPr>
          <w:rFonts w:hint="eastAsia" w:asciiTheme="minorEastAsia" w:hAnsiTheme="minorEastAsia" w:eastAsiaTheme="minorEastAsia"/>
          <w:bCs/>
        </w:rPr>
        <w:t>主要工作任务是：在现有信息化设施的基础上，利用专业公司的技术、人力等资源，通过科学规范的运维管理方法，提供各项可应用、可量化、可管理、可评估的信息化系统运维服务。现有的信息硬件设备技术维护主要涵盖院机关所有场所终端网络、桌面办公设备、电话通信、有线电视、机关 LED显示屏、门禁考勤系统、视频会议系统、其他音视频会议室、科技法庭系统、安防监控系统和诉讼服务中心智能终端相关软硬件系统等相关设备的运维服务保障工作。</w:t>
      </w:r>
    </w:p>
    <w:p w14:paraId="0AEB707F">
      <w:pPr>
        <w:ind w:firstLine="540" w:firstLineChars="225"/>
        <w:rPr>
          <w:rFonts w:hint="eastAsia" w:asciiTheme="minorEastAsia" w:hAnsiTheme="minorEastAsia" w:eastAsiaTheme="minorEastAsia"/>
          <w:bCs/>
        </w:rPr>
      </w:pPr>
    </w:p>
    <w:p w14:paraId="392990E4">
      <w:pPr>
        <w:rPr>
          <w:rFonts w:hint="eastAsia" w:asciiTheme="minorEastAsia" w:hAnsiTheme="minorEastAsia" w:eastAsiaTheme="minorEastAsia"/>
          <w:bCs/>
        </w:rPr>
      </w:pPr>
    </w:p>
    <w:p w14:paraId="2E69862B">
      <w:pPr>
        <w:pStyle w:val="4"/>
      </w:pPr>
      <w:bookmarkStart w:id="4" w:name="_Toc99456628"/>
      <w:r>
        <w:rPr>
          <w:rFonts w:hint="eastAsia"/>
        </w:rPr>
        <w:t>运维服务清单</w:t>
      </w:r>
      <w:bookmarkEnd w:id="4"/>
    </w:p>
    <w:tbl>
      <w:tblPr>
        <w:tblStyle w:val="18"/>
        <w:tblW w:w="8325" w:type="dxa"/>
        <w:tblInd w:w="93" w:type="dxa"/>
        <w:tblLayout w:type="fixed"/>
        <w:tblCellMar>
          <w:top w:w="0" w:type="dxa"/>
          <w:left w:w="108" w:type="dxa"/>
          <w:bottom w:w="0" w:type="dxa"/>
          <w:right w:w="108" w:type="dxa"/>
        </w:tblCellMar>
      </w:tblPr>
      <w:tblGrid>
        <w:gridCol w:w="985"/>
        <w:gridCol w:w="4570"/>
        <w:gridCol w:w="1524"/>
        <w:gridCol w:w="1246"/>
      </w:tblGrid>
      <w:tr w14:paraId="1A673679">
        <w:tblPrEx>
          <w:tblCellMar>
            <w:top w:w="0" w:type="dxa"/>
            <w:left w:w="108" w:type="dxa"/>
            <w:bottom w:w="0" w:type="dxa"/>
            <w:right w:w="108" w:type="dxa"/>
          </w:tblCellMar>
        </w:tblPrEx>
        <w:trPr>
          <w:trHeight w:val="454" w:hRule="atLeast"/>
        </w:trPr>
        <w:tc>
          <w:tcPr>
            <w:tcW w:w="985" w:type="dxa"/>
            <w:tcBorders>
              <w:top w:val="single" w:color="auto" w:sz="4" w:space="0"/>
              <w:left w:val="single" w:color="auto" w:sz="4" w:space="0"/>
              <w:bottom w:val="single" w:color="auto" w:sz="4" w:space="0"/>
              <w:right w:val="single" w:color="auto" w:sz="4" w:space="0"/>
            </w:tcBorders>
            <w:shd w:val="clear" w:color="auto" w:fill="DDD9C3"/>
            <w:vAlign w:val="center"/>
          </w:tcPr>
          <w:p w14:paraId="58A26CF9">
            <w:pPr>
              <w:ind w:right="-55" w:rightChars="-23" w:firstLine="0"/>
              <w:jc w:val="center"/>
              <w:rPr>
                <w:rFonts w:hint="eastAsia" w:asciiTheme="minorEastAsia" w:hAnsiTheme="minorEastAsia" w:eastAsiaTheme="minorEastAsia"/>
                <w:b/>
                <w:szCs w:val="24"/>
              </w:rPr>
            </w:pPr>
            <w:r>
              <w:rPr>
                <w:rFonts w:hint="eastAsia" w:asciiTheme="minorEastAsia" w:hAnsiTheme="minorEastAsia" w:eastAsiaTheme="minorEastAsia"/>
                <w:b/>
                <w:szCs w:val="24"/>
              </w:rPr>
              <w:t>序号</w:t>
            </w:r>
          </w:p>
        </w:tc>
        <w:tc>
          <w:tcPr>
            <w:tcW w:w="4570" w:type="dxa"/>
            <w:tcBorders>
              <w:top w:val="single" w:color="auto" w:sz="4" w:space="0"/>
              <w:left w:val="nil"/>
              <w:bottom w:val="single" w:color="auto" w:sz="4" w:space="0"/>
              <w:right w:val="single" w:color="auto" w:sz="4" w:space="0"/>
            </w:tcBorders>
            <w:shd w:val="clear" w:color="auto" w:fill="DDD9C3"/>
            <w:vAlign w:val="center"/>
          </w:tcPr>
          <w:p w14:paraId="343BC34F">
            <w:pPr>
              <w:ind w:firstLine="0"/>
              <w:jc w:val="center"/>
              <w:rPr>
                <w:rFonts w:hint="eastAsia" w:asciiTheme="minorEastAsia" w:hAnsiTheme="minorEastAsia" w:eastAsiaTheme="minorEastAsia"/>
                <w:b/>
                <w:szCs w:val="24"/>
              </w:rPr>
            </w:pPr>
            <w:r>
              <w:rPr>
                <w:rFonts w:hint="eastAsia" w:asciiTheme="minorEastAsia" w:hAnsiTheme="minorEastAsia" w:eastAsiaTheme="minorEastAsia"/>
                <w:b/>
                <w:szCs w:val="24"/>
              </w:rPr>
              <w:t>名称</w:t>
            </w:r>
          </w:p>
        </w:tc>
        <w:tc>
          <w:tcPr>
            <w:tcW w:w="1524" w:type="dxa"/>
            <w:tcBorders>
              <w:top w:val="single" w:color="auto" w:sz="4" w:space="0"/>
              <w:left w:val="nil"/>
              <w:bottom w:val="single" w:color="auto" w:sz="4" w:space="0"/>
              <w:right w:val="single" w:color="auto" w:sz="4" w:space="0"/>
            </w:tcBorders>
            <w:shd w:val="clear" w:color="auto" w:fill="DDD9C3"/>
            <w:vAlign w:val="center"/>
          </w:tcPr>
          <w:p w14:paraId="306CC6B7">
            <w:pPr>
              <w:ind w:firstLine="0"/>
              <w:jc w:val="center"/>
              <w:rPr>
                <w:rFonts w:hint="eastAsia" w:asciiTheme="minorEastAsia" w:hAnsiTheme="minorEastAsia" w:eastAsiaTheme="minorEastAsia"/>
                <w:b/>
                <w:szCs w:val="24"/>
              </w:rPr>
            </w:pPr>
            <w:r>
              <w:rPr>
                <w:rFonts w:hint="eastAsia" w:asciiTheme="minorEastAsia" w:hAnsiTheme="minorEastAsia" w:eastAsiaTheme="minorEastAsia"/>
                <w:b/>
                <w:szCs w:val="24"/>
              </w:rPr>
              <w:t>数量</w:t>
            </w:r>
          </w:p>
        </w:tc>
        <w:tc>
          <w:tcPr>
            <w:tcW w:w="1246" w:type="dxa"/>
            <w:tcBorders>
              <w:top w:val="single" w:color="auto" w:sz="4" w:space="0"/>
              <w:left w:val="nil"/>
              <w:bottom w:val="single" w:color="auto" w:sz="4" w:space="0"/>
              <w:right w:val="single" w:color="auto" w:sz="4" w:space="0"/>
            </w:tcBorders>
            <w:shd w:val="clear" w:color="auto" w:fill="DDD9C3"/>
            <w:vAlign w:val="center"/>
          </w:tcPr>
          <w:p w14:paraId="33A9AAFA">
            <w:pPr>
              <w:ind w:firstLine="0"/>
              <w:jc w:val="center"/>
              <w:rPr>
                <w:rFonts w:hint="eastAsia" w:asciiTheme="minorEastAsia" w:hAnsiTheme="minorEastAsia" w:eastAsiaTheme="minorEastAsia"/>
                <w:b/>
                <w:szCs w:val="24"/>
              </w:rPr>
            </w:pPr>
            <w:r>
              <w:rPr>
                <w:rFonts w:hint="eastAsia" w:asciiTheme="minorEastAsia" w:hAnsiTheme="minorEastAsia" w:eastAsiaTheme="minorEastAsia"/>
                <w:b/>
                <w:szCs w:val="24"/>
              </w:rPr>
              <w:t>单位</w:t>
            </w:r>
          </w:p>
        </w:tc>
      </w:tr>
      <w:tr w14:paraId="62E5AF68">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554C7935">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nil"/>
              <w:bottom w:val="single" w:color="auto" w:sz="4" w:space="0"/>
              <w:right w:val="single" w:color="auto" w:sz="4" w:space="0"/>
            </w:tcBorders>
            <w:vAlign w:val="center"/>
          </w:tcPr>
          <w:p w14:paraId="3E811E9C">
            <w:pPr>
              <w:ind w:right="-55" w:rightChars="-23" w:firstLine="0"/>
              <w:rPr>
                <w:rFonts w:hint="eastAsia" w:asciiTheme="minorEastAsia" w:hAnsiTheme="minorEastAsia" w:eastAsiaTheme="minorEastAsia"/>
                <w:szCs w:val="24"/>
              </w:rPr>
            </w:pPr>
            <w:r>
              <w:rPr>
                <w:rFonts w:hint="eastAsia" w:asciiTheme="minorEastAsia" w:hAnsiTheme="minorEastAsia" w:eastAsiaTheme="minorEastAsia"/>
                <w:kern w:val="0"/>
                <w:szCs w:val="24"/>
              </w:rPr>
              <w:t>终端网络维护服务</w:t>
            </w:r>
          </w:p>
        </w:tc>
        <w:tc>
          <w:tcPr>
            <w:tcW w:w="1524" w:type="dxa"/>
            <w:tcBorders>
              <w:top w:val="nil"/>
              <w:left w:val="nil"/>
              <w:bottom w:val="single" w:color="auto" w:sz="4" w:space="0"/>
              <w:right w:val="single" w:color="auto" w:sz="4" w:space="0"/>
            </w:tcBorders>
            <w:vAlign w:val="center"/>
          </w:tcPr>
          <w:p w14:paraId="2F67CF7D">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nil"/>
              <w:bottom w:val="single" w:color="auto" w:sz="4" w:space="0"/>
              <w:right w:val="single" w:color="auto" w:sz="4" w:space="0"/>
            </w:tcBorders>
            <w:vAlign w:val="center"/>
          </w:tcPr>
          <w:p w14:paraId="423B49F6">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项</w:t>
            </w:r>
          </w:p>
        </w:tc>
      </w:tr>
      <w:tr w14:paraId="7D57C944">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4E9021D4">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37E884D1">
            <w:pPr>
              <w:ind w:right="-55" w:rightChars="-23" w:firstLine="0"/>
              <w:rPr>
                <w:rFonts w:hint="eastAsia" w:asciiTheme="minorEastAsia" w:hAnsiTheme="minorEastAsia" w:eastAsiaTheme="minorEastAsia"/>
                <w:szCs w:val="24"/>
              </w:rPr>
            </w:pPr>
            <w:r>
              <w:rPr>
                <w:rFonts w:hint="eastAsia" w:asciiTheme="minorEastAsia" w:hAnsiTheme="minorEastAsia" w:eastAsiaTheme="minorEastAsia"/>
                <w:kern w:val="0"/>
                <w:szCs w:val="24"/>
              </w:rPr>
              <w:t>桌面办公设备维护服务</w:t>
            </w:r>
          </w:p>
        </w:tc>
        <w:tc>
          <w:tcPr>
            <w:tcW w:w="1524" w:type="dxa"/>
            <w:tcBorders>
              <w:top w:val="nil"/>
              <w:left w:val="single" w:color="auto" w:sz="4" w:space="0"/>
              <w:bottom w:val="single" w:color="auto" w:sz="4" w:space="0"/>
              <w:right w:val="single" w:color="auto" w:sz="4" w:space="0"/>
            </w:tcBorders>
            <w:vAlign w:val="center"/>
          </w:tcPr>
          <w:p w14:paraId="6FBD93FA">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62761479">
            <w:pPr>
              <w:ind w:firstLine="0"/>
              <w:jc w:val="center"/>
              <w:rPr>
                <w:rFonts w:hint="eastAsia" w:asciiTheme="minorEastAsia" w:hAnsiTheme="minorEastAsia" w:eastAsiaTheme="minorEastAsia"/>
              </w:rPr>
            </w:pPr>
            <w:r>
              <w:rPr>
                <w:rFonts w:hint="eastAsia" w:asciiTheme="minorEastAsia" w:hAnsiTheme="minorEastAsia" w:eastAsiaTheme="minorEastAsia"/>
                <w:szCs w:val="24"/>
              </w:rPr>
              <w:t>项</w:t>
            </w:r>
          </w:p>
        </w:tc>
      </w:tr>
      <w:tr w14:paraId="64F8CB5E">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1B5F81DB">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120806B1">
            <w:pPr>
              <w:ind w:right="-55" w:rightChars="-23" w:firstLine="0"/>
              <w:rPr>
                <w:rFonts w:hint="eastAsia" w:asciiTheme="minorEastAsia" w:hAnsiTheme="minorEastAsia" w:eastAsiaTheme="minorEastAsia"/>
                <w:szCs w:val="24"/>
              </w:rPr>
            </w:pPr>
            <w:r>
              <w:rPr>
                <w:rFonts w:hint="eastAsia" w:asciiTheme="minorEastAsia" w:hAnsiTheme="minorEastAsia" w:eastAsiaTheme="minorEastAsia"/>
                <w:kern w:val="0"/>
                <w:szCs w:val="24"/>
              </w:rPr>
              <w:t>电话通信运维服务（座机）</w:t>
            </w:r>
          </w:p>
        </w:tc>
        <w:tc>
          <w:tcPr>
            <w:tcW w:w="1524" w:type="dxa"/>
            <w:tcBorders>
              <w:top w:val="nil"/>
              <w:left w:val="single" w:color="auto" w:sz="4" w:space="0"/>
              <w:bottom w:val="single" w:color="auto" w:sz="4" w:space="0"/>
              <w:right w:val="single" w:color="auto" w:sz="4" w:space="0"/>
            </w:tcBorders>
            <w:vAlign w:val="center"/>
          </w:tcPr>
          <w:p w14:paraId="30DE7B1E">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2CE91808">
            <w:pPr>
              <w:ind w:firstLine="0"/>
              <w:jc w:val="center"/>
              <w:rPr>
                <w:rFonts w:hint="eastAsia" w:asciiTheme="minorEastAsia" w:hAnsiTheme="minorEastAsia" w:eastAsiaTheme="minorEastAsia"/>
              </w:rPr>
            </w:pPr>
            <w:r>
              <w:rPr>
                <w:rFonts w:hint="eastAsia" w:asciiTheme="minorEastAsia" w:hAnsiTheme="minorEastAsia" w:eastAsiaTheme="minorEastAsia"/>
                <w:szCs w:val="24"/>
              </w:rPr>
              <w:t>项</w:t>
            </w:r>
          </w:p>
        </w:tc>
      </w:tr>
      <w:tr w14:paraId="542D15D5">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279B1E81">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50D4DD26">
            <w:pPr>
              <w:ind w:right="-55" w:rightChars="-23" w:firstLine="0"/>
              <w:rPr>
                <w:rFonts w:hint="eastAsia" w:asciiTheme="minorEastAsia" w:hAnsiTheme="minorEastAsia" w:eastAsiaTheme="minorEastAsia"/>
                <w:szCs w:val="24"/>
              </w:rPr>
            </w:pPr>
            <w:r>
              <w:rPr>
                <w:rFonts w:hint="eastAsia" w:asciiTheme="minorEastAsia" w:hAnsiTheme="minorEastAsia" w:eastAsiaTheme="minorEastAsia"/>
                <w:kern w:val="0"/>
                <w:szCs w:val="24"/>
              </w:rPr>
              <w:t>有线电视运维服务</w:t>
            </w:r>
          </w:p>
        </w:tc>
        <w:tc>
          <w:tcPr>
            <w:tcW w:w="1524" w:type="dxa"/>
            <w:tcBorders>
              <w:top w:val="nil"/>
              <w:left w:val="single" w:color="auto" w:sz="4" w:space="0"/>
              <w:bottom w:val="single" w:color="auto" w:sz="4" w:space="0"/>
              <w:right w:val="single" w:color="auto" w:sz="4" w:space="0"/>
            </w:tcBorders>
            <w:vAlign w:val="center"/>
          </w:tcPr>
          <w:p w14:paraId="66467128">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23B8A8CE">
            <w:pPr>
              <w:ind w:firstLine="0"/>
              <w:jc w:val="center"/>
              <w:rPr>
                <w:rFonts w:hint="eastAsia" w:asciiTheme="minorEastAsia" w:hAnsiTheme="minorEastAsia" w:eastAsiaTheme="minorEastAsia"/>
              </w:rPr>
            </w:pPr>
            <w:r>
              <w:rPr>
                <w:rFonts w:hint="eastAsia" w:asciiTheme="minorEastAsia" w:hAnsiTheme="minorEastAsia" w:eastAsiaTheme="minorEastAsia"/>
                <w:szCs w:val="24"/>
              </w:rPr>
              <w:t>项</w:t>
            </w:r>
          </w:p>
        </w:tc>
      </w:tr>
      <w:tr w14:paraId="5122022E">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3D99764F">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5129FE86">
            <w:pPr>
              <w:ind w:right="-55" w:rightChars="-23" w:firstLine="0"/>
              <w:rPr>
                <w:rFonts w:hint="eastAsia" w:asciiTheme="minorEastAsia" w:hAnsiTheme="minorEastAsia" w:eastAsiaTheme="minorEastAsia"/>
                <w:szCs w:val="24"/>
              </w:rPr>
            </w:pPr>
            <w:r>
              <w:rPr>
                <w:rFonts w:hint="eastAsia" w:asciiTheme="minorEastAsia" w:hAnsiTheme="minorEastAsia" w:eastAsiaTheme="minorEastAsia"/>
                <w:kern w:val="0"/>
                <w:szCs w:val="24"/>
              </w:rPr>
              <w:t>LED显示屏信息发布及运维服务</w:t>
            </w:r>
          </w:p>
        </w:tc>
        <w:tc>
          <w:tcPr>
            <w:tcW w:w="1524" w:type="dxa"/>
            <w:tcBorders>
              <w:top w:val="nil"/>
              <w:left w:val="single" w:color="auto" w:sz="4" w:space="0"/>
              <w:bottom w:val="single" w:color="auto" w:sz="4" w:space="0"/>
              <w:right w:val="single" w:color="auto" w:sz="4" w:space="0"/>
            </w:tcBorders>
            <w:vAlign w:val="center"/>
          </w:tcPr>
          <w:p w14:paraId="7EAAED7A">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24CC2696">
            <w:pPr>
              <w:ind w:firstLine="0"/>
              <w:jc w:val="center"/>
              <w:rPr>
                <w:rFonts w:hint="eastAsia" w:asciiTheme="minorEastAsia" w:hAnsiTheme="minorEastAsia" w:eastAsiaTheme="minorEastAsia"/>
              </w:rPr>
            </w:pPr>
            <w:r>
              <w:rPr>
                <w:rFonts w:hint="eastAsia" w:asciiTheme="minorEastAsia" w:hAnsiTheme="minorEastAsia" w:eastAsiaTheme="minorEastAsia"/>
                <w:szCs w:val="24"/>
              </w:rPr>
              <w:t>项</w:t>
            </w:r>
          </w:p>
        </w:tc>
      </w:tr>
      <w:tr w14:paraId="4CB84EA0">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40768538">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7978F4B3">
            <w:pPr>
              <w:ind w:right="-55" w:rightChars="-23" w:firstLine="0"/>
              <w:rPr>
                <w:rFonts w:hint="eastAsia" w:asciiTheme="minorEastAsia" w:hAnsiTheme="minorEastAsia" w:eastAsiaTheme="minorEastAsia"/>
                <w:szCs w:val="24"/>
              </w:rPr>
            </w:pPr>
            <w:r>
              <w:rPr>
                <w:rFonts w:hint="eastAsia" w:asciiTheme="minorEastAsia" w:hAnsiTheme="minorEastAsia" w:eastAsiaTheme="minorEastAsia"/>
                <w:kern w:val="0"/>
                <w:szCs w:val="24"/>
              </w:rPr>
              <w:t>视频会议系统运维服务</w:t>
            </w:r>
          </w:p>
        </w:tc>
        <w:tc>
          <w:tcPr>
            <w:tcW w:w="1524" w:type="dxa"/>
            <w:tcBorders>
              <w:top w:val="nil"/>
              <w:left w:val="single" w:color="auto" w:sz="4" w:space="0"/>
              <w:bottom w:val="single" w:color="auto" w:sz="4" w:space="0"/>
              <w:right w:val="single" w:color="auto" w:sz="4" w:space="0"/>
            </w:tcBorders>
            <w:vAlign w:val="center"/>
          </w:tcPr>
          <w:p w14:paraId="2350BBA5">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57E7A65A">
            <w:pPr>
              <w:ind w:firstLine="0"/>
              <w:jc w:val="center"/>
              <w:rPr>
                <w:rFonts w:hint="eastAsia" w:asciiTheme="minorEastAsia" w:hAnsiTheme="minorEastAsia" w:eastAsiaTheme="minorEastAsia"/>
              </w:rPr>
            </w:pPr>
            <w:r>
              <w:rPr>
                <w:rFonts w:hint="eastAsia" w:asciiTheme="minorEastAsia" w:hAnsiTheme="minorEastAsia" w:eastAsiaTheme="minorEastAsia"/>
                <w:szCs w:val="24"/>
              </w:rPr>
              <w:t>项</w:t>
            </w:r>
          </w:p>
        </w:tc>
      </w:tr>
      <w:tr w14:paraId="11825E34">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2DE8117A">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602FDF61">
            <w:pPr>
              <w:ind w:right="-55" w:rightChars="-23" w:firstLine="0"/>
              <w:rPr>
                <w:rFonts w:hint="eastAsia" w:asciiTheme="minorEastAsia" w:hAnsiTheme="minorEastAsia" w:eastAsiaTheme="minorEastAsia"/>
                <w:kern w:val="0"/>
                <w:szCs w:val="24"/>
              </w:rPr>
            </w:pPr>
            <w:r>
              <w:rPr>
                <w:rFonts w:hint="eastAsia" w:asciiTheme="minorEastAsia" w:hAnsiTheme="minorEastAsia" w:eastAsiaTheme="minorEastAsia"/>
                <w:kern w:val="0"/>
                <w:szCs w:val="24"/>
              </w:rPr>
              <w:t>门禁考勤系统运维服务</w:t>
            </w:r>
          </w:p>
        </w:tc>
        <w:tc>
          <w:tcPr>
            <w:tcW w:w="1524" w:type="dxa"/>
            <w:tcBorders>
              <w:top w:val="nil"/>
              <w:left w:val="single" w:color="auto" w:sz="4" w:space="0"/>
              <w:bottom w:val="single" w:color="auto" w:sz="4" w:space="0"/>
              <w:right w:val="single" w:color="auto" w:sz="4" w:space="0"/>
            </w:tcBorders>
            <w:vAlign w:val="center"/>
          </w:tcPr>
          <w:p w14:paraId="34A91ABA">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123ACE6D">
            <w:pPr>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项</w:t>
            </w:r>
          </w:p>
        </w:tc>
      </w:tr>
      <w:tr w14:paraId="21B42DBC">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4A92FB07">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2C8F8536">
            <w:pPr>
              <w:ind w:right="-55" w:rightChars="-23" w:firstLine="0"/>
              <w:rPr>
                <w:rFonts w:hint="eastAsia" w:asciiTheme="minorEastAsia" w:hAnsiTheme="minorEastAsia" w:eastAsiaTheme="minorEastAsia"/>
                <w:kern w:val="0"/>
                <w:szCs w:val="24"/>
              </w:rPr>
            </w:pPr>
            <w:r>
              <w:rPr>
                <w:rFonts w:hint="eastAsia" w:asciiTheme="minorEastAsia" w:hAnsiTheme="minorEastAsia" w:eastAsiaTheme="minorEastAsia"/>
                <w:kern w:val="0"/>
                <w:szCs w:val="24"/>
              </w:rPr>
              <w:t>安防监控系统运维服务</w:t>
            </w:r>
          </w:p>
        </w:tc>
        <w:tc>
          <w:tcPr>
            <w:tcW w:w="1524" w:type="dxa"/>
            <w:tcBorders>
              <w:top w:val="nil"/>
              <w:left w:val="single" w:color="auto" w:sz="4" w:space="0"/>
              <w:bottom w:val="single" w:color="auto" w:sz="4" w:space="0"/>
              <w:right w:val="single" w:color="auto" w:sz="4" w:space="0"/>
            </w:tcBorders>
            <w:vAlign w:val="center"/>
          </w:tcPr>
          <w:p w14:paraId="286DEC32">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1FA24319">
            <w:pPr>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项</w:t>
            </w:r>
          </w:p>
        </w:tc>
      </w:tr>
      <w:tr w14:paraId="6ED82FCF">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shd w:val="clear"/>
            <w:vAlign w:val="center"/>
          </w:tcPr>
          <w:p w14:paraId="47A5AA13">
            <w:pPr>
              <w:pStyle w:val="34"/>
              <w:numPr>
                <w:ilvl w:val="0"/>
                <w:numId w:val="3"/>
              </w:numPr>
              <w:tabs>
                <w:tab w:val="left" w:pos="33"/>
              </w:tabs>
              <w:ind w:left="-93" w:leftChars="0" w:right="-55" w:rightChars="-23" w:hanging="3" w:firstLineChars="0"/>
              <w:jc w:val="right"/>
              <w:rPr>
                <w:rFonts w:hint="default" w:ascii="Times New Roman" w:hAnsi="Times New Roman" w:cs="Times New Roman" w:eastAsiaTheme="minorEastAsia"/>
                <w:b w:val="0"/>
                <w:bCs/>
                <w:kern w:val="2"/>
                <w:sz w:val="24"/>
                <w:szCs w:val="24"/>
                <w:lang w:val="en-US" w:eastAsia="zh-CN" w:bidi="ar-SA"/>
              </w:rPr>
            </w:pPr>
          </w:p>
        </w:tc>
        <w:tc>
          <w:tcPr>
            <w:tcW w:w="4570" w:type="dxa"/>
            <w:tcBorders>
              <w:top w:val="nil"/>
              <w:left w:val="single" w:color="auto" w:sz="4" w:space="0"/>
              <w:bottom w:val="single" w:color="auto" w:sz="4" w:space="0"/>
              <w:right w:val="single" w:color="auto" w:sz="4" w:space="0"/>
            </w:tcBorders>
            <w:vAlign w:val="center"/>
          </w:tcPr>
          <w:p w14:paraId="77117EEA">
            <w:pPr>
              <w:ind w:right="-55" w:rightChars="-23" w:firstLine="0"/>
              <w:rPr>
                <w:rFonts w:hint="eastAsia" w:asciiTheme="minorEastAsia" w:hAnsiTheme="minorEastAsia" w:eastAsiaTheme="minorEastAsia"/>
                <w:kern w:val="0"/>
                <w:szCs w:val="24"/>
              </w:rPr>
            </w:pPr>
            <w:r>
              <w:rPr>
                <w:rFonts w:hint="eastAsia" w:asciiTheme="minorEastAsia" w:hAnsiTheme="minorEastAsia" w:eastAsiaTheme="minorEastAsia"/>
                <w:kern w:val="0"/>
                <w:szCs w:val="24"/>
              </w:rPr>
              <w:t>诉服中心智能终端运维服务</w:t>
            </w:r>
          </w:p>
        </w:tc>
        <w:tc>
          <w:tcPr>
            <w:tcW w:w="1524" w:type="dxa"/>
            <w:tcBorders>
              <w:top w:val="nil"/>
              <w:left w:val="single" w:color="auto" w:sz="4" w:space="0"/>
              <w:bottom w:val="single" w:color="auto" w:sz="4" w:space="0"/>
              <w:right w:val="single" w:color="auto" w:sz="4" w:space="0"/>
            </w:tcBorders>
            <w:vAlign w:val="center"/>
          </w:tcPr>
          <w:p w14:paraId="50103939">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0A89A3D3">
            <w:pPr>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项</w:t>
            </w:r>
          </w:p>
        </w:tc>
      </w:tr>
      <w:tr w14:paraId="4388108C">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11645E45">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2C3A7A06">
            <w:pPr>
              <w:ind w:right="-55" w:rightChars="-23" w:firstLine="0"/>
              <w:rPr>
                <w:rFonts w:hint="eastAsia" w:asciiTheme="minorEastAsia" w:hAnsiTheme="minorEastAsia" w:eastAsiaTheme="minorEastAsia"/>
                <w:kern w:val="0"/>
                <w:szCs w:val="24"/>
              </w:rPr>
            </w:pPr>
            <w:r>
              <w:rPr>
                <w:rFonts w:hint="eastAsia" w:asciiTheme="minorEastAsia" w:hAnsiTheme="minorEastAsia" w:eastAsiaTheme="minorEastAsia"/>
                <w:kern w:val="0"/>
                <w:szCs w:val="24"/>
              </w:rPr>
              <w:t>科技法庭系统运维服务</w:t>
            </w:r>
          </w:p>
        </w:tc>
        <w:tc>
          <w:tcPr>
            <w:tcW w:w="1524" w:type="dxa"/>
            <w:tcBorders>
              <w:top w:val="nil"/>
              <w:left w:val="single" w:color="auto" w:sz="4" w:space="0"/>
              <w:bottom w:val="single" w:color="auto" w:sz="4" w:space="0"/>
              <w:right w:val="single" w:color="auto" w:sz="4" w:space="0"/>
            </w:tcBorders>
            <w:vAlign w:val="center"/>
          </w:tcPr>
          <w:p w14:paraId="2D58BA62">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016D6BFC">
            <w:pPr>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项</w:t>
            </w:r>
          </w:p>
        </w:tc>
      </w:tr>
      <w:tr w14:paraId="2287AB64">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13B72D9D">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451411A1">
            <w:pPr>
              <w:ind w:right="-55" w:rightChars="-23" w:firstLine="0"/>
              <w:rPr>
                <w:rFonts w:hint="eastAsia" w:asciiTheme="minorEastAsia" w:hAnsiTheme="minorEastAsia" w:eastAsiaTheme="minorEastAsia"/>
                <w:kern w:val="0"/>
                <w:szCs w:val="24"/>
              </w:rPr>
            </w:pPr>
            <w:r>
              <w:rPr>
                <w:rFonts w:hint="eastAsia" w:asciiTheme="minorEastAsia" w:hAnsiTheme="minorEastAsia" w:eastAsiaTheme="minorEastAsia"/>
                <w:kern w:val="0"/>
                <w:szCs w:val="24"/>
              </w:rPr>
              <w:t>音视频设备的运维服务</w:t>
            </w:r>
          </w:p>
        </w:tc>
        <w:tc>
          <w:tcPr>
            <w:tcW w:w="1524" w:type="dxa"/>
            <w:tcBorders>
              <w:top w:val="nil"/>
              <w:left w:val="single" w:color="auto" w:sz="4" w:space="0"/>
              <w:bottom w:val="single" w:color="auto" w:sz="4" w:space="0"/>
              <w:right w:val="single" w:color="auto" w:sz="4" w:space="0"/>
            </w:tcBorders>
            <w:vAlign w:val="center"/>
          </w:tcPr>
          <w:p w14:paraId="7CA8BC2B">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5C733D21">
            <w:pPr>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项</w:t>
            </w:r>
          </w:p>
        </w:tc>
      </w:tr>
      <w:tr w14:paraId="7DAC0025">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6B81BE4C">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7EACE840">
            <w:pPr>
              <w:ind w:right="-55" w:rightChars="-23" w:firstLine="0"/>
              <w:rPr>
                <w:rFonts w:hint="eastAsia" w:asciiTheme="minorEastAsia" w:hAnsiTheme="minorEastAsia" w:eastAsiaTheme="minorEastAsia"/>
                <w:szCs w:val="24"/>
              </w:rPr>
            </w:pPr>
            <w:r>
              <w:rPr>
                <w:rFonts w:hint="eastAsia" w:asciiTheme="minorEastAsia" w:hAnsiTheme="minorEastAsia" w:eastAsiaTheme="minorEastAsia"/>
                <w:kern w:val="0"/>
                <w:szCs w:val="24"/>
              </w:rPr>
              <w:t>各类大型活动及会议保障服务</w:t>
            </w:r>
          </w:p>
        </w:tc>
        <w:tc>
          <w:tcPr>
            <w:tcW w:w="1524" w:type="dxa"/>
            <w:tcBorders>
              <w:top w:val="nil"/>
              <w:left w:val="single" w:color="auto" w:sz="4" w:space="0"/>
              <w:bottom w:val="single" w:color="auto" w:sz="4" w:space="0"/>
              <w:right w:val="single" w:color="auto" w:sz="4" w:space="0"/>
            </w:tcBorders>
            <w:vAlign w:val="center"/>
          </w:tcPr>
          <w:p w14:paraId="2E836F58">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10E1039B">
            <w:pPr>
              <w:ind w:firstLine="0"/>
              <w:jc w:val="center"/>
              <w:rPr>
                <w:rFonts w:hint="eastAsia" w:asciiTheme="minorEastAsia" w:hAnsiTheme="minorEastAsia" w:eastAsiaTheme="minorEastAsia"/>
              </w:rPr>
            </w:pPr>
            <w:r>
              <w:rPr>
                <w:rFonts w:hint="eastAsia" w:asciiTheme="minorEastAsia" w:hAnsiTheme="minorEastAsia" w:eastAsiaTheme="minorEastAsia"/>
                <w:szCs w:val="24"/>
              </w:rPr>
              <w:t>项</w:t>
            </w:r>
          </w:p>
        </w:tc>
      </w:tr>
      <w:tr w14:paraId="5E996AB7">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37B4B234">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2F0AACCE">
            <w:pPr>
              <w:ind w:right="-55" w:rightChars="-23" w:firstLine="0"/>
              <w:rPr>
                <w:rFonts w:hint="eastAsia" w:asciiTheme="minorEastAsia" w:hAnsiTheme="minorEastAsia" w:eastAsiaTheme="minorEastAsia"/>
                <w:szCs w:val="24"/>
              </w:rPr>
            </w:pPr>
            <w:r>
              <w:rPr>
                <w:rFonts w:hint="eastAsia" w:asciiTheme="minorEastAsia" w:hAnsiTheme="minorEastAsia" w:eastAsiaTheme="minorEastAsia"/>
                <w:szCs w:val="24"/>
              </w:rPr>
              <w:t>其他信息化运维服务</w:t>
            </w:r>
          </w:p>
        </w:tc>
        <w:tc>
          <w:tcPr>
            <w:tcW w:w="1524" w:type="dxa"/>
            <w:tcBorders>
              <w:top w:val="nil"/>
              <w:left w:val="single" w:color="auto" w:sz="4" w:space="0"/>
              <w:bottom w:val="single" w:color="auto" w:sz="4" w:space="0"/>
              <w:right w:val="single" w:color="auto" w:sz="4" w:space="0"/>
            </w:tcBorders>
            <w:vAlign w:val="center"/>
          </w:tcPr>
          <w:p w14:paraId="5894F11B">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nil"/>
              <w:left w:val="single" w:color="auto" w:sz="4" w:space="0"/>
              <w:bottom w:val="single" w:color="auto" w:sz="4" w:space="0"/>
              <w:right w:val="single" w:color="auto" w:sz="4" w:space="0"/>
            </w:tcBorders>
            <w:vAlign w:val="center"/>
          </w:tcPr>
          <w:p w14:paraId="517DBF54">
            <w:pPr>
              <w:ind w:firstLine="0"/>
              <w:jc w:val="center"/>
              <w:rPr>
                <w:rFonts w:hint="eastAsia" w:asciiTheme="minorEastAsia" w:hAnsiTheme="minorEastAsia" w:eastAsiaTheme="minorEastAsia"/>
              </w:rPr>
            </w:pPr>
            <w:r>
              <w:rPr>
                <w:rFonts w:hint="eastAsia" w:asciiTheme="minorEastAsia" w:hAnsiTheme="minorEastAsia" w:eastAsiaTheme="minorEastAsia"/>
                <w:szCs w:val="24"/>
              </w:rPr>
              <w:t>项</w:t>
            </w:r>
          </w:p>
        </w:tc>
      </w:tr>
      <w:tr w14:paraId="638A1151">
        <w:tblPrEx>
          <w:tblCellMar>
            <w:top w:w="0" w:type="dxa"/>
            <w:left w:w="108" w:type="dxa"/>
            <w:bottom w:w="0" w:type="dxa"/>
            <w:right w:w="108" w:type="dxa"/>
          </w:tblCellMar>
        </w:tblPrEx>
        <w:trPr>
          <w:trHeight w:val="454" w:hRule="atLeast"/>
        </w:trPr>
        <w:tc>
          <w:tcPr>
            <w:tcW w:w="985" w:type="dxa"/>
            <w:tcBorders>
              <w:top w:val="nil"/>
              <w:left w:val="single" w:color="auto" w:sz="4" w:space="0"/>
              <w:bottom w:val="single" w:color="auto" w:sz="4" w:space="0"/>
              <w:right w:val="single" w:color="auto" w:sz="4" w:space="0"/>
            </w:tcBorders>
            <w:vAlign w:val="center"/>
          </w:tcPr>
          <w:p w14:paraId="114F65CB">
            <w:pPr>
              <w:pStyle w:val="34"/>
              <w:numPr>
                <w:ilvl w:val="0"/>
                <w:numId w:val="3"/>
              </w:numPr>
              <w:tabs>
                <w:tab w:val="left" w:pos="33"/>
              </w:tabs>
              <w:ind w:left="-93" w:right="-55" w:rightChars="-23" w:hanging="3" w:firstLineChars="0"/>
              <w:jc w:val="right"/>
              <w:rPr>
                <w:rFonts w:hint="default" w:ascii="Times New Roman" w:hAnsi="Times New Roman" w:cs="Times New Roman"/>
                <w:b w:val="0"/>
                <w:bCs/>
                <w:sz w:val="24"/>
                <w:szCs w:val="24"/>
              </w:rPr>
            </w:pPr>
          </w:p>
        </w:tc>
        <w:tc>
          <w:tcPr>
            <w:tcW w:w="4570" w:type="dxa"/>
            <w:tcBorders>
              <w:top w:val="nil"/>
              <w:left w:val="single" w:color="auto" w:sz="4" w:space="0"/>
              <w:bottom w:val="single" w:color="auto" w:sz="4" w:space="0"/>
              <w:right w:val="single" w:color="auto" w:sz="4" w:space="0"/>
            </w:tcBorders>
            <w:vAlign w:val="center"/>
          </w:tcPr>
          <w:p w14:paraId="58E8392A">
            <w:pPr>
              <w:ind w:right="-55" w:rightChars="-23" w:firstLine="0"/>
              <w:rPr>
                <w:rFonts w:hint="eastAsia" w:asciiTheme="minorEastAsia" w:hAnsiTheme="minorEastAsia" w:eastAsiaTheme="minorEastAsia"/>
                <w:szCs w:val="24"/>
              </w:rPr>
            </w:pPr>
            <w:r>
              <w:rPr>
                <w:rFonts w:hint="eastAsia" w:asciiTheme="minorEastAsia" w:hAnsiTheme="minorEastAsia" w:eastAsiaTheme="minorEastAsia"/>
                <w:szCs w:val="24"/>
              </w:rPr>
              <w:t>驻场运维团队</w:t>
            </w:r>
          </w:p>
        </w:tc>
        <w:tc>
          <w:tcPr>
            <w:tcW w:w="1524" w:type="dxa"/>
            <w:tcBorders>
              <w:top w:val="nil"/>
              <w:left w:val="single" w:color="auto" w:sz="4" w:space="0"/>
              <w:bottom w:val="single" w:color="auto" w:sz="4" w:space="0"/>
              <w:right w:val="single" w:color="auto" w:sz="4" w:space="0"/>
            </w:tcBorders>
            <w:vAlign w:val="center"/>
          </w:tcPr>
          <w:p w14:paraId="0BFF7914">
            <w:pPr>
              <w:ind w:right="-55" w:rightChars="-23"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1</w:t>
            </w:r>
          </w:p>
        </w:tc>
        <w:tc>
          <w:tcPr>
            <w:tcW w:w="1246" w:type="dxa"/>
            <w:tcBorders>
              <w:top w:val="single" w:color="auto" w:sz="4" w:space="0"/>
              <w:left w:val="single" w:color="auto" w:sz="4" w:space="0"/>
              <w:bottom w:val="single" w:color="auto" w:sz="4" w:space="0"/>
              <w:right w:val="single" w:color="auto" w:sz="4" w:space="0"/>
            </w:tcBorders>
            <w:vAlign w:val="center"/>
          </w:tcPr>
          <w:p w14:paraId="15EE50C9">
            <w:pPr>
              <w:ind w:firstLine="0"/>
              <w:jc w:val="center"/>
              <w:rPr>
                <w:rFonts w:hint="eastAsia" w:asciiTheme="minorEastAsia" w:hAnsiTheme="minorEastAsia" w:eastAsiaTheme="minorEastAsia"/>
              </w:rPr>
            </w:pPr>
            <w:r>
              <w:rPr>
                <w:rFonts w:hint="eastAsia" w:asciiTheme="minorEastAsia" w:hAnsiTheme="minorEastAsia" w:eastAsiaTheme="minorEastAsia"/>
                <w:szCs w:val="24"/>
              </w:rPr>
              <w:t>项</w:t>
            </w:r>
          </w:p>
        </w:tc>
      </w:tr>
    </w:tbl>
    <w:p w14:paraId="1B4B6487"/>
    <w:p w14:paraId="094FB200">
      <w:pPr>
        <w:pStyle w:val="4"/>
      </w:pPr>
      <w:bookmarkStart w:id="5" w:name="_Toc99456629"/>
      <w:r>
        <w:rPr>
          <w:rFonts w:hint="eastAsia"/>
        </w:rPr>
        <w:t>运维服务内容</w:t>
      </w:r>
      <w:bookmarkEnd w:id="5"/>
    </w:p>
    <w:tbl>
      <w:tblPr>
        <w:tblStyle w:val="18"/>
        <w:tblW w:w="8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559"/>
        <w:gridCol w:w="6058"/>
      </w:tblGrid>
      <w:tr w14:paraId="4AF7D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blHeader/>
          <w:jc w:val="center"/>
        </w:trPr>
        <w:tc>
          <w:tcPr>
            <w:tcW w:w="846" w:type="dxa"/>
            <w:vAlign w:val="center"/>
          </w:tcPr>
          <w:p w14:paraId="3ADB7FA1">
            <w:pPr>
              <w:pStyle w:val="36"/>
              <w:spacing w:line="360" w:lineRule="exact"/>
              <w:ind w:firstLine="16" w:firstLineChars="7"/>
              <w:rPr>
                <w:rFonts w:hint="eastAsia" w:asciiTheme="minorEastAsia" w:hAnsiTheme="minorEastAsia" w:eastAsiaTheme="minorEastAsia"/>
                <w:b/>
                <w:bCs/>
              </w:rPr>
            </w:pPr>
            <w:r>
              <w:rPr>
                <w:rFonts w:hint="eastAsia" w:asciiTheme="minorEastAsia" w:hAnsiTheme="minorEastAsia" w:eastAsiaTheme="minorEastAsia"/>
                <w:b/>
                <w:bCs/>
              </w:rPr>
              <w:t>序号</w:t>
            </w:r>
          </w:p>
        </w:tc>
        <w:tc>
          <w:tcPr>
            <w:tcW w:w="1559" w:type="dxa"/>
            <w:noWrap/>
            <w:vAlign w:val="center"/>
          </w:tcPr>
          <w:p w14:paraId="0B299CA1">
            <w:pPr>
              <w:pStyle w:val="36"/>
              <w:spacing w:line="360" w:lineRule="exact"/>
              <w:ind w:firstLine="16" w:firstLineChars="7"/>
              <w:rPr>
                <w:rFonts w:hint="eastAsia" w:asciiTheme="minorEastAsia" w:hAnsiTheme="minorEastAsia" w:eastAsiaTheme="minorEastAsia"/>
                <w:b/>
                <w:bCs/>
              </w:rPr>
            </w:pPr>
            <w:r>
              <w:rPr>
                <w:rFonts w:hint="eastAsia" w:asciiTheme="minorEastAsia" w:hAnsiTheme="minorEastAsia" w:eastAsiaTheme="minorEastAsia"/>
                <w:b/>
                <w:bCs/>
              </w:rPr>
              <w:t>名称</w:t>
            </w:r>
          </w:p>
        </w:tc>
        <w:tc>
          <w:tcPr>
            <w:tcW w:w="6058" w:type="dxa"/>
            <w:noWrap/>
            <w:vAlign w:val="center"/>
          </w:tcPr>
          <w:p w14:paraId="6A44054A">
            <w:pPr>
              <w:pStyle w:val="36"/>
              <w:spacing w:line="360" w:lineRule="exact"/>
              <w:ind w:firstLine="16" w:firstLineChars="7"/>
              <w:rPr>
                <w:rFonts w:hint="eastAsia" w:asciiTheme="minorEastAsia" w:hAnsiTheme="minorEastAsia" w:eastAsiaTheme="minorEastAsia"/>
                <w:b/>
                <w:bCs/>
              </w:rPr>
            </w:pPr>
            <w:r>
              <w:rPr>
                <w:rFonts w:hint="eastAsia" w:asciiTheme="minorEastAsia" w:hAnsiTheme="minorEastAsia" w:eastAsiaTheme="minorEastAsia"/>
                <w:b/>
                <w:bCs/>
              </w:rPr>
              <w:t>技术要求</w:t>
            </w:r>
          </w:p>
        </w:tc>
      </w:tr>
      <w:tr w14:paraId="7AAD3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5D557509">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0F1E2168">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终端网络维护服务</w:t>
            </w:r>
          </w:p>
        </w:tc>
        <w:tc>
          <w:tcPr>
            <w:tcW w:w="6058" w:type="dxa"/>
            <w:noWrap/>
            <w:vAlign w:val="center"/>
          </w:tcPr>
          <w:p w14:paraId="74C2DEB0">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院内网络系统的运行维护，包含互联网、财政专网、电子政务网、法院专网等计算机网络设备的运行维护；</w:t>
            </w:r>
          </w:p>
        </w:tc>
      </w:tr>
      <w:tr w14:paraId="3FD3D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22C51B7">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005DD854">
            <w:pPr>
              <w:pStyle w:val="36"/>
              <w:spacing w:line="360" w:lineRule="exact"/>
              <w:rPr>
                <w:rFonts w:hint="eastAsia" w:asciiTheme="minorEastAsia" w:hAnsiTheme="minorEastAsia" w:eastAsiaTheme="minorEastAsia"/>
              </w:rPr>
            </w:pPr>
          </w:p>
        </w:tc>
        <w:tc>
          <w:tcPr>
            <w:tcW w:w="6058" w:type="dxa"/>
            <w:noWrap/>
            <w:vAlign w:val="center"/>
          </w:tcPr>
          <w:p w14:paraId="2C49B4A7">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院内综合布线系统运维服务，对内网布线系统总配线架、楼层配线架、室内明敷或暗埋管路、室内电缆或光缆运行维护，包含故障检测；</w:t>
            </w:r>
          </w:p>
        </w:tc>
      </w:tr>
      <w:tr w14:paraId="27431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CA7BAA4">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6CEC87BF">
            <w:pPr>
              <w:pStyle w:val="36"/>
              <w:spacing w:line="360" w:lineRule="exact"/>
              <w:rPr>
                <w:rFonts w:hint="eastAsia" w:asciiTheme="minorEastAsia" w:hAnsiTheme="minorEastAsia" w:eastAsiaTheme="minorEastAsia"/>
              </w:rPr>
            </w:pPr>
          </w:p>
        </w:tc>
        <w:tc>
          <w:tcPr>
            <w:tcW w:w="6058" w:type="dxa"/>
            <w:noWrap/>
            <w:vAlign w:val="center"/>
          </w:tcPr>
          <w:p w14:paraId="61A7884C">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法院机关所有配电间、楼层交换机日常巡检管理、维修维护；法院机关网络接入点日常巡检，故障排查，线路维修维护；</w:t>
            </w:r>
          </w:p>
        </w:tc>
      </w:tr>
      <w:tr w14:paraId="3EA10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28719488">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7EDCF317">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桌面办公设备维护服务</w:t>
            </w:r>
          </w:p>
        </w:tc>
        <w:tc>
          <w:tcPr>
            <w:tcW w:w="6058" w:type="dxa"/>
            <w:noWrap/>
            <w:vAlign w:val="center"/>
          </w:tcPr>
          <w:p w14:paraId="6CC9C9BC">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台式电脑、便携笔记本、打印机、复印机、传真机、一体机、扫描仪、碎纸机、一体化速印机、录音笔、照相机、摄像机、投影仪等设备的维护；</w:t>
            </w:r>
          </w:p>
        </w:tc>
      </w:tr>
      <w:tr w14:paraId="17BA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1B0E4340">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395D9EEF">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1A605129">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计算机终端操作系统安装、漏洞扫描、补丁及驱动更新、数据备份、系统垃圾清理、配置优化等；业务应用软件安装、卸载、更新等服务，处理常见故障；</w:t>
            </w:r>
          </w:p>
        </w:tc>
      </w:tr>
      <w:tr w14:paraId="7ECC5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710AB214">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5DB4CC9F">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57DB46C8">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业务应用软件桌面安装、卸载、更新等服务，处理常见故障，对于无法处理的故障及时联系相关厂商配合解决，保障计算机终端各办公软件系统的稳定运行；</w:t>
            </w:r>
          </w:p>
        </w:tc>
      </w:tr>
      <w:tr w14:paraId="79D6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117E7BD1">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2BA8A715">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11C47505">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基本工作包括桌面服务，如电脑、打印机、多媒体设备的维修与维护，需要换件解决的硬件问题，对质保期内的设备需联系供货商进行维保，并组织协调进行跟踪管理，尽快恢复设备正常工作。质保期外的设备报信息中心领导审核，同意后由服务商及时维修，恢复设备正常工作；</w:t>
            </w:r>
          </w:p>
        </w:tc>
      </w:tr>
      <w:tr w14:paraId="46A8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38F6F51C">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21AD9A6B">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4841779E">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定期配合机关保密部门实施设备安全保密检查及防护。</w:t>
            </w:r>
          </w:p>
        </w:tc>
      </w:tr>
      <w:tr w14:paraId="2FB2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3900D2DC">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0FE8CC15">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电话通信运维服务（座机）</w:t>
            </w:r>
          </w:p>
        </w:tc>
        <w:tc>
          <w:tcPr>
            <w:tcW w:w="6058" w:type="dxa"/>
            <w:noWrap/>
            <w:vAlign w:val="center"/>
          </w:tcPr>
          <w:p w14:paraId="075CA535">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电信接入光端机出口连接器经程控交换机、输出配线架、楼层配线架、办公室开关插座至办公人员桌面电话机的所有线路及设备的运行维护；</w:t>
            </w:r>
          </w:p>
        </w:tc>
      </w:tr>
      <w:tr w14:paraId="4DE4C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73BE2927">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57CB912B">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54DAA67C">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定期巡检电话线路，完成需要调整的电话以及线路铺设；</w:t>
            </w:r>
          </w:p>
        </w:tc>
      </w:tr>
      <w:tr w14:paraId="33854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41CCFE3A">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1A6EFE0C">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45EC57C8">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发现运营商网络接入设备及线路故障时，及时通知运营商处理，并进行跟进催办，尽快恢复正常使用。</w:t>
            </w:r>
          </w:p>
        </w:tc>
      </w:tr>
      <w:tr w14:paraId="554A6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3092811B">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671153B7">
            <w:pPr>
              <w:pStyle w:val="36"/>
              <w:spacing w:line="360" w:lineRule="exact"/>
              <w:ind w:firstLine="14" w:firstLineChars="6"/>
              <w:rPr>
                <w:rFonts w:asciiTheme="minorEastAsia" w:hAnsiTheme="minorEastAsia" w:eastAsiaTheme="minorEastAsia"/>
              </w:rPr>
            </w:pPr>
            <w:r>
              <w:rPr>
                <w:rFonts w:hint="eastAsia" w:asciiTheme="minorEastAsia" w:hAnsiTheme="minorEastAsia" w:eastAsiaTheme="minorEastAsia"/>
              </w:rPr>
              <w:t>有线电视</w:t>
            </w:r>
          </w:p>
          <w:p w14:paraId="13A11F7E">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运维服务</w:t>
            </w:r>
          </w:p>
        </w:tc>
        <w:tc>
          <w:tcPr>
            <w:tcW w:w="6058" w:type="dxa"/>
            <w:noWrap/>
            <w:vAlign w:val="center"/>
          </w:tcPr>
          <w:p w14:paraId="0EBB0957">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 xml:space="preserve">有线闭路线路维护，故障检测；线路故障的及时解决，运营商问题的及时反馈跟踪； </w:t>
            </w:r>
          </w:p>
        </w:tc>
      </w:tr>
      <w:tr w14:paraId="7A514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2638782E">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35EB8AC9">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661FC1F6">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定期巡查线路，完成需要调整的线路铺设；</w:t>
            </w:r>
          </w:p>
        </w:tc>
      </w:tr>
      <w:tr w14:paraId="46D1E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2079D5DC">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389CBE06">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kern w:val="0"/>
              </w:rPr>
              <w:t>LED显示屏</w:t>
            </w:r>
            <w:r>
              <w:rPr>
                <w:rFonts w:hint="eastAsia" w:asciiTheme="minorEastAsia" w:hAnsiTheme="minorEastAsia" w:eastAsiaTheme="minorEastAsia"/>
              </w:rPr>
              <w:t>信息发布及运维服务</w:t>
            </w:r>
          </w:p>
        </w:tc>
        <w:tc>
          <w:tcPr>
            <w:tcW w:w="6058" w:type="dxa"/>
            <w:noWrap/>
            <w:vAlign w:val="center"/>
          </w:tcPr>
          <w:p w14:paraId="5BE29365">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对机关LED屏、进行日常巡检；负责LED屏、音频播放系统故障分析处理，及时解决硬件出现的问题；</w:t>
            </w:r>
          </w:p>
        </w:tc>
      </w:tr>
      <w:tr w14:paraId="16674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7B74510">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3FD0322B">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2D51160E">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安装备份LED屏应用软件，备份LED屏参数设置，保障LED操作员正常使用；</w:t>
            </w:r>
          </w:p>
        </w:tc>
      </w:tr>
      <w:tr w14:paraId="06F23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1D1A84E">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369748AC">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64096D48">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进行LED屏、故障检测，及时申报损坏部件，保证LED屏统正常运行；对于无法修复的设备上报领导批示；</w:t>
            </w:r>
          </w:p>
        </w:tc>
      </w:tr>
      <w:tr w14:paraId="6AC0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285E3B2A">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6FCB0D03">
            <w:pPr>
              <w:pStyle w:val="36"/>
              <w:spacing w:line="360" w:lineRule="exact"/>
              <w:ind w:firstLine="14" w:firstLineChars="6"/>
              <w:rPr>
                <w:rFonts w:asciiTheme="minorEastAsia" w:hAnsiTheme="minorEastAsia" w:eastAsiaTheme="minorEastAsia"/>
              </w:rPr>
            </w:pPr>
            <w:r>
              <w:rPr>
                <w:rFonts w:hint="eastAsia" w:asciiTheme="minorEastAsia" w:hAnsiTheme="minorEastAsia" w:eastAsiaTheme="minorEastAsia"/>
              </w:rPr>
              <w:t>视频会议</w:t>
            </w:r>
          </w:p>
          <w:p w14:paraId="28BE515F">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系统运维服务</w:t>
            </w:r>
          </w:p>
        </w:tc>
        <w:tc>
          <w:tcPr>
            <w:tcW w:w="6058" w:type="dxa"/>
            <w:noWrap/>
            <w:vAlign w:val="center"/>
          </w:tcPr>
          <w:p w14:paraId="3AE09460">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视频会议室内相关设备的维护，包括MCU、视频终端、音响系统、显示系统、摄像系统、中控系统、录播系统、控制计算机的软硬件维护、视频会议调试和定期巡检；</w:t>
            </w:r>
          </w:p>
        </w:tc>
      </w:tr>
      <w:tr w14:paraId="6DA7C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0F3F42E0">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29090CB2">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6545F09B">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根据院内要求，做好视频会议保障服务 ，（1）会议调试服务：在重要会议前期配合相应需求部门，做好视频会议的会前设备自检，会前对接、会前调试、会场布置工作，将摄像头，显示大屏，音响设备，麦克风，灯光调至会议最佳模式。（2）会场保障服务：在重要会议召开间做好现场保障服务工作；</w:t>
            </w:r>
          </w:p>
        </w:tc>
      </w:tr>
      <w:tr w14:paraId="5166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5744F6CE">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402EE65F">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4F41C9D6">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非工作时间段内突发重要会议召开情况，应在最短时间安排技术人员赶至现场进行调试，做好会议保障；</w:t>
            </w:r>
          </w:p>
        </w:tc>
      </w:tr>
      <w:tr w14:paraId="3F268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1B157302">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7A546F99">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0ECBB0A7">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对视频会议系统定期做设备巡检及运维保养服务；</w:t>
            </w:r>
          </w:p>
        </w:tc>
      </w:tr>
      <w:tr w14:paraId="48A1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E3A4C71">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6A825E16">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2F23E6F0">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日常巡检：对视频会议设备巡检，检查设备运行状态，指示灯显示状况，声音输入输出是否正常，会议摄像头追踪功能是否正常，录播是否正常；日常维护：诊断、定位、排除视频会议设备基础故障；技术支持：对于故障检测及疑难问题，提供检测判断和针对性应急处理；活动保障：对视频会议进行会前调试，现场保障，会后设备整理，根据现场状况调试视频会议到最佳状态；</w:t>
            </w:r>
          </w:p>
        </w:tc>
      </w:tr>
      <w:tr w14:paraId="0CAD2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66AF69C2">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1BEB2D25">
            <w:pPr>
              <w:pStyle w:val="36"/>
              <w:spacing w:line="360" w:lineRule="exact"/>
              <w:ind w:firstLine="14" w:firstLineChars="6"/>
              <w:rPr>
                <w:rFonts w:asciiTheme="minorEastAsia" w:hAnsiTheme="minorEastAsia" w:eastAsiaTheme="minorEastAsia"/>
              </w:rPr>
            </w:pPr>
            <w:r>
              <w:rPr>
                <w:rFonts w:hint="eastAsia" w:asciiTheme="minorEastAsia" w:hAnsiTheme="minorEastAsia" w:eastAsiaTheme="minorEastAsia"/>
              </w:rPr>
              <w:t>门禁考勤</w:t>
            </w:r>
          </w:p>
          <w:p w14:paraId="1BFF36BB">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系统运维服务</w:t>
            </w:r>
          </w:p>
        </w:tc>
        <w:tc>
          <w:tcPr>
            <w:tcW w:w="6058" w:type="dxa"/>
            <w:noWrap/>
            <w:vAlign w:val="center"/>
          </w:tcPr>
          <w:p w14:paraId="775402A2">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门禁考勤相关设备的维护，包括门禁系统，考勤系统、相关设备的检修和定期巡检；</w:t>
            </w:r>
          </w:p>
        </w:tc>
      </w:tr>
      <w:tr w14:paraId="5E14D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BCDD33D">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4BC2E4C7">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73AF5185">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定期巡查线路，完成需要调整的线路铺设；</w:t>
            </w:r>
          </w:p>
        </w:tc>
      </w:tr>
      <w:tr w14:paraId="37697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42332DE9">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42C9A4BD">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1BDA425A">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门禁考勤系统的数据运维，完成数据的信息录入及删减等等；</w:t>
            </w:r>
          </w:p>
        </w:tc>
      </w:tr>
      <w:tr w14:paraId="18BC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6E95E06C">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03A3CC80">
            <w:pPr>
              <w:pStyle w:val="36"/>
              <w:spacing w:line="360" w:lineRule="exact"/>
              <w:ind w:firstLine="14" w:firstLineChars="6"/>
              <w:rPr>
                <w:rFonts w:asciiTheme="minorEastAsia" w:hAnsiTheme="minorEastAsia" w:eastAsiaTheme="minorEastAsia"/>
              </w:rPr>
            </w:pPr>
            <w:r>
              <w:rPr>
                <w:rFonts w:hint="eastAsia" w:asciiTheme="minorEastAsia" w:hAnsiTheme="minorEastAsia" w:eastAsiaTheme="minorEastAsia"/>
              </w:rPr>
              <w:t>安防监控</w:t>
            </w:r>
          </w:p>
          <w:p w14:paraId="34C23631">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系统运维服务</w:t>
            </w:r>
          </w:p>
        </w:tc>
        <w:tc>
          <w:tcPr>
            <w:tcW w:w="6058" w:type="dxa"/>
            <w:noWrap/>
            <w:vAlign w:val="center"/>
          </w:tcPr>
          <w:p w14:paraId="4B015731">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监控系统终端平台管理设备：NVR硬盘录像机，存储服务器的日常保养维护及系统按厂家要求提供系统更新服务，保障系统的稳定运行出现的问题及时处理，确保系统的配置优化在最佳运行水平；</w:t>
            </w:r>
          </w:p>
        </w:tc>
      </w:tr>
      <w:tr w14:paraId="49B3B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510A8DCF">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1927999B">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1FBDAA67">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电视墙，解码器，交换机，硬盘，日常保养维护，保障监控数据的稳定运行，及时响应及排除系统故障；</w:t>
            </w:r>
          </w:p>
        </w:tc>
      </w:tr>
      <w:tr w14:paraId="7E4B6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1F7C0C92">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23E33659">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2EC91F6D">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前端汇聚和摄像机设备维修（含返厂维修）、日常保养维护其中摄像机按照院方的实际需求适时调整位置及角度，所指定设备配件、耗材更换（含购置、运输、安装及调试费用）、新增点位的安装和维护；</w:t>
            </w:r>
          </w:p>
        </w:tc>
      </w:tr>
      <w:tr w14:paraId="59B0C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3677B136">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0B631C65">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7C27F7A1">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法庭一键报警，按照院方的要求及时日常保养维护管网线路维修、线路更换、新增点位安装以及配件和辅材维护</w:t>
            </w:r>
          </w:p>
        </w:tc>
      </w:tr>
      <w:tr w14:paraId="0C20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5DB88416">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2FAFC789">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049B5EE9">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室外电子围栏日常保养维护管网线路维修、线路更换以及配件和辅材维护；</w:t>
            </w:r>
          </w:p>
        </w:tc>
      </w:tr>
      <w:tr w14:paraId="249B7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006E6258">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67969FA6">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423BAF2B">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巡检服务：项目定期进行巡检，在中院的组织下对重点保障的现场，时时检查测试运行情况，保障设备的运行。</w:t>
            </w:r>
          </w:p>
        </w:tc>
      </w:tr>
      <w:tr w14:paraId="6BBC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846" w:type="dxa"/>
            <w:vMerge w:val="restart"/>
            <w:vAlign w:val="center"/>
          </w:tcPr>
          <w:p w14:paraId="4982C13D">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5727AB60">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诉服中心智能终端运维服务</w:t>
            </w:r>
          </w:p>
        </w:tc>
        <w:tc>
          <w:tcPr>
            <w:tcW w:w="6058" w:type="dxa"/>
            <w:noWrap/>
            <w:vAlign w:val="center"/>
          </w:tcPr>
          <w:p w14:paraId="6AC819C4">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诉服中心智能终端相关设备的维护，包括智能查询终端系统、文书辅助终端系统、电子门牌终端系统、阅卷终端系统、云柜终端系统、自助填单终端系统、自助立案机终端系统、智能导诉终端系统、官通话终端系统、线上线下终端系统、风险评估终端系统、材料收转终端系统等相关设备的检修和定期巡检；</w:t>
            </w:r>
          </w:p>
        </w:tc>
      </w:tr>
      <w:tr w14:paraId="26FD5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846" w:type="dxa"/>
            <w:vMerge w:val="continue"/>
            <w:vAlign w:val="center"/>
          </w:tcPr>
          <w:p w14:paraId="28E068C0">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453D56F1">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2551D186">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终端日常系统运维：运行状态监控和预警、定期巡检维护、开关机、故障处理、调整优化、配置信息备份管理、技术文档管理等；</w:t>
            </w:r>
          </w:p>
        </w:tc>
      </w:tr>
      <w:tr w14:paraId="5ACE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46" w:type="dxa"/>
            <w:vMerge w:val="continue"/>
            <w:vAlign w:val="center"/>
          </w:tcPr>
          <w:p w14:paraId="386741B2">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1C81A8DE">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02E85F5C">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数据库系统运维：运行状态监控和预警、定期巡检维护、开关机、故障处理、调整优化、配置信息备份管理、技术文档管理等；</w:t>
            </w:r>
          </w:p>
        </w:tc>
      </w:tr>
      <w:tr w14:paraId="4214C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846" w:type="dxa"/>
            <w:vMerge w:val="continue"/>
            <w:vAlign w:val="center"/>
          </w:tcPr>
          <w:p w14:paraId="60D755B1">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49BA143B">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438B6334">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中间件系统运维：运行状态监控和预警、定期巡检维护、开关机、故障处理、调整优化、配置信息备份管理、技术文档管理等；</w:t>
            </w:r>
          </w:p>
        </w:tc>
      </w:tr>
      <w:tr w14:paraId="410BD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0" w:hRule="atLeast"/>
          <w:jc w:val="center"/>
        </w:trPr>
        <w:tc>
          <w:tcPr>
            <w:tcW w:w="846" w:type="dxa"/>
            <w:vMerge w:val="continue"/>
            <w:vAlign w:val="center"/>
          </w:tcPr>
          <w:p w14:paraId="2CEF6AEA">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7977EFB3">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47115E97">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软件运维：对软件系统进行需求管理、版本管理、用户和权限管理、运行状态监控及预警、定期巡检维护、故障处理、软件BUG处理、调整优化、数据统计校正、使用支持、系统培训、演示汇报、数据共享等；软件定期升级完善，解决其它系统更新导致的数据不通、系统障碍；软件接口服务随办公软件接口定期更新升级，保障软件硬件终端能与最新的审判业务系统变动与更新升级；</w:t>
            </w:r>
          </w:p>
        </w:tc>
      </w:tr>
      <w:tr w14:paraId="70D96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13FC7214">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14DB364F">
            <w:pPr>
              <w:pStyle w:val="36"/>
              <w:spacing w:line="360" w:lineRule="exact"/>
              <w:ind w:firstLine="14" w:firstLineChars="6"/>
              <w:rPr>
                <w:rFonts w:asciiTheme="minorEastAsia" w:hAnsiTheme="minorEastAsia" w:eastAsiaTheme="minorEastAsia"/>
              </w:rPr>
            </w:pPr>
            <w:r>
              <w:rPr>
                <w:rFonts w:hint="eastAsia" w:asciiTheme="minorEastAsia" w:hAnsiTheme="minorEastAsia" w:eastAsiaTheme="minorEastAsia"/>
              </w:rPr>
              <w:t>科技法庭</w:t>
            </w:r>
          </w:p>
          <w:p w14:paraId="15B10406">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系统运维服务</w:t>
            </w:r>
          </w:p>
        </w:tc>
        <w:tc>
          <w:tcPr>
            <w:tcW w:w="6058" w:type="dxa"/>
            <w:noWrap/>
            <w:vAlign w:val="center"/>
          </w:tcPr>
          <w:p w14:paraId="59CBFE93">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科技法庭设备维护及故障排除，包括：庭审主机（科技法庭庭审主机、看守所庭审主机、法庭端庭审主机）、庭审控制面板、强电控制器、桌面显示分配器、桌面显示切换器、话筒、功放、音响、摄像机、实物展台、网络交换机；</w:t>
            </w:r>
          </w:p>
        </w:tc>
      </w:tr>
      <w:tr w14:paraId="294ED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2775D289">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02740BFB">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2DFA00A2">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科技法庭前端及后端：对武汉中院34套法庭的书记员系统、法官系统、当事人系统以及中院后台科技法庭综合管理平台的日常维护，以及对各类庭审过程（普通开庭、互联网庭审、远程提讯）进行保障；</w:t>
            </w:r>
          </w:p>
        </w:tc>
      </w:tr>
      <w:tr w14:paraId="0868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0C96FC68">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4A3E9C1F">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26DD210E">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音视频综合管理平台：该系统涵盖全市开庭的音视频数据，包含全市科技法庭庭审的实时直播、事后点播的视频信息，该系统可与华夏各系统进行对接，是科技法庭音视频数据的调度平台；</w:t>
            </w:r>
          </w:p>
        </w:tc>
      </w:tr>
      <w:tr w14:paraId="6A8E3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7BBB23E">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02E97488">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2599B5D2">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人大监督管理平台：依托音视频综合管理平台，对全市案件进行分类整理，可通过账号权限设置对案件类别进行权限的分级管理，同时可对案件进行加重点标记等，以及对三类常规案件进行分类统计；</w:t>
            </w:r>
          </w:p>
        </w:tc>
      </w:tr>
      <w:tr w14:paraId="472CC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55952444">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20ED6150">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170E8F0A">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根据院方需求对重要庭审进行保障，必要时提供人员支持，确保科技法庭各设备的正常运行和使用；</w:t>
            </w:r>
          </w:p>
        </w:tc>
      </w:tr>
      <w:tr w14:paraId="70DB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4FC05F0E">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1C70C779">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19C1956A">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定期对每个科技法庭进行巡检一次，并做好巡检记录，需要更换设备或配件需提前申报采购并更换，确科技法庭设备不影响庭审工作；</w:t>
            </w:r>
          </w:p>
        </w:tc>
      </w:tr>
      <w:tr w14:paraId="3D68A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27193D3D">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24F42DCC">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7FF5146D">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做好对涉及运维的科技法庭书记员的培训，以提高书记员对科技法庭运用的水平；</w:t>
            </w:r>
          </w:p>
        </w:tc>
      </w:tr>
      <w:tr w14:paraId="20AF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55F4FBE2">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3DB145A1">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53B86638">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对科技法庭使用人法官和书记员提出的各种使用疑问及时解答。</w:t>
            </w:r>
          </w:p>
        </w:tc>
      </w:tr>
      <w:tr w14:paraId="33047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053D0CF6">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1983B17D">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音视频设备的运维服务</w:t>
            </w:r>
          </w:p>
        </w:tc>
        <w:tc>
          <w:tcPr>
            <w:tcW w:w="6058" w:type="dxa"/>
            <w:noWrap/>
            <w:vAlign w:val="center"/>
          </w:tcPr>
          <w:p w14:paraId="3C527FEA">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审委会会议保障、巡检、设备检修；</w:t>
            </w:r>
          </w:p>
        </w:tc>
      </w:tr>
      <w:tr w14:paraId="6E8A1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1A8BD425">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4AB187DD">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15DEF36A">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每个楼层/部门会议室视频设备故障检修、定期巡检；</w:t>
            </w:r>
          </w:p>
        </w:tc>
      </w:tr>
      <w:tr w14:paraId="62F83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188784A5">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7FA2DD32">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6FC7F500">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其他信息化音视频设备运维，故障检修及线路排查。</w:t>
            </w:r>
          </w:p>
        </w:tc>
      </w:tr>
      <w:tr w14:paraId="15777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69A29D5C">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47DFFD3B">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各类大型活动及会议保障服务</w:t>
            </w:r>
          </w:p>
        </w:tc>
        <w:tc>
          <w:tcPr>
            <w:tcW w:w="6058" w:type="dxa"/>
            <w:noWrap/>
            <w:vAlign w:val="center"/>
          </w:tcPr>
          <w:p w14:paraId="016CB31F">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保障服务包括协助按照各类通知搭建会议保障环境、配置各类音视频设备、实施系统联合调试、组织相关人员岗位演练、音视频录制等事项；</w:t>
            </w:r>
          </w:p>
        </w:tc>
      </w:tr>
      <w:tr w14:paraId="754F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31885EFE">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657A4F88">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1B5D6B6C">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组织配合技术人员搭建演示环境，包含但不限于执行指挥中心、综合信息中心、诉讼服务中心、视频会议中心等等；</w:t>
            </w:r>
          </w:p>
        </w:tc>
      </w:tr>
      <w:tr w14:paraId="0D80A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01A584FD">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14E62330">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5E239C9D">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组织配合各个系统信息汇聚、切换、操作等系统调试及配合各类计算机及音、视频信号网络联通调试；</w:t>
            </w:r>
          </w:p>
        </w:tc>
      </w:tr>
      <w:tr w14:paraId="1427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523E6514">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299BEA9F">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3E3081FF">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重大活动保障服务：接到重大活动保障通知后，按照要求执行保障方案，并现场保障，并处理紧急故障；</w:t>
            </w:r>
          </w:p>
        </w:tc>
      </w:tr>
      <w:tr w14:paraId="4E92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14F62C06">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3E7C7340">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0A134A7C">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遇到人员工作岗位的调整及人员进出等问题，需要根据相关部门的要求。进行办公室人员的工作环境IT配套设施的调整、新增、撤除等相关服务，完成相关网络、电话、门禁等等工作的迁移调整；</w:t>
            </w:r>
          </w:p>
        </w:tc>
      </w:tr>
      <w:tr w14:paraId="31CB1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5A3BE35">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2B6223ED">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22764F09">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外来部门检查、巡查、临时办公办案等工作，积极配合相关工作的要求。进行临时办公设施的工作环境IT配套设施的新增、撤除，电话、网络等线路的临时配置搭建等等。</w:t>
            </w:r>
          </w:p>
        </w:tc>
      </w:tr>
      <w:tr w14:paraId="348E2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2A89EDED">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572EBF30">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其他信息化运维服务</w:t>
            </w:r>
          </w:p>
        </w:tc>
        <w:tc>
          <w:tcPr>
            <w:tcW w:w="6058" w:type="dxa"/>
            <w:noWrap/>
            <w:vAlign w:val="center"/>
          </w:tcPr>
          <w:p w14:paraId="21608417">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服务管理：故障叫修电话必须按照法院有关管理规定开展服务工作，遵循规范管理、统一派遣人员的原则，为机关干警尽可能提供“一站式”技术维护服务；</w:t>
            </w:r>
          </w:p>
        </w:tc>
      </w:tr>
      <w:tr w14:paraId="5639B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3CE1364E">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0BC2F0FA">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5AE4913D">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对于日常叫修、派单、上门服务、确认签字、返回记录、考核时限、修改资料、工作量统计等环节全程管控；呼叫台人员根据处理状态，对于已经处理完成和未处理信息能够及时提醒；相关工单、巡检单等建档保存，做好系统的维护记录，形成月报及工作资料汇编并定期上信息中心；</w:t>
            </w:r>
          </w:p>
        </w:tc>
      </w:tr>
      <w:tr w14:paraId="1261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075AC777">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497AD202">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65B5BFF3">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外修设备状况的登记和跟进、催办，相关问题及时上报；</w:t>
            </w:r>
          </w:p>
        </w:tc>
      </w:tr>
      <w:tr w14:paraId="3A377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2990664E">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43632AA8">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78717050">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相关技术文档整理保存，及时更新，做好旧设备和线路的标识，整理工作， 积极参与新增设备和线路的学习和培训，尽快掌握并应用，保证运维工作的顺畅开展；</w:t>
            </w:r>
          </w:p>
        </w:tc>
      </w:tr>
      <w:tr w14:paraId="1F499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1CC3080">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55883D6B">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08D48EC6">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可根据需要对法院干警进行形式和内容多样的信息化培训，提高干警的信息化水平；</w:t>
            </w:r>
          </w:p>
        </w:tc>
      </w:tr>
      <w:tr w14:paraId="64DB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578B0A05">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05BD68DC">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3CE41CA1">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每月对重要信息化设备进行巡检，提前及时发现设备存在的问题，并提出解决措施，确保信息化设备随时处于可用状态；</w:t>
            </w:r>
          </w:p>
        </w:tc>
      </w:tr>
      <w:tr w14:paraId="1FC64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03F216FC">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318443CE">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5B2FF51C">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严格遵守法院相关政策法规和保密规定；</w:t>
            </w:r>
          </w:p>
        </w:tc>
      </w:tr>
      <w:tr w14:paraId="7986B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BC8B6C9">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2F286E7B">
            <w:pPr>
              <w:pStyle w:val="36"/>
              <w:spacing w:line="360" w:lineRule="exact"/>
              <w:ind w:firstLine="14" w:firstLineChars="6"/>
              <w:rPr>
                <w:rFonts w:hint="eastAsia" w:asciiTheme="minorEastAsia" w:hAnsiTheme="minorEastAsia" w:eastAsiaTheme="minorEastAsia"/>
              </w:rPr>
            </w:pPr>
          </w:p>
        </w:tc>
        <w:tc>
          <w:tcPr>
            <w:tcW w:w="6058" w:type="dxa"/>
            <w:noWrap/>
            <w:vAlign w:val="center"/>
          </w:tcPr>
          <w:p w14:paraId="22E0DA1D">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根据实际情况，完成客户交待的其他信息技术保障工作。</w:t>
            </w:r>
          </w:p>
        </w:tc>
      </w:tr>
      <w:tr w14:paraId="3CC1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restart"/>
            <w:vAlign w:val="center"/>
          </w:tcPr>
          <w:p w14:paraId="67A9ECD2">
            <w:pPr>
              <w:pStyle w:val="37"/>
              <w:spacing w:line="360" w:lineRule="exact"/>
              <w:ind w:left="0" w:firstLine="0"/>
              <w:rPr>
                <w:rFonts w:hint="eastAsia" w:asciiTheme="minorEastAsia" w:hAnsiTheme="minorEastAsia" w:eastAsiaTheme="minorEastAsia"/>
              </w:rPr>
            </w:pPr>
          </w:p>
        </w:tc>
        <w:tc>
          <w:tcPr>
            <w:tcW w:w="1559" w:type="dxa"/>
            <w:vMerge w:val="restart"/>
            <w:noWrap/>
            <w:vAlign w:val="center"/>
          </w:tcPr>
          <w:p w14:paraId="4BB4B747">
            <w:pPr>
              <w:pStyle w:val="36"/>
              <w:spacing w:line="360" w:lineRule="exact"/>
              <w:ind w:firstLine="14" w:firstLineChars="6"/>
              <w:rPr>
                <w:rFonts w:hint="eastAsia" w:asciiTheme="minorEastAsia" w:hAnsiTheme="minorEastAsia" w:eastAsiaTheme="minorEastAsia"/>
              </w:rPr>
            </w:pPr>
            <w:r>
              <w:rPr>
                <w:rFonts w:hint="eastAsia" w:asciiTheme="minorEastAsia" w:hAnsiTheme="minorEastAsia" w:eastAsiaTheme="minorEastAsia"/>
              </w:rPr>
              <w:t>驻场运维团队</w:t>
            </w:r>
          </w:p>
        </w:tc>
        <w:tc>
          <w:tcPr>
            <w:tcW w:w="6058" w:type="dxa"/>
            <w:noWrap/>
            <w:vAlign w:val="center"/>
          </w:tcPr>
          <w:p w14:paraId="6F9B0546">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现场常驻技术维护人员配置：现场常驻运维人员不得低于14人，实行5*8小时驻场维护，须符合国家劳动法有关规定；如遇临时性重大运维保障任务，可增派运维保障人员；</w:t>
            </w:r>
          </w:p>
        </w:tc>
      </w:tr>
      <w:tr w14:paraId="7587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03F0B070">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6EBBE5D8">
            <w:pPr>
              <w:pStyle w:val="36"/>
              <w:spacing w:line="360" w:lineRule="exact"/>
              <w:rPr>
                <w:rFonts w:hint="eastAsia" w:asciiTheme="minorEastAsia" w:hAnsiTheme="minorEastAsia" w:eastAsiaTheme="minorEastAsia"/>
              </w:rPr>
            </w:pPr>
          </w:p>
        </w:tc>
        <w:tc>
          <w:tcPr>
            <w:tcW w:w="6058" w:type="dxa"/>
            <w:noWrap/>
            <w:vAlign w:val="center"/>
          </w:tcPr>
          <w:p w14:paraId="63381B94">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武汉中院现场常驻技术维护人员12人：</w:t>
            </w:r>
          </w:p>
          <w:p w14:paraId="1E2DCB2C">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运维项目现场负责人（项目经理）：服务商现场派驻并安排具有IT服务项目经理（ITSS）证书专职负责人1名，负责院内运维工作对接和运维团队的整体管理、协调、资源调配等工作（项目经理专人专职，不得兼任其他项目或兼职其他岗位）。项目经理经验丰富，且工作稳定，不得随意变更项目经理；</w:t>
            </w:r>
          </w:p>
          <w:p w14:paraId="501A53BA">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技术呼叫中心话务员：现场派驻人员1人；网络、桌面办公设备、电话通信、有线电视、LED显示屏、门禁、安防等运维：现场派驻人员3人；视频会议、科技法庭、音视频设备、大型活动及会议保障运维：现场派驻人员3名；诉讼服务运维现场派驻人员1人；科技法庭运维现场派驻人员3名（其中科技法庭原厂人员2名）；</w:t>
            </w:r>
          </w:p>
        </w:tc>
      </w:tr>
      <w:tr w14:paraId="76624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1A94384E">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3DA2E435">
            <w:pPr>
              <w:pStyle w:val="36"/>
              <w:spacing w:line="360" w:lineRule="exact"/>
              <w:rPr>
                <w:rFonts w:hint="eastAsia" w:asciiTheme="minorEastAsia" w:hAnsiTheme="minorEastAsia" w:eastAsiaTheme="minorEastAsia"/>
              </w:rPr>
            </w:pPr>
          </w:p>
        </w:tc>
        <w:tc>
          <w:tcPr>
            <w:tcW w:w="6058" w:type="dxa"/>
            <w:noWrap/>
            <w:vAlign w:val="center"/>
          </w:tcPr>
          <w:p w14:paraId="09B54064">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光谷知产法庭现场常驻技术维护人员2人：其中现场派驻科技法庭厂家原厂技术人员1名（天宇威视）；</w:t>
            </w:r>
          </w:p>
        </w:tc>
      </w:tr>
      <w:tr w14:paraId="1E5C7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46" w:type="dxa"/>
            <w:vMerge w:val="continue"/>
            <w:vAlign w:val="center"/>
          </w:tcPr>
          <w:p w14:paraId="67032D2D">
            <w:pPr>
              <w:pStyle w:val="37"/>
              <w:spacing w:line="360" w:lineRule="exact"/>
              <w:ind w:left="0" w:firstLine="0"/>
              <w:rPr>
                <w:rFonts w:hint="eastAsia" w:asciiTheme="minorEastAsia" w:hAnsiTheme="minorEastAsia" w:eastAsiaTheme="minorEastAsia"/>
              </w:rPr>
            </w:pPr>
          </w:p>
        </w:tc>
        <w:tc>
          <w:tcPr>
            <w:tcW w:w="1559" w:type="dxa"/>
            <w:vMerge w:val="continue"/>
            <w:noWrap/>
            <w:vAlign w:val="center"/>
          </w:tcPr>
          <w:p w14:paraId="016E57A1">
            <w:pPr>
              <w:pStyle w:val="36"/>
              <w:spacing w:line="360" w:lineRule="exact"/>
              <w:rPr>
                <w:rFonts w:hint="eastAsia" w:asciiTheme="minorEastAsia" w:hAnsiTheme="minorEastAsia" w:eastAsiaTheme="minorEastAsia"/>
              </w:rPr>
            </w:pPr>
          </w:p>
        </w:tc>
        <w:tc>
          <w:tcPr>
            <w:tcW w:w="6058" w:type="dxa"/>
            <w:noWrap/>
            <w:vAlign w:val="center"/>
          </w:tcPr>
          <w:p w14:paraId="5E21842A">
            <w:pPr>
              <w:pStyle w:val="38"/>
              <w:spacing w:line="360" w:lineRule="exact"/>
              <w:ind w:left="0" w:firstLine="0"/>
              <w:rPr>
                <w:rFonts w:hint="eastAsia" w:asciiTheme="minorEastAsia" w:hAnsiTheme="minorEastAsia" w:eastAsiaTheme="minorEastAsia"/>
              </w:rPr>
            </w:pPr>
            <w:r>
              <w:rPr>
                <w:rFonts w:hint="eastAsia" w:asciiTheme="minorEastAsia" w:hAnsiTheme="minorEastAsia" w:eastAsiaTheme="minorEastAsia"/>
              </w:rPr>
              <w:t>在重要节假日、重大活动期间，或遇到紧急事件时，需根据要求，提供现场支援服务。</w:t>
            </w:r>
          </w:p>
        </w:tc>
      </w:tr>
    </w:tbl>
    <w:p w14:paraId="0D88364E">
      <w:pPr>
        <w:pStyle w:val="32"/>
        <w:ind w:left="420" w:firstLine="0" w:firstLineChars="0"/>
        <w:rPr>
          <w:rFonts w:hint="eastAsia" w:asciiTheme="minorEastAsia" w:hAnsiTheme="minorEastAsia"/>
          <w:kern w:val="0"/>
          <w:szCs w:val="24"/>
        </w:rPr>
      </w:pPr>
    </w:p>
    <w:p w14:paraId="4681ED1E">
      <w:pPr>
        <w:pStyle w:val="4"/>
      </w:pPr>
      <w:bookmarkStart w:id="6" w:name="_Toc99456642"/>
      <w:r>
        <w:rPr>
          <w:rFonts w:hint="eastAsia"/>
        </w:rPr>
        <w:t>运维服务期限</w:t>
      </w:r>
      <w:bookmarkEnd w:id="6"/>
    </w:p>
    <w:p w14:paraId="3838EC04">
      <w:pPr>
        <w:rPr>
          <w:rFonts w:hint="eastAsia" w:asciiTheme="minorEastAsia" w:hAnsiTheme="minorEastAsia"/>
          <w:szCs w:val="24"/>
        </w:rPr>
      </w:pPr>
      <w:r>
        <w:rPr>
          <w:rFonts w:hint="eastAsia" w:asciiTheme="minorEastAsia" w:hAnsiTheme="minorEastAsia"/>
          <w:szCs w:val="24"/>
        </w:rPr>
        <w:t>运维服务期为一年。2026年1月1日-2026年12月31日。</w:t>
      </w:r>
    </w:p>
    <w:p w14:paraId="7119662D">
      <w:pPr>
        <w:rPr>
          <w:rFonts w:hint="eastAsia" w:asciiTheme="minorEastAsia" w:hAnsiTheme="minorEastAsia"/>
          <w:szCs w:val="24"/>
        </w:rPr>
      </w:pPr>
    </w:p>
    <w:p w14:paraId="40700F0D">
      <w:pPr>
        <w:pStyle w:val="4"/>
      </w:pPr>
      <w:bookmarkStart w:id="7" w:name="_Toc99456643"/>
      <w:r>
        <w:rPr>
          <w:rFonts w:hint="eastAsia"/>
        </w:rPr>
        <w:t>运维设备清单</w:t>
      </w:r>
      <w:bookmarkEnd w:id="7"/>
    </w:p>
    <w:tbl>
      <w:tblPr>
        <w:tblStyle w:val="18"/>
        <w:tblW w:w="8647" w:type="dxa"/>
        <w:tblInd w:w="-34" w:type="dxa"/>
        <w:tblLayout w:type="fixed"/>
        <w:tblCellMar>
          <w:top w:w="0" w:type="dxa"/>
          <w:left w:w="108" w:type="dxa"/>
          <w:bottom w:w="0" w:type="dxa"/>
          <w:right w:w="108" w:type="dxa"/>
        </w:tblCellMar>
      </w:tblPr>
      <w:tblGrid>
        <w:gridCol w:w="709"/>
        <w:gridCol w:w="1276"/>
        <w:gridCol w:w="2552"/>
        <w:gridCol w:w="1276"/>
        <w:gridCol w:w="2834"/>
      </w:tblGrid>
      <w:tr w14:paraId="51657F74">
        <w:tblPrEx>
          <w:tblCellMar>
            <w:top w:w="0" w:type="dxa"/>
            <w:left w:w="108" w:type="dxa"/>
            <w:bottom w:w="0" w:type="dxa"/>
            <w:right w:w="108" w:type="dxa"/>
          </w:tblCellMar>
        </w:tblPrEx>
        <w:trPr>
          <w:trHeight w:val="552" w:hRule="atLeast"/>
          <w:tblHeader/>
        </w:trPr>
        <w:tc>
          <w:tcPr>
            <w:tcW w:w="709" w:type="dxa"/>
            <w:tcBorders>
              <w:top w:val="single" w:color="000000" w:sz="4" w:space="0"/>
              <w:left w:val="single" w:color="000000" w:sz="4" w:space="0"/>
              <w:bottom w:val="single" w:color="000000" w:sz="4" w:space="0"/>
              <w:right w:val="single" w:color="000000" w:sz="4" w:space="0"/>
            </w:tcBorders>
            <w:vAlign w:val="center"/>
          </w:tcPr>
          <w:p w14:paraId="67EADFE0">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序号</w:t>
            </w:r>
          </w:p>
        </w:tc>
        <w:tc>
          <w:tcPr>
            <w:tcW w:w="1276" w:type="dxa"/>
            <w:tcBorders>
              <w:top w:val="single" w:color="000000" w:sz="4" w:space="0"/>
              <w:left w:val="single" w:color="000000" w:sz="4" w:space="0"/>
              <w:bottom w:val="single" w:color="000000" w:sz="4" w:space="0"/>
              <w:right w:val="single" w:color="000000" w:sz="4" w:space="0"/>
            </w:tcBorders>
            <w:vAlign w:val="center"/>
          </w:tcPr>
          <w:p w14:paraId="72BAC6AE">
            <w:pPr>
              <w:spacing w:line="320" w:lineRule="exact"/>
              <w:ind w:firstLine="0"/>
              <w:jc w:val="center"/>
              <w:textAlignment w:val="center"/>
              <w:rPr>
                <w:rFonts w:hint="eastAsia" w:cs="仿宋" w:asciiTheme="minorEastAsia" w:hAnsiTheme="minorEastAsia" w:eastAsiaTheme="minorEastAsia"/>
                <w:color w:val="000000"/>
                <w:kern w:val="0"/>
                <w:szCs w:val="24"/>
                <w:lang w:bidi="ar"/>
              </w:rPr>
            </w:pPr>
            <w:r>
              <w:rPr>
                <w:rFonts w:hint="eastAsia" w:cs="仿宋" w:asciiTheme="minorEastAsia" w:hAnsiTheme="minorEastAsia" w:eastAsiaTheme="minorEastAsia"/>
                <w:color w:val="000000"/>
                <w:kern w:val="0"/>
                <w:szCs w:val="24"/>
                <w:lang w:bidi="ar"/>
              </w:rPr>
              <w:t>服务项目</w:t>
            </w:r>
          </w:p>
        </w:tc>
        <w:tc>
          <w:tcPr>
            <w:tcW w:w="2552" w:type="dxa"/>
            <w:tcBorders>
              <w:top w:val="single" w:color="000000" w:sz="4" w:space="0"/>
              <w:left w:val="single" w:color="000000" w:sz="4" w:space="0"/>
              <w:bottom w:val="single" w:color="000000" w:sz="4" w:space="0"/>
              <w:right w:val="single" w:color="000000" w:sz="4" w:space="0"/>
            </w:tcBorders>
            <w:vAlign w:val="center"/>
          </w:tcPr>
          <w:p w14:paraId="7F57ADC1">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设备类型</w:t>
            </w:r>
          </w:p>
        </w:tc>
        <w:tc>
          <w:tcPr>
            <w:tcW w:w="1276" w:type="dxa"/>
            <w:tcBorders>
              <w:top w:val="single" w:color="000000" w:sz="4" w:space="0"/>
              <w:left w:val="single" w:color="000000" w:sz="4" w:space="0"/>
              <w:bottom w:val="single" w:color="000000" w:sz="4" w:space="0"/>
              <w:right w:val="single" w:color="000000" w:sz="4" w:space="0"/>
            </w:tcBorders>
            <w:vAlign w:val="center"/>
          </w:tcPr>
          <w:p w14:paraId="077425FB">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数量</w:t>
            </w:r>
          </w:p>
        </w:tc>
        <w:tc>
          <w:tcPr>
            <w:tcW w:w="2834" w:type="dxa"/>
            <w:tcBorders>
              <w:top w:val="single" w:color="000000" w:sz="4" w:space="0"/>
              <w:left w:val="single" w:color="000000" w:sz="4" w:space="0"/>
              <w:bottom w:val="single" w:color="000000" w:sz="4" w:space="0"/>
              <w:right w:val="single" w:color="000000" w:sz="4" w:space="0"/>
            </w:tcBorders>
            <w:vAlign w:val="center"/>
          </w:tcPr>
          <w:p w14:paraId="278A611C">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涵盖品牌</w:t>
            </w:r>
          </w:p>
        </w:tc>
      </w:tr>
      <w:tr w14:paraId="265FDBE0">
        <w:tblPrEx>
          <w:tblCellMar>
            <w:top w:w="0" w:type="dxa"/>
            <w:left w:w="108" w:type="dxa"/>
            <w:bottom w:w="0" w:type="dxa"/>
            <w:right w:w="108" w:type="dxa"/>
          </w:tblCellMar>
        </w:tblPrEx>
        <w:trPr>
          <w:trHeight w:val="3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3AF5E259">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385F8F0E">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终端网络运维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477DA1C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办公室接入交换机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6BE7CF1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350台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71E8A47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中兴、H3C</w:t>
            </w:r>
          </w:p>
        </w:tc>
      </w:tr>
      <w:tr w14:paraId="341F167A">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29B6B4E">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1AEA272B">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B9D267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办公室桌面交换机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1B599CB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180台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43B7E94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TP-Link、H3C</w:t>
            </w:r>
          </w:p>
        </w:tc>
      </w:tr>
      <w:tr w14:paraId="1BEE12A2">
        <w:tblPrEx>
          <w:tblCellMar>
            <w:top w:w="0" w:type="dxa"/>
            <w:left w:w="108" w:type="dxa"/>
            <w:bottom w:w="0" w:type="dxa"/>
            <w:right w:w="108" w:type="dxa"/>
          </w:tblCellMar>
        </w:tblPrEx>
        <w:trPr>
          <w:trHeight w:val="315"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45EB18C8">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6DF96B03">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36131B2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网络配线架</w:t>
            </w:r>
          </w:p>
        </w:tc>
        <w:tc>
          <w:tcPr>
            <w:tcW w:w="1276" w:type="dxa"/>
            <w:tcBorders>
              <w:top w:val="single" w:color="000000" w:sz="4" w:space="0"/>
              <w:left w:val="single" w:color="000000" w:sz="4" w:space="0"/>
              <w:bottom w:val="single" w:color="000000" w:sz="4" w:space="0"/>
              <w:right w:val="single" w:color="000000" w:sz="4" w:space="0"/>
            </w:tcBorders>
            <w:vAlign w:val="center"/>
          </w:tcPr>
          <w:p w14:paraId="3D50BF3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15个</w:t>
            </w:r>
          </w:p>
        </w:tc>
        <w:tc>
          <w:tcPr>
            <w:tcW w:w="2834" w:type="dxa"/>
            <w:tcBorders>
              <w:top w:val="single" w:color="000000" w:sz="4" w:space="0"/>
              <w:left w:val="single" w:color="000000" w:sz="4" w:space="0"/>
              <w:bottom w:val="single" w:color="000000" w:sz="4" w:space="0"/>
              <w:right w:val="single" w:color="000000" w:sz="4" w:space="0"/>
            </w:tcBorders>
            <w:vAlign w:val="center"/>
          </w:tcPr>
          <w:p w14:paraId="1CF61A2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国产</w:t>
            </w:r>
          </w:p>
        </w:tc>
      </w:tr>
      <w:tr w14:paraId="470E8D14">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2DD2F9D7">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2CC7D69">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8AD1E7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专网接入点</w:t>
            </w:r>
          </w:p>
        </w:tc>
        <w:tc>
          <w:tcPr>
            <w:tcW w:w="1276" w:type="dxa"/>
            <w:tcBorders>
              <w:top w:val="single" w:color="000000" w:sz="4" w:space="0"/>
              <w:left w:val="single" w:color="000000" w:sz="4" w:space="0"/>
              <w:bottom w:val="single" w:color="000000" w:sz="4" w:space="0"/>
              <w:right w:val="single" w:color="000000" w:sz="4" w:space="0"/>
            </w:tcBorders>
            <w:vAlign w:val="center"/>
          </w:tcPr>
          <w:p w14:paraId="0E8E8B6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1500个</w:t>
            </w:r>
          </w:p>
        </w:tc>
        <w:tc>
          <w:tcPr>
            <w:tcW w:w="2834" w:type="dxa"/>
            <w:tcBorders>
              <w:top w:val="single" w:color="000000" w:sz="4" w:space="0"/>
              <w:left w:val="single" w:color="000000" w:sz="4" w:space="0"/>
              <w:bottom w:val="single" w:color="000000" w:sz="4" w:space="0"/>
              <w:right w:val="single" w:color="000000" w:sz="4" w:space="0"/>
            </w:tcBorders>
            <w:vAlign w:val="center"/>
          </w:tcPr>
          <w:p w14:paraId="41F94DD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楼层弱电井18个</w:t>
            </w:r>
          </w:p>
        </w:tc>
      </w:tr>
      <w:tr w14:paraId="6867A25B">
        <w:tblPrEx>
          <w:tblCellMar>
            <w:top w:w="0" w:type="dxa"/>
            <w:left w:w="108" w:type="dxa"/>
            <w:bottom w:w="0" w:type="dxa"/>
            <w:right w:w="108" w:type="dxa"/>
          </w:tblCellMar>
        </w:tblPrEx>
        <w:trPr>
          <w:trHeight w:val="315"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3D5FED79">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65914E2">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50CB320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外网接入点</w:t>
            </w:r>
          </w:p>
        </w:tc>
        <w:tc>
          <w:tcPr>
            <w:tcW w:w="1276" w:type="dxa"/>
            <w:tcBorders>
              <w:top w:val="single" w:color="000000" w:sz="4" w:space="0"/>
              <w:left w:val="single" w:color="000000" w:sz="4" w:space="0"/>
              <w:bottom w:val="single" w:color="000000" w:sz="4" w:space="0"/>
              <w:right w:val="single" w:color="000000" w:sz="4" w:space="0"/>
            </w:tcBorders>
            <w:vAlign w:val="center"/>
          </w:tcPr>
          <w:p w14:paraId="2D90588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1000个</w:t>
            </w:r>
          </w:p>
        </w:tc>
        <w:tc>
          <w:tcPr>
            <w:tcW w:w="2834" w:type="dxa"/>
            <w:tcBorders>
              <w:top w:val="single" w:color="000000" w:sz="4" w:space="0"/>
              <w:left w:val="single" w:color="000000" w:sz="4" w:space="0"/>
              <w:bottom w:val="single" w:color="000000" w:sz="4" w:space="0"/>
              <w:right w:val="single" w:color="000000" w:sz="4" w:space="0"/>
            </w:tcBorders>
            <w:vAlign w:val="center"/>
          </w:tcPr>
          <w:p w14:paraId="42BFE23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楼层弱电井18个</w:t>
            </w:r>
          </w:p>
        </w:tc>
      </w:tr>
      <w:tr w14:paraId="1619A863">
        <w:tblPrEx>
          <w:tblCellMar>
            <w:top w:w="0" w:type="dxa"/>
            <w:left w:w="108" w:type="dxa"/>
            <w:bottom w:w="0" w:type="dxa"/>
            <w:right w:w="108" w:type="dxa"/>
          </w:tblCellMar>
        </w:tblPrEx>
        <w:trPr>
          <w:trHeight w:val="3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3B759439">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5A732417">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桌面办公设备运维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682D902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台式电脑</w:t>
            </w:r>
          </w:p>
        </w:tc>
        <w:tc>
          <w:tcPr>
            <w:tcW w:w="1276" w:type="dxa"/>
            <w:tcBorders>
              <w:top w:val="single" w:color="000000" w:sz="4" w:space="0"/>
              <w:left w:val="single" w:color="000000" w:sz="4" w:space="0"/>
              <w:bottom w:val="single" w:color="000000" w:sz="4" w:space="0"/>
              <w:right w:val="single" w:color="000000" w:sz="4" w:space="0"/>
            </w:tcBorders>
            <w:vAlign w:val="center"/>
          </w:tcPr>
          <w:p w14:paraId="5BDCB33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800台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E1122D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联想、华为</w:t>
            </w:r>
          </w:p>
        </w:tc>
      </w:tr>
      <w:tr w14:paraId="7E965573">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20C72600">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617D327F">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0D752F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笔记本电脑</w:t>
            </w:r>
          </w:p>
        </w:tc>
        <w:tc>
          <w:tcPr>
            <w:tcW w:w="1276" w:type="dxa"/>
            <w:tcBorders>
              <w:top w:val="single" w:color="000000" w:sz="4" w:space="0"/>
              <w:left w:val="single" w:color="000000" w:sz="4" w:space="0"/>
              <w:bottom w:val="single" w:color="000000" w:sz="4" w:space="0"/>
              <w:right w:val="single" w:color="000000" w:sz="4" w:space="0"/>
            </w:tcBorders>
            <w:vAlign w:val="center"/>
          </w:tcPr>
          <w:p w14:paraId="7AB08F9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100台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56096F5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联想、华为</w:t>
            </w:r>
          </w:p>
        </w:tc>
      </w:tr>
      <w:tr w14:paraId="1BF12115">
        <w:tblPrEx>
          <w:tblCellMar>
            <w:top w:w="0" w:type="dxa"/>
            <w:left w:w="108" w:type="dxa"/>
            <w:bottom w:w="0" w:type="dxa"/>
            <w:right w:w="108" w:type="dxa"/>
          </w:tblCellMar>
        </w:tblPrEx>
        <w:trPr>
          <w:trHeight w:val="9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165854B">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776FD96">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8125786">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打印机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4186F58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200台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68A440F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惠普、京瓷、联想、兄弟、富士施乐、理光、奔图、爱普生、得实等</w:t>
            </w:r>
          </w:p>
        </w:tc>
      </w:tr>
      <w:tr w14:paraId="797B76DA">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46083AFC">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0C4D9BF">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46E777D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扫描仪</w:t>
            </w:r>
          </w:p>
        </w:tc>
        <w:tc>
          <w:tcPr>
            <w:tcW w:w="1276" w:type="dxa"/>
            <w:tcBorders>
              <w:top w:val="single" w:color="000000" w:sz="4" w:space="0"/>
              <w:left w:val="single" w:color="000000" w:sz="4" w:space="0"/>
              <w:bottom w:val="single" w:color="000000" w:sz="4" w:space="0"/>
              <w:right w:val="single" w:color="000000" w:sz="4" w:space="0"/>
            </w:tcBorders>
            <w:vAlign w:val="center"/>
          </w:tcPr>
          <w:p w14:paraId="269AA75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7127E0F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奔图、惠普、松下</w:t>
            </w:r>
          </w:p>
        </w:tc>
      </w:tr>
      <w:tr w14:paraId="01D45058">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1A6710E9">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3AC2F341">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1C37C14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复印机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060B362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19台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5671505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东芝、奔图、施乐</w:t>
            </w:r>
          </w:p>
        </w:tc>
      </w:tr>
      <w:tr w14:paraId="764F5080">
        <w:tblPrEx>
          <w:tblCellMar>
            <w:top w:w="0" w:type="dxa"/>
            <w:left w:w="108" w:type="dxa"/>
            <w:bottom w:w="0" w:type="dxa"/>
            <w:right w:w="108" w:type="dxa"/>
          </w:tblCellMar>
        </w:tblPrEx>
        <w:trPr>
          <w:trHeight w:val="3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01B4D329">
            <w:pPr>
              <w:spacing w:line="320" w:lineRule="exact"/>
              <w:ind w:firstLine="0"/>
              <w:jc w:val="center"/>
              <w:textAlignment w:val="center"/>
              <w:rPr>
                <w:rFonts w:hint="eastAsia" w:cs="仿宋" w:asciiTheme="minorEastAsia" w:hAnsiTheme="minorEastAsia" w:eastAsiaTheme="minorEastAsia"/>
                <w:color w:val="000000"/>
                <w:szCs w:val="24"/>
              </w:rPr>
            </w:pPr>
            <w:bookmarkStart w:id="9" w:name="_GoBack"/>
            <w:bookmarkEnd w:id="9"/>
            <w:r>
              <w:rPr>
                <w:rFonts w:hint="eastAsia" w:cs="仿宋" w:asciiTheme="minorEastAsia" w:hAnsiTheme="minorEastAsia" w:eastAsiaTheme="minorEastAsia"/>
                <w:color w:val="000000"/>
                <w:kern w:val="0"/>
                <w:szCs w:val="24"/>
                <w:lang w:bidi="ar"/>
              </w:rPr>
              <w:t>3</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39CA6C97">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电话通信运维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4F6317D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院内程控交换机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4A57E07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6台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40783EC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烽火、瑞斯康达</w:t>
            </w:r>
          </w:p>
        </w:tc>
      </w:tr>
      <w:tr w14:paraId="7E8BA521">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279B31A">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2AE3500C">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486FEFF5">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光谷程控交换机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22CAAB7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7123363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瑞斯康达</w:t>
            </w:r>
          </w:p>
        </w:tc>
      </w:tr>
      <w:tr w14:paraId="537A1D4F">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406364A8">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09141B03">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DAAD05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电话配线架</w:t>
            </w:r>
          </w:p>
        </w:tc>
        <w:tc>
          <w:tcPr>
            <w:tcW w:w="1276" w:type="dxa"/>
            <w:tcBorders>
              <w:top w:val="single" w:color="000000" w:sz="4" w:space="0"/>
              <w:left w:val="single" w:color="000000" w:sz="4" w:space="0"/>
              <w:bottom w:val="single" w:color="000000" w:sz="4" w:space="0"/>
              <w:right w:val="single" w:color="000000" w:sz="4" w:space="0"/>
            </w:tcBorders>
            <w:vAlign w:val="center"/>
          </w:tcPr>
          <w:p w14:paraId="6A00479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20套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4AFF1A2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含机房和弱电井</w:t>
            </w:r>
          </w:p>
        </w:tc>
      </w:tr>
      <w:tr w14:paraId="71F32EA9">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50D326B">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3022C7F8">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C6CD05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电话接入点</w:t>
            </w:r>
          </w:p>
        </w:tc>
        <w:tc>
          <w:tcPr>
            <w:tcW w:w="1276" w:type="dxa"/>
            <w:tcBorders>
              <w:top w:val="single" w:color="000000" w:sz="4" w:space="0"/>
              <w:left w:val="single" w:color="000000" w:sz="4" w:space="0"/>
              <w:bottom w:val="single" w:color="000000" w:sz="4" w:space="0"/>
              <w:right w:val="single" w:color="000000" w:sz="4" w:space="0"/>
            </w:tcBorders>
            <w:vAlign w:val="center"/>
          </w:tcPr>
          <w:p w14:paraId="61A9D3F6">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1200个</w:t>
            </w:r>
          </w:p>
        </w:tc>
        <w:tc>
          <w:tcPr>
            <w:tcW w:w="2834" w:type="dxa"/>
            <w:tcBorders>
              <w:top w:val="single" w:color="000000" w:sz="4" w:space="0"/>
              <w:left w:val="single" w:color="000000" w:sz="4" w:space="0"/>
              <w:bottom w:val="single" w:color="000000" w:sz="4" w:space="0"/>
              <w:right w:val="single" w:color="000000" w:sz="4" w:space="0"/>
            </w:tcBorders>
            <w:vAlign w:val="center"/>
          </w:tcPr>
          <w:p w14:paraId="4EC507F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含房间和设备间等</w:t>
            </w:r>
          </w:p>
        </w:tc>
      </w:tr>
      <w:tr w14:paraId="18E233DD">
        <w:tblPrEx>
          <w:tblCellMar>
            <w:top w:w="0" w:type="dxa"/>
            <w:left w:w="108" w:type="dxa"/>
            <w:bottom w:w="0" w:type="dxa"/>
            <w:right w:w="108" w:type="dxa"/>
          </w:tblCellMar>
        </w:tblPrEx>
        <w:trPr>
          <w:trHeight w:val="3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48E943AE">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77010AE1">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有线电视运维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38BE0FE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武汉有线电视节目</w:t>
            </w:r>
          </w:p>
        </w:tc>
        <w:tc>
          <w:tcPr>
            <w:tcW w:w="1276" w:type="dxa"/>
            <w:tcBorders>
              <w:top w:val="single" w:color="000000" w:sz="4" w:space="0"/>
              <w:left w:val="single" w:color="000000" w:sz="4" w:space="0"/>
              <w:bottom w:val="single" w:color="000000" w:sz="4" w:space="0"/>
              <w:right w:val="single" w:color="000000" w:sz="4" w:space="0"/>
            </w:tcBorders>
            <w:vAlign w:val="center"/>
          </w:tcPr>
          <w:p w14:paraId="7D32C4D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16套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1975322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湖北广电</w:t>
            </w:r>
          </w:p>
        </w:tc>
      </w:tr>
      <w:tr w14:paraId="7778BEC9">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F0A10F5">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0596E05">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1FA83A0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有线电视调制解调器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497C98C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666230E2">
            <w:pPr>
              <w:spacing w:line="320" w:lineRule="exact"/>
              <w:ind w:firstLine="0"/>
              <w:rPr>
                <w:rFonts w:hint="eastAsia" w:cs="仿宋" w:asciiTheme="minorEastAsia" w:hAnsiTheme="minorEastAsia" w:eastAsiaTheme="minorEastAsia"/>
                <w:color w:val="000000"/>
                <w:szCs w:val="24"/>
              </w:rPr>
            </w:pPr>
          </w:p>
        </w:tc>
      </w:tr>
      <w:tr w14:paraId="20642888">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489CC014">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0A4C0176">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4BB5C51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有线电视接收机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5316CE3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5CA9B96C">
            <w:pPr>
              <w:spacing w:line="320" w:lineRule="exact"/>
              <w:ind w:firstLine="0"/>
              <w:rPr>
                <w:rFonts w:hint="eastAsia" w:cs="仿宋" w:asciiTheme="minorEastAsia" w:hAnsiTheme="minorEastAsia" w:eastAsiaTheme="minorEastAsia"/>
                <w:color w:val="000000"/>
                <w:szCs w:val="24"/>
              </w:rPr>
            </w:pPr>
          </w:p>
        </w:tc>
      </w:tr>
      <w:tr w14:paraId="6112E5FA">
        <w:tblPrEx>
          <w:tblCellMar>
            <w:top w:w="0" w:type="dxa"/>
            <w:left w:w="108" w:type="dxa"/>
            <w:bottom w:w="0" w:type="dxa"/>
            <w:right w:w="108" w:type="dxa"/>
          </w:tblCellMar>
        </w:tblPrEx>
        <w:trPr>
          <w:trHeight w:val="3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741D029F">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5</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7710C285">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asciiTheme="minorEastAsia" w:hAnsiTheme="minorEastAsia" w:eastAsiaTheme="minorEastAsia"/>
                <w:kern w:val="0"/>
                <w:szCs w:val="24"/>
              </w:rPr>
              <w:t>LED显示屏</w:t>
            </w:r>
            <w:r>
              <w:rPr>
                <w:rFonts w:hint="eastAsia" w:cs="仿宋" w:asciiTheme="minorEastAsia" w:hAnsiTheme="minorEastAsia" w:eastAsiaTheme="minorEastAsia"/>
                <w:color w:val="000000"/>
                <w:kern w:val="0"/>
                <w:szCs w:val="24"/>
                <w:lang w:bidi="ar"/>
              </w:rPr>
              <w:t>信息发布及运维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6B69C09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2楼安检大厅大屏</w:t>
            </w:r>
          </w:p>
        </w:tc>
        <w:tc>
          <w:tcPr>
            <w:tcW w:w="1276" w:type="dxa"/>
            <w:tcBorders>
              <w:top w:val="single" w:color="000000" w:sz="4" w:space="0"/>
              <w:left w:val="single" w:color="000000" w:sz="4" w:space="0"/>
              <w:bottom w:val="single" w:color="000000" w:sz="4" w:space="0"/>
              <w:right w:val="single" w:color="000000" w:sz="4" w:space="0"/>
            </w:tcBorders>
            <w:vAlign w:val="center"/>
          </w:tcPr>
          <w:p w14:paraId="71073B0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1块</w:t>
            </w:r>
          </w:p>
        </w:tc>
        <w:tc>
          <w:tcPr>
            <w:tcW w:w="2834" w:type="dxa"/>
            <w:tcBorders>
              <w:top w:val="single" w:color="000000" w:sz="4" w:space="0"/>
              <w:left w:val="single" w:color="000000" w:sz="4" w:space="0"/>
              <w:bottom w:val="single" w:color="000000" w:sz="4" w:space="0"/>
              <w:right w:val="single" w:color="000000" w:sz="4" w:space="0"/>
            </w:tcBorders>
            <w:vAlign w:val="center"/>
          </w:tcPr>
          <w:p w14:paraId="2694B7C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国产</w:t>
            </w:r>
          </w:p>
        </w:tc>
      </w:tr>
      <w:tr w14:paraId="1735DF57">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2AC48ED3">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09AC5B99">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4E39C4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审判楼2楼条屏</w:t>
            </w:r>
          </w:p>
        </w:tc>
        <w:tc>
          <w:tcPr>
            <w:tcW w:w="1276" w:type="dxa"/>
            <w:tcBorders>
              <w:top w:val="single" w:color="000000" w:sz="4" w:space="0"/>
              <w:left w:val="single" w:color="000000" w:sz="4" w:space="0"/>
              <w:bottom w:val="single" w:color="000000" w:sz="4" w:space="0"/>
              <w:right w:val="single" w:color="000000" w:sz="4" w:space="0"/>
            </w:tcBorders>
            <w:vAlign w:val="center"/>
          </w:tcPr>
          <w:p w14:paraId="44DD2DB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1块</w:t>
            </w:r>
          </w:p>
        </w:tc>
        <w:tc>
          <w:tcPr>
            <w:tcW w:w="2834" w:type="dxa"/>
            <w:tcBorders>
              <w:top w:val="single" w:color="000000" w:sz="4" w:space="0"/>
              <w:left w:val="single" w:color="000000" w:sz="4" w:space="0"/>
              <w:bottom w:val="single" w:color="000000" w:sz="4" w:space="0"/>
              <w:right w:val="single" w:color="000000" w:sz="4" w:space="0"/>
            </w:tcBorders>
            <w:vAlign w:val="center"/>
          </w:tcPr>
          <w:p w14:paraId="05EC0FD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国产</w:t>
            </w:r>
          </w:p>
        </w:tc>
      </w:tr>
      <w:tr w14:paraId="74D2572C">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7463CAC">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19A307AE">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0332B5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新诉服务大厅大屏</w:t>
            </w:r>
          </w:p>
        </w:tc>
        <w:tc>
          <w:tcPr>
            <w:tcW w:w="1276" w:type="dxa"/>
            <w:tcBorders>
              <w:top w:val="single" w:color="000000" w:sz="4" w:space="0"/>
              <w:left w:val="single" w:color="000000" w:sz="4" w:space="0"/>
              <w:bottom w:val="single" w:color="000000" w:sz="4" w:space="0"/>
              <w:right w:val="single" w:color="000000" w:sz="4" w:space="0"/>
            </w:tcBorders>
            <w:vAlign w:val="center"/>
          </w:tcPr>
          <w:p w14:paraId="7A0C098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1块</w:t>
            </w:r>
          </w:p>
        </w:tc>
        <w:tc>
          <w:tcPr>
            <w:tcW w:w="2834" w:type="dxa"/>
            <w:tcBorders>
              <w:top w:val="single" w:color="000000" w:sz="4" w:space="0"/>
              <w:left w:val="single" w:color="000000" w:sz="4" w:space="0"/>
              <w:bottom w:val="single" w:color="000000" w:sz="4" w:space="0"/>
              <w:right w:val="single" w:color="000000" w:sz="4" w:space="0"/>
            </w:tcBorders>
            <w:vAlign w:val="center"/>
          </w:tcPr>
          <w:p w14:paraId="4178218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国产</w:t>
            </w:r>
          </w:p>
        </w:tc>
      </w:tr>
      <w:tr w14:paraId="0D177CD2">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DF25114">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D05C8F0">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4A67A3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1号大法庭条屏</w:t>
            </w:r>
          </w:p>
        </w:tc>
        <w:tc>
          <w:tcPr>
            <w:tcW w:w="1276" w:type="dxa"/>
            <w:tcBorders>
              <w:top w:val="single" w:color="000000" w:sz="4" w:space="0"/>
              <w:left w:val="single" w:color="000000" w:sz="4" w:space="0"/>
              <w:bottom w:val="single" w:color="000000" w:sz="4" w:space="0"/>
              <w:right w:val="single" w:color="000000" w:sz="4" w:space="0"/>
            </w:tcBorders>
            <w:vAlign w:val="center"/>
          </w:tcPr>
          <w:p w14:paraId="5BC33CA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1块</w:t>
            </w:r>
          </w:p>
        </w:tc>
        <w:tc>
          <w:tcPr>
            <w:tcW w:w="2834" w:type="dxa"/>
            <w:tcBorders>
              <w:top w:val="single" w:color="000000" w:sz="4" w:space="0"/>
              <w:left w:val="single" w:color="000000" w:sz="4" w:space="0"/>
              <w:bottom w:val="single" w:color="000000" w:sz="4" w:space="0"/>
              <w:right w:val="single" w:color="000000" w:sz="4" w:space="0"/>
            </w:tcBorders>
            <w:vAlign w:val="center"/>
          </w:tcPr>
          <w:p w14:paraId="6AAB262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国产</w:t>
            </w:r>
          </w:p>
        </w:tc>
      </w:tr>
      <w:tr w14:paraId="79E27689">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CE29DE9">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1D173092">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39ECE0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6楼执行指挥中心条屏</w:t>
            </w:r>
          </w:p>
        </w:tc>
        <w:tc>
          <w:tcPr>
            <w:tcW w:w="1276" w:type="dxa"/>
            <w:tcBorders>
              <w:top w:val="single" w:color="000000" w:sz="4" w:space="0"/>
              <w:left w:val="single" w:color="000000" w:sz="4" w:space="0"/>
              <w:bottom w:val="single" w:color="000000" w:sz="4" w:space="0"/>
              <w:right w:val="single" w:color="000000" w:sz="4" w:space="0"/>
            </w:tcBorders>
            <w:vAlign w:val="center"/>
          </w:tcPr>
          <w:p w14:paraId="4BFC49D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1块</w:t>
            </w:r>
          </w:p>
        </w:tc>
        <w:tc>
          <w:tcPr>
            <w:tcW w:w="2834" w:type="dxa"/>
            <w:tcBorders>
              <w:top w:val="single" w:color="000000" w:sz="4" w:space="0"/>
              <w:left w:val="single" w:color="000000" w:sz="4" w:space="0"/>
              <w:bottom w:val="single" w:color="000000" w:sz="4" w:space="0"/>
              <w:right w:val="single" w:color="000000" w:sz="4" w:space="0"/>
            </w:tcBorders>
            <w:vAlign w:val="center"/>
          </w:tcPr>
          <w:p w14:paraId="0B4ABBC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国产</w:t>
            </w:r>
          </w:p>
        </w:tc>
      </w:tr>
      <w:tr w14:paraId="06C75DDD">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70FF36D">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2E24BCB8">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3794BA1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新诉服指导中心大屏</w:t>
            </w:r>
          </w:p>
        </w:tc>
        <w:tc>
          <w:tcPr>
            <w:tcW w:w="1276" w:type="dxa"/>
            <w:tcBorders>
              <w:top w:val="single" w:color="000000" w:sz="4" w:space="0"/>
              <w:left w:val="single" w:color="000000" w:sz="4" w:space="0"/>
              <w:bottom w:val="single" w:color="000000" w:sz="4" w:space="0"/>
              <w:right w:val="single" w:color="000000" w:sz="4" w:space="0"/>
            </w:tcBorders>
            <w:vAlign w:val="center"/>
          </w:tcPr>
          <w:p w14:paraId="16B1B92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1块</w:t>
            </w:r>
          </w:p>
        </w:tc>
        <w:tc>
          <w:tcPr>
            <w:tcW w:w="2834" w:type="dxa"/>
            <w:tcBorders>
              <w:top w:val="single" w:color="000000" w:sz="4" w:space="0"/>
              <w:left w:val="single" w:color="000000" w:sz="4" w:space="0"/>
              <w:bottom w:val="single" w:color="000000" w:sz="4" w:space="0"/>
              <w:right w:val="single" w:color="000000" w:sz="4" w:space="0"/>
            </w:tcBorders>
            <w:vAlign w:val="center"/>
          </w:tcPr>
          <w:p w14:paraId="0DACC2E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国产</w:t>
            </w:r>
          </w:p>
        </w:tc>
      </w:tr>
      <w:tr w14:paraId="2C3E6D6F">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C99A0A0">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F1C3D36">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43D37D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电梯广告屏</w:t>
            </w:r>
          </w:p>
        </w:tc>
        <w:tc>
          <w:tcPr>
            <w:tcW w:w="1276" w:type="dxa"/>
            <w:tcBorders>
              <w:top w:val="single" w:color="000000" w:sz="4" w:space="0"/>
              <w:left w:val="single" w:color="000000" w:sz="4" w:space="0"/>
              <w:bottom w:val="single" w:color="000000" w:sz="4" w:space="0"/>
              <w:right w:val="single" w:color="000000" w:sz="4" w:space="0"/>
            </w:tcBorders>
            <w:vAlign w:val="center"/>
          </w:tcPr>
          <w:p w14:paraId="08A1318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6块</w:t>
            </w:r>
          </w:p>
        </w:tc>
        <w:tc>
          <w:tcPr>
            <w:tcW w:w="2834" w:type="dxa"/>
            <w:tcBorders>
              <w:top w:val="single" w:color="000000" w:sz="4" w:space="0"/>
              <w:left w:val="single" w:color="000000" w:sz="4" w:space="0"/>
              <w:bottom w:val="single" w:color="000000" w:sz="4" w:space="0"/>
              <w:right w:val="single" w:color="000000" w:sz="4" w:space="0"/>
            </w:tcBorders>
            <w:vAlign w:val="center"/>
          </w:tcPr>
          <w:p w14:paraId="52F0FF5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广州创捷</w:t>
            </w:r>
          </w:p>
        </w:tc>
      </w:tr>
      <w:tr w14:paraId="26030DBA">
        <w:tblPrEx>
          <w:tblCellMar>
            <w:top w:w="0" w:type="dxa"/>
            <w:left w:w="108" w:type="dxa"/>
            <w:bottom w:w="0" w:type="dxa"/>
            <w:right w:w="108" w:type="dxa"/>
          </w:tblCellMar>
        </w:tblPrEx>
        <w:trPr>
          <w:trHeight w:val="6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1E6E5370">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6</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2D671EF4">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视频会议系统运维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7B209F6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小间距显示屏</w:t>
            </w:r>
          </w:p>
        </w:tc>
        <w:tc>
          <w:tcPr>
            <w:tcW w:w="1276" w:type="dxa"/>
            <w:tcBorders>
              <w:top w:val="single" w:color="000000" w:sz="4" w:space="0"/>
              <w:left w:val="single" w:color="000000" w:sz="4" w:space="0"/>
              <w:bottom w:val="single" w:color="000000" w:sz="4" w:space="0"/>
              <w:right w:val="single" w:color="000000" w:sz="4" w:space="0"/>
            </w:tcBorders>
            <w:vAlign w:val="center"/>
          </w:tcPr>
          <w:p w14:paraId="53A49C5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5486744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希达（8楼、12楼）、锐丽（1楼）</w:t>
            </w:r>
          </w:p>
        </w:tc>
      </w:tr>
      <w:tr w14:paraId="0243375E">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3293026">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DB2E1C3">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895E1E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液晶拼接屏</w:t>
            </w:r>
          </w:p>
        </w:tc>
        <w:tc>
          <w:tcPr>
            <w:tcW w:w="1276" w:type="dxa"/>
            <w:tcBorders>
              <w:top w:val="single" w:color="000000" w:sz="4" w:space="0"/>
              <w:left w:val="single" w:color="000000" w:sz="4" w:space="0"/>
              <w:bottom w:val="single" w:color="000000" w:sz="4" w:space="0"/>
              <w:right w:val="single" w:color="000000" w:sz="4" w:space="0"/>
            </w:tcBorders>
            <w:vAlign w:val="center"/>
          </w:tcPr>
          <w:p w14:paraId="1A1A3DC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719DB05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德浩（6楼）</w:t>
            </w:r>
          </w:p>
        </w:tc>
      </w:tr>
      <w:tr w14:paraId="154D1AD6">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291B3674">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24BE0B30">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75E92D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音视频矩阵</w:t>
            </w:r>
          </w:p>
        </w:tc>
        <w:tc>
          <w:tcPr>
            <w:tcW w:w="1276" w:type="dxa"/>
            <w:tcBorders>
              <w:top w:val="single" w:color="000000" w:sz="4" w:space="0"/>
              <w:left w:val="single" w:color="000000" w:sz="4" w:space="0"/>
              <w:bottom w:val="single" w:color="000000" w:sz="4" w:space="0"/>
              <w:right w:val="single" w:color="000000" w:sz="4" w:space="0"/>
            </w:tcBorders>
            <w:vAlign w:val="center"/>
          </w:tcPr>
          <w:p w14:paraId="1AE9A5F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2147A4C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小鸟科技</w:t>
            </w:r>
          </w:p>
        </w:tc>
      </w:tr>
      <w:tr w14:paraId="1CDC03A3">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102A6733">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A255FB4">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2EFCF3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拼接控制器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5609A19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03E9B4D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小鸟科技、艾维创</w:t>
            </w:r>
          </w:p>
        </w:tc>
      </w:tr>
      <w:tr w14:paraId="2E54666C">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8AF9634">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B47AB2B">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1BEA0F7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录播系统</w:t>
            </w:r>
          </w:p>
        </w:tc>
        <w:tc>
          <w:tcPr>
            <w:tcW w:w="1276" w:type="dxa"/>
            <w:tcBorders>
              <w:top w:val="single" w:color="000000" w:sz="4" w:space="0"/>
              <w:left w:val="single" w:color="000000" w:sz="4" w:space="0"/>
              <w:bottom w:val="single" w:color="000000" w:sz="4" w:space="0"/>
              <w:right w:val="single" w:color="000000" w:sz="4" w:space="0"/>
            </w:tcBorders>
            <w:vAlign w:val="center"/>
          </w:tcPr>
          <w:p w14:paraId="6E84DF6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3247CD05">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锐取</w:t>
            </w:r>
          </w:p>
        </w:tc>
      </w:tr>
      <w:tr w14:paraId="3BDF8A22">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77F38B1">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8DDE27E">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53FD834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集中控制主机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617682E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28996FA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迅控、小鸟科技</w:t>
            </w:r>
          </w:p>
        </w:tc>
      </w:tr>
      <w:tr w14:paraId="302E4357">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147D69A1">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151D24C">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43B187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视频会议MCU</w:t>
            </w:r>
          </w:p>
        </w:tc>
        <w:tc>
          <w:tcPr>
            <w:tcW w:w="1276" w:type="dxa"/>
            <w:tcBorders>
              <w:top w:val="single" w:color="000000" w:sz="4" w:space="0"/>
              <w:left w:val="single" w:color="000000" w:sz="4" w:space="0"/>
              <w:bottom w:val="single" w:color="000000" w:sz="4" w:space="0"/>
              <w:right w:val="single" w:color="000000" w:sz="4" w:space="0"/>
            </w:tcBorders>
            <w:vAlign w:val="center"/>
          </w:tcPr>
          <w:p w14:paraId="7FFFAD9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00655B2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中兴、科达</w:t>
            </w:r>
          </w:p>
        </w:tc>
      </w:tr>
      <w:tr w14:paraId="3E5B40C3">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154B1D20">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0604B6E9">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4AFC1E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视频会议终端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0851977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7套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06AE5AC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华为、科达、小鱼易连、金桥</w:t>
            </w:r>
          </w:p>
        </w:tc>
      </w:tr>
      <w:tr w14:paraId="3F4DEABE">
        <w:tblPrEx>
          <w:tblCellMar>
            <w:top w:w="0" w:type="dxa"/>
            <w:left w:w="108" w:type="dxa"/>
            <w:bottom w:w="0" w:type="dxa"/>
            <w:right w:w="108" w:type="dxa"/>
          </w:tblCellMar>
        </w:tblPrEx>
        <w:trPr>
          <w:trHeight w:val="6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F978AF9">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6AEB965">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7C59E3B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视频会议摄像头</w:t>
            </w:r>
          </w:p>
        </w:tc>
        <w:tc>
          <w:tcPr>
            <w:tcW w:w="1276" w:type="dxa"/>
            <w:tcBorders>
              <w:top w:val="single" w:color="000000" w:sz="4" w:space="0"/>
              <w:left w:val="single" w:color="000000" w:sz="4" w:space="0"/>
              <w:bottom w:val="single" w:color="000000" w:sz="4" w:space="0"/>
              <w:right w:val="single" w:color="000000" w:sz="4" w:space="0"/>
            </w:tcBorders>
            <w:vAlign w:val="center"/>
          </w:tcPr>
          <w:p w14:paraId="63C6644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12套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1A8882B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Sony、华为、灵犀达、中兴、科达、维海德、保凌、明日</w:t>
            </w:r>
          </w:p>
        </w:tc>
      </w:tr>
      <w:tr w14:paraId="327204CD">
        <w:tblPrEx>
          <w:tblCellMar>
            <w:top w:w="0" w:type="dxa"/>
            <w:left w:w="108" w:type="dxa"/>
            <w:bottom w:w="0" w:type="dxa"/>
            <w:right w:w="108" w:type="dxa"/>
          </w:tblCellMar>
        </w:tblPrEx>
        <w:trPr>
          <w:trHeight w:val="3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3C831D9F">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7</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4038D352">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门禁考勤系统运维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77025E4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门禁设备</w:t>
            </w:r>
          </w:p>
        </w:tc>
        <w:tc>
          <w:tcPr>
            <w:tcW w:w="1276" w:type="dxa"/>
            <w:tcBorders>
              <w:top w:val="single" w:color="000000" w:sz="4" w:space="0"/>
              <w:left w:val="single" w:color="000000" w:sz="4" w:space="0"/>
              <w:bottom w:val="single" w:color="000000" w:sz="4" w:space="0"/>
              <w:right w:val="single" w:color="000000" w:sz="4" w:space="0"/>
            </w:tcBorders>
            <w:vAlign w:val="center"/>
          </w:tcPr>
          <w:p w14:paraId="0036BF0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226套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4847ECA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披克、中控</w:t>
            </w:r>
          </w:p>
        </w:tc>
      </w:tr>
      <w:tr w14:paraId="2984EFDE">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DC256B6">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1C81E71A">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29B88F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门禁接入点</w:t>
            </w:r>
          </w:p>
        </w:tc>
        <w:tc>
          <w:tcPr>
            <w:tcW w:w="1276" w:type="dxa"/>
            <w:tcBorders>
              <w:top w:val="single" w:color="000000" w:sz="4" w:space="0"/>
              <w:left w:val="single" w:color="000000" w:sz="4" w:space="0"/>
              <w:bottom w:val="single" w:color="000000" w:sz="4" w:space="0"/>
              <w:right w:val="single" w:color="000000" w:sz="4" w:space="0"/>
            </w:tcBorders>
            <w:vAlign w:val="center"/>
          </w:tcPr>
          <w:p w14:paraId="2BE41E1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113个</w:t>
            </w:r>
          </w:p>
        </w:tc>
        <w:tc>
          <w:tcPr>
            <w:tcW w:w="2834" w:type="dxa"/>
            <w:tcBorders>
              <w:top w:val="single" w:color="000000" w:sz="4" w:space="0"/>
              <w:left w:val="single" w:color="000000" w:sz="4" w:space="0"/>
              <w:bottom w:val="single" w:color="000000" w:sz="4" w:space="0"/>
              <w:right w:val="single" w:color="000000" w:sz="4" w:space="0"/>
            </w:tcBorders>
            <w:vAlign w:val="center"/>
          </w:tcPr>
          <w:p w14:paraId="6786F85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披克、中控</w:t>
            </w:r>
          </w:p>
        </w:tc>
      </w:tr>
      <w:tr w14:paraId="0CBBD632">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E14AD7B">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43ECBA1">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FA57B0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人脸识别考勤机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0778D1F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25台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F9CBEE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309D6A58">
        <w:tblPrEx>
          <w:tblCellMar>
            <w:top w:w="0" w:type="dxa"/>
            <w:left w:w="108" w:type="dxa"/>
            <w:bottom w:w="0" w:type="dxa"/>
            <w:right w:w="108" w:type="dxa"/>
          </w:tblCellMar>
        </w:tblPrEx>
        <w:trPr>
          <w:trHeight w:val="3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74725666">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8</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3B256D45">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安防监控系统运维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50357405">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NVR硬盘录像机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51FB824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21台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059A91D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182ACD2F">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50D83E9">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207DA66C">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79C2F2B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监控服务器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0486AD6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6台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A4BA8C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61453F98">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29B0B8BB">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849498E">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A425E3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平台服务器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776932C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6FE867F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16814836">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1A96118">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D60038F">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8AB26D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光纤收发器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3D529DD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446E84C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国产</w:t>
            </w:r>
          </w:p>
        </w:tc>
      </w:tr>
      <w:tr w14:paraId="6B65606E">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BCA2B54">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6DD6C489">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B1C528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球机监控</w:t>
            </w:r>
          </w:p>
        </w:tc>
        <w:tc>
          <w:tcPr>
            <w:tcW w:w="1276" w:type="dxa"/>
            <w:tcBorders>
              <w:top w:val="single" w:color="000000" w:sz="4" w:space="0"/>
              <w:left w:val="single" w:color="000000" w:sz="4" w:space="0"/>
              <w:bottom w:val="single" w:color="000000" w:sz="4" w:space="0"/>
              <w:right w:val="single" w:color="000000" w:sz="4" w:space="0"/>
            </w:tcBorders>
            <w:vAlign w:val="center"/>
          </w:tcPr>
          <w:p w14:paraId="1699E15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6F4D339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33FDAD84">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8FA92A8">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111EB901">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35ED55D6">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半球监控</w:t>
            </w:r>
          </w:p>
        </w:tc>
        <w:tc>
          <w:tcPr>
            <w:tcW w:w="1276" w:type="dxa"/>
            <w:tcBorders>
              <w:top w:val="single" w:color="000000" w:sz="4" w:space="0"/>
              <w:left w:val="single" w:color="000000" w:sz="4" w:space="0"/>
              <w:bottom w:val="single" w:color="000000" w:sz="4" w:space="0"/>
              <w:right w:val="single" w:color="000000" w:sz="4" w:space="0"/>
            </w:tcBorders>
            <w:vAlign w:val="center"/>
          </w:tcPr>
          <w:p w14:paraId="400AA8B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400台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265319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0C308F1C">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4F7F2BD">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978C43C">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0C42C6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枪机监控</w:t>
            </w:r>
          </w:p>
        </w:tc>
        <w:tc>
          <w:tcPr>
            <w:tcW w:w="1276" w:type="dxa"/>
            <w:tcBorders>
              <w:top w:val="single" w:color="000000" w:sz="4" w:space="0"/>
              <w:left w:val="single" w:color="000000" w:sz="4" w:space="0"/>
              <w:bottom w:val="single" w:color="000000" w:sz="4" w:space="0"/>
              <w:right w:val="single" w:color="000000" w:sz="4" w:space="0"/>
            </w:tcBorders>
            <w:vAlign w:val="center"/>
          </w:tcPr>
          <w:p w14:paraId="0C56C4C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270台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2EA1C276">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2AF97238">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94202F3">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02F133CE">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538C69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电视墙</w:t>
            </w:r>
          </w:p>
        </w:tc>
        <w:tc>
          <w:tcPr>
            <w:tcW w:w="1276" w:type="dxa"/>
            <w:tcBorders>
              <w:top w:val="single" w:color="000000" w:sz="4" w:space="0"/>
              <w:left w:val="single" w:color="000000" w:sz="4" w:space="0"/>
              <w:bottom w:val="single" w:color="000000" w:sz="4" w:space="0"/>
              <w:right w:val="single" w:color="000000" w:sz="4" w:space="0"/>
            </w:tcBorders>
            <w:vAlign w:val="center"/>
          </w:tcPr>
          <w:p w14:paraId="40CF2FB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27块</w:t>
            </w:r>
          </w:p>
        </w:tc>
        <w:tc>
          <w:tcPr>
            <w:tcW w:w="2834" w:type="dxa"/>
            <w:tcBorders>
              <w:top w:val="single" w:color="000000" w:sz="4" w:space="0"/>
              <w:left w:val="single" w:color="000000" w:sz="4" w:space="0"/>
              <w:bottom w:val="single" w:color="000000" w:sz="4" w:space="0"/>
              <w:right w:val="single" w:color="000000" w:sz="4" w:space="0"/>
            </w:tcBorders>
            <w:vAlign w:val="center"/>
          </w:tcPr>
          <w:p w14:paraId="482FEE1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42AA9A31">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39FE070">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5FCFA41">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3312635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解码器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4494370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5套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476C72A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71F26965">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BA79158">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1DD6B9F8">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500061E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交换机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3F02A2F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26台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F8E4B5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华为、TP-Link、H3C</w:t>
            </w:r>
          </w:p>
        </w:tc>
      </w:tr>
      <w:tr w14:paraId="45026415">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4F09DCCE">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9B5AA4D">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9A3ADB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云存储</w:t>
            </w:r>
          </w:p>
        </w:tc>
        <w:tc>
          <w:tcPr>
            <w:tcW w:w="1276" w:type="dxa"/>
            <w:tcBorders>
              <w:top w:val="single" w:color="000000" w:sz="4" w:space="0"/>
              <w:left w:val="single" w:color="000000" w:sz="4" w:space="0"/>
              <w:bottom w:val="single" w:color="000000" w:sz="4" w:space="0"/>
              <w:right w:val="single" w:color="000000" w:sz="4" w:space="0"/>
            </w:tcBorders>
            <w:vAlign w:val="center"/>
          </w:tcPr>
          <w:p w14:paraId="1EB5153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6AD707E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54A9F41C">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28E4DA7A">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274D7CC3">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4137A1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报警主机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312D712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8台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206F1B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海康威视</w:t>
            </w:r>
          </w:p>
        </w:tc>
      </w:tr>
      <w:tr w14:paraId="5E0E6CE1">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435CB78">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C998AFD">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4D1EC28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边界报警（室外电子围栏）</w:t>
            </w:r>
          </w:p>
        </w:tc>
        <w:tc>
          <w:tcPr>
            <w:tcW w:w="1276" w:type="dxa"/>
            <w:tcBorders>
              <w:top w:val="single" w:color="000000" w:sz="4" w:space="0"/>
              <w:left w:val="single" w:color="000000" w:sz="4" w:space="0"/>
              <w:bottom w:val="single" w:color="000000" w:sz="4" w:space="0"/>
              <w:right w:val="single" w:color="000000" w:sz="4" w:space="0"/>
            </w:tcBorders>
            <w:vAlign w:val="center"/>
          </w:tcPr>
          <w:p w14:paraId="1D171BF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5BDCE80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海康（双防区，2000米）</w:t>
            </w:r>
          </w:p>
        </w:tc>
      </w:tr>
      <w:tr w14:paraId="7642E012">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0573486">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3F408399">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19A9184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法庭报警（法庭一键报警）</w:t>
            </w:r>
          </w:p>
        </w:tc>
        <w:tc>
          <w:tcPr>
            <w:tcW w:w="1276" w:type="dxa"/>
            <w:tcBorders>
              <w:top w:val="single" w:color="000000" w:sz="4" w:space="0"/>
              <w:left w:val="single" w:color="000000" w:sz="4" w:space="0"/>
              <w:bottom w:val="single" w:color="000000" w:sz="4" w:space="0"/>
              <w:right w:val="single" w:color="000000" w:sz="4" w:space="0"/>
            </w:tcBorders>
            <w:vAlign w:val="center"/>
          </w:tcPr>
          <w:p w14:paraId="5702F1D5">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34套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0932B5A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国产</w:t>
            </w:r>
          </w:p>
        </w:tc>
      </w:tr>
      <w:tr w14:paraId="5E82E8C6">
        <w:tblPrEx>
          <w:tblCellMar>
            <w:top w:w="0" w:type="dxa"/>
            <w:left w:w="108" w:type="dxa"/>
            <w:bottom w:w="0" w:type="dxa"/>
            <w:right w:w="108" w:type="dxa"/>
          </w:tblCellMar>
        </w:tblPrEx>
        <w:trPr>
          <w:trHeight w:val="3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573E865C">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9</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73546DC2">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诉服中心智能终端运维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24C900D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智能查询终端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0915BE66">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1B5E69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25F6E280">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4E3A9FEF">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36B6E538">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0BD9DF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文书辅助终端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1B22322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8749CA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728D4A4F">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1910901E">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0C8F119">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1F4FEDF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电子门牌终端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27BF07E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35CD598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75EDA93B">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47FA6CF3">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6F9C8FB2">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360D0B6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阅卷终端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39ECBA1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9台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2C7EDFF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283B71B2">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5C5D4F9">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0416D64">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17034F2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云柜终端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76E6810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5DC241B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1979F6F9">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121EEFA6">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760DF21">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54B4821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自助填单终端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446D2D9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5D4DA3F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6DFE6241">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1988C8FF">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4E67AE0">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F9EFB3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自助立案机终端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70FFC58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73DBCD0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6700A873">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3EBECB61">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794C424">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3049C53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智能导诉终端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6C8836B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31B7F93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167F9D22">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23F99BFE">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7A5E830">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42C77F7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法官通话终端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48137FD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E9D499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4FA81C00">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FA3E0B8">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161733AB">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14717C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线上线下终端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5794B57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19台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4A2FCA0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452428A6">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43400B0">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AA93190">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FEEAF3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风险评估终端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7800889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31EEEBB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4D55FFF2">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3B78917F">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4AD9541">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51CA82C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材料收转终端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393126D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72EA1E3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百智诚远</w:t>
            </w:r>
          </w:p>
        </w:tc>
      </w:tr>
      <w:tr w14:paraId="4566BE8D">
        <w:tblPrEx>
          <w:tblCellMar>
            <w:top w:w="0" w:type="dxa"/>
            <w:left w:w="108" w:type="dxa"/>
            <w:bottom w:w="0" w:type="dxa"/>
            <w:right w:w="108" w:type="dxa"/>
          </w:tblCellMar>
        </w:tblPrEx>
        <w:trPr>
          <w:trHeight w:val="3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2380EA78">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10</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7ECA3C3F">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科技法庭系统运维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010D48F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音视频网关</w:t>
            </w:r>
          </w:p>
        </w:tc>
        <w:tc>
          <w:tcPr>
            <w:tcW w:w="1276" w:type="dxa"/>
            <w:tcBorders>
              <w:top w:val="single" w:color="000000" w:sz="4" w:space="0"/>
              <w:left w:val="single" w:color="000000" w:sz="4" w:space="0"/>
              <w:bottom w:val="single" w:color="000000" w:sz="4" w:space="0"/>
              <w:right w:val="single" w:color="000000" w:sz="4" w:space="0"/>
            </w:tcBorders>
            <w:vAlign w:val="center"/>
          </w:tcPr>
          <w:p w14:paraId="503E1A86">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44DF46D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华夏电通</w:t>
            </w:r>
          </w:p>
        </w:tc>
      </w:tr>
      <w:tr w14:paraId="5F9BB641">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BB8BF37">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3E22693E">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4B9992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编解码器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39D2265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3D42E1E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华夏电通</w:t>
            </w:r>
          </w:p>
        </w:tc>
      </w:tr>
      <w:tr w14:paraId="433B3878">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AB7535E">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3CAAAEB">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79DB6DC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互联网法庭庭审服务器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79E8095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7004B64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华夏电通ETMS服务器</w:t>
            </w:r>
          </w:p>
        </w:tc>
      </w:tr>
      <w:tr w14:paraId="0FF02E80">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4CB3FB49">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15E77546">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3707361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智慧法庭庭审服务器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2BD1184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7BCBBD6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华夏电通CMS服务器</w:t>
            </w:r>
          </w:p>
        </w:tc>
      </w:tr>
      <w:tr w14:paraId="1BD979C3">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2F01CCF">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0B00352E">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1047554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智慧法庭流媒体服务器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5073456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4E7B0B9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华夏电通</w:t>
            </w:r>
          </w:p>
        </w:tc>
      </w:tr>
      <w:tr w14:paraId="5D49B7C7">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26ABC1D">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3016CBCC">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1B64BA1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法庭专案指挥调度平台服务器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486ACF5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5AF14BD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华夏电通</w:t>
            </w:r>
          </w:p>
        </w:tc>
      </w:tr>
      <w:tr w14:paraId="13867AA2">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6844551">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AD10583">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52273AF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远程提讯平台服务器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724E08C5">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71996D55">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华夏电通</w:t>
            </w:r>
          </w:p>
        </w:tc>
      </w:tr>
      <w:tr w14:paraId="2DD9C8E4">
        <w:tblPrEx>
          <w:tblCellMar>
            <w:top w:w="0" w:type="dxa"/>
            <w:left w:w="108" w:type="dxa"/>
            <w:bottom w:w="0" w:type="dxa"/>
            <w:right w:w="108" w:type="dxa"/>
          </w:tblCellMar>
        </w:tblPrEx>
        <w:trPr>
          <w:trHeight w:val="6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1F1FD65F">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243858CE">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6A850B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法庭音视频管理综合平台服务器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59A1F6A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4E6C6DB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华夏电通RCS服务器</w:t>
            </w:r>
          </w:p>
        </w:tc>
      </w:tr>
      <w:tr w14:paraId="55EAB405">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1948C5E2">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BA2E35C">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7AA54B1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专网交换机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6E411FA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457094F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H3C（光谷科技法庭）</w:t>
            </w:r>
          </w:p>
        </w:tc>
      </w:tr>
      <w:tr w14:paraId="30046A28">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267D8D43">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25B1B66B">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3779B82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矩阵</w:t>
            </w:r>
          </w:p>
        </w:tc>
        <w:tc>
          <w:tcPr>
            <w:tcW w:w="1276" w:type="dxa"/>
            <w:tcBorders>
              <w:top w:val="single" w:color="000000" w:sz="4" w:space="0"/>
              <w:left w:val="single" w:color="000000" w:sz="4" w:space="0"/>
              <w:bottom w:val="single" w:color="000000" w:sz="4" w:space="0"/>
              <w:right w:val="single" w:color="000000" w:sz="4" w:space="0"/>
            </w:tcBorders>
            <w:vAlign w:val="center"/>
          </w:tcPr>
          <w:p w14:paraId="7FC0FF1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4A19628B">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魅视（光谷科技法庭）</w:t>
            </w:r>
          </w:p>
        </w:tc>
      </w:tr>
      <w:tr w14:paraId="5A35676A">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27D2E3D9">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6CB2CAF5">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7E05E9B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天宇威视庭审主机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47B4B2AD">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0B044E56">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天宇威视（光谷科技法庭）</w:t>
            </w:r>
          </w:p>
        </w:tc>
      </w:tr>
      <w:tr w14:paraId="68EFFE42">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830D493">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7E94575">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1473A95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天宇威视互联网网关设备</w:t>
            </w:r>
          </w:p>
        </w:tc>
        <w:tc>
          <w:tcPr>
            <w:tcW w:w="1276" w:type="dxa"/>
            <w:tcBorders>
              <w:top w:val="single" w:color="000000" w:sz="4" w:space="0"/>
              <w:left w:val="single" w:color="000000" w:sz="4" w:space="0"/>
              <w:bottom w:val="single" w:color="000000" w:sz="4" w:space="0"/>
              <w:right w:val="single" w:color="000000" w:sz="4" w:space="0"/>
            </w:tcBorders>
            <w:vAlign w:val="center"/>
          </w:tcPr>
          <w:p w14:paraId="2EF435E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74D6E56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天宇威视（光谷科技法庭）</w:t>
            </w:r>
          </w:p>
        </w:tc>
      </w:tr>
      <w:tr w14:paraId="376775CB">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13DD3743">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1D41AE33">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7A6141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天宇威视互联网法庭</w:t>
            </w:r>
          </w:p>
        </w:tc>
        <w:tc>
          <w:tcPr>
            <w:tcW w:w="1276" w:type="dxa"/>
            <w:tcBorders>
              <w:top w:val="single" w:color="000000" w:sz="4" w:space="0"/>
              <w:left w:val="single" w:color="000000" w:sz="4" w:space="0"/>
              <w:bottom w:val="single" w:color="000000" w:sz="4" w:space="0"/>
              <w:right w:val="single" w:color="000000" w:sz="4" w:space="0"/>
            </w:tcBorders>
            <w:vAlign w:val="center"/>
          </w:tcPr>
          <w:p w14:paraId="3ECD5460">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8套</w:t>
            </w:r>
          </w:p>
        </w:tc>
        <w:tc>
          <w:tcPr>
            <w:tcW w:w="2834" w:type="dxa"/>
            <w:tcBorders>
              <w:top w:val="single" w:color="000000" w:sz="4" w:space="0"/>
              <w:left w:val="single" w:color="000000" w:sz="4" w:space="0"/>
              <w:bottom w:val="single" w:color="000000" w:sz="4" w:space="0"/>
              <w:right w:val="single" w:color="000000" w:sz="4" w:space="0"/>
            </w:tcBorders>
            <w:vAlign w:val="center"/>
          </w:tcPr>
          <w:p w14:paraId="279E4D7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天宇威视（院内证据交换室）</w:t>
            </w:r>
          </w:p>
        </w:tc>
      </w:tr>
      <w:tr w14:paraId="2CD35D92">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18E666A">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092B00AE">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F23002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天地伟业庭审主机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690EA7A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7454519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天地伟业（院内减刑假释法庭）</w:t>
            </w:r>
          </w:p>
        </w:tc>
      </w:tr>
      <w:tr w14:paraId="3354C2F1">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3E42631">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26899920">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0FF2BE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华夏电通庭审主机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4CB168C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31台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210B0A9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华夏电通</w:t>
            </w:r>
          </w:p>
        </w:tc>
      </w:tr>
      <w:tr w14:paraId="76425229">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B62A4CB">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537042F">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20F28FA8">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书记员庭审控制终端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3844A69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36台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053C346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华硕、联想</w:t>
            </w:r>
          </w:p>
        </w:tc>
      </w:tr>
      <w:tr w14:paraId="3518BA5A">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2CFDF3C">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3911AC4D">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3DE0DC8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法官数字法院终端</w:t>
            </w:r>
          </w:p>
        </w:tc>
        <w:tc>
          <w:tcPr>
            <w:tcW w:w="1276" w:type="dxa"/>
            <w:tcBorders>
              <w:top w:val="single" w:color="000000" w:sz="4" w:space="0"/>
              <w:left w:val="single" w:color="000000" w:sz="4" w:space="0"/>
              <w:bottom w:val="single" w:color="000000" w:sz="4" w:space="0"/>
              <w:right w:val="single" w:color="000000" w:sz="4" w:space="0"/>
            </w:tcBorders>
            <w:vAlign w:val="center"/>
          </w:tcPr>
          <w:p w14:paraId="5FC70136">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36台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43B3192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华为</w:t>
            </w:r>
          </w:p>
        </w:tc>
      </w:tr>
      <w:tr w14:paraId="02854EB0">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0FE7BB14">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31B5F33">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3E6C2F6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法庭显示器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71EF692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252台</w:t>
            </w:r>
          </w:p>
        </w:tc>
        <w:tc>
          <w:tcPr>
            <w:tcW w:w="283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B5CF6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华硕、联想</w:t>
            </w:r>
          </w:p>
        </w:tc>
      </w:tr>
      <w:tr w14:paraId="4CE4D2D0">
        <w:tblPrEx>
          <w:tblCellMar>
            <w:top w:w="0" w:type="dxa"/>
            <w:left w:w="108" w:type="dxa"/>
            <w:bottom w:w="0" w:type="dxa"/>
            <w:right w:w="108" w:type="dxa"/>
          </w:tblCellMar>
        </w:tblPrEx>
        <w:trPr>
          <w:trHeight w:val="300"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24532109">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11</w:t>
            </w:r>
          </w:p>
        </w:tc>
        <w:tc>
          <w:tcPr>
            <w:tcW w:w="1276" w:type="dxa"/>
            <w:vMerge w:val="restart"/>
            <w:tcBorders>
              <w:top w:val="single" w:color="000000" w:sz="4" w:space="0"/>
              <w:left w:val="single" w:color="000000" w:sz="4" w:space="0"/>
              <w:bottom w:val="single" w:color="000000" w:sz="4" w:space="0"/>
              <w:right w:val="single" w:color="000000" w:sz="4" w:space="0"/>
            </w:tcBorders>
            <w:vAlign w:val="center"/>
          </w:tcPr>
          <w:p w14:paraId="6F702221">
            <w:pPr>
              <w:spacing w:line="320" w:lineRule="exact"/>
              <w:ind w:firstLine="0"/>
              <w:jc w:val="center"/>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音视频设备的运维</w:t>
            </w:r>
          </w:p>
        </w:tc>
        <w:tc>
          <w:tcPr>
            <w:tcW w:w="2552" w:type="dxa"/>
            <w:tcBorders>
              <w:top w:val="single" w:color="000000" w:sz="4" w:space="0"/>
              <w:left w:val="single" w:color="000000" w:sz="4" w:space="0"/>
              <w:bottom w:val="single" w:color="000000" w:sz="4" w:space="0"/>
              <w:right w:val="single" w:color="000000" w:sz="4" w:space="0"/>
            </w:tcBorders>
            <w:vAlign w:val="center"/>
          </w:tcPr>
          <w:p w14:paraId="1D663D2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液晶电视</w:t>
            </w:r>
          </w:p>
        </w:tc>
        <w:tc>
          <w:tcPr>
            <w:tcW w:w="1276" w:type="dxa"/>
            <w:tcBorders>
              <w:top w:val="single" w:color="000000" w:sz="4" w:space="0"/>
              <w:left w:val="single" w:color="000000" w:sz="4" w:space="0"/>
              <w:bottom w:val="single" w:color="000000" w:sz="4" w:space="0"/>
              <w:right w:val="single" w:color="000000" w:sz="4" w:space="0"/>
            </w:tcBorders>
            <w:vAlign w:val="center"/>
          </w:tcPr>
          <w:p w14:paraId="703DE83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24台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31E7E69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长虹</w:t>
            </w:r>
          </w:p>
        </w:tc>
      </w:tr>
      <w:tr w14:paraId="223E5AAC">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59B03E0">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25929CED">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55DAD0F">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电子白板</w:t>
            </w:r>
          </w:p>
        </w:tc>
        <w:tc>
          <w:tcPr>
            <w:tcW w:w="1276" w:type="dxa"/>
            <w:tcBorders>
              <w:top w:val="single" w:color="000000" w:sz="4" w:space="0"/>
              <w:left w:val="single" w:color="000000" w:sz="4" w:space="0"/>
              <w:bottom w:val="single" w:color="000000" w:sz="4" w:space="0"/>
              <w:right w:val="single" w:color="000000" w:sz="4" w:space="0"/>
            </w:tcBorders>
            <w:vAlign w:val="center"/>
          </w:tcPr>
          <w:p w14:paraId="19A368D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10台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EA283B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鸿合</w:t>
            </w:r>
          </w:p>
        </w:tc>
      </w:tr>
      <w:tr w14:paraId="20B719A6">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7D14F4C5">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58C3082F">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69B4E11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音频处理器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507E5F73">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33611051">
            <w:pPr>
              <w:spacing w:line="320" w:lineRule="exact"/>
              <w:ind w:firstLine="0"/>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szCs w:val="24"/>
              </w:rPr>
              <w:t>国产</w:t>
            </w:r>
          </w:p>
        </w:tc>
      </w:tr>
      <w:tr w14:paraId="305EAC1F">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369D536E">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1146735B">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732E96C7">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音响</w:t>
            </w:r>
          </w:p>
        </w:tc>
        <w:tc>
          <w:tcPr>
            <w:tcW w:w="1276" w:type="dxa"/>
            <w:tcBorders>
              <w:top w:val="single" w:color="000000" w:sz="4" w:space="0"/>
              <w:left w:val="single" w:color="000000" w:sz="4" w:space="0"/>
              <w:bottom w:val="single" w:color="000000" w:sz="4" w:space="0"/>
              <w:right w:val="single" w:color="000000" w:sz="4" w:space="0"/>
            </w:tcBorders>
            <w:vAlign w:val="center"/>
          </w:tcPr>
          <w:p w14:paraId="5907296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8台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57F61B06">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雅马哈等</w:t>
            </w:r>
          </w:p>
        </w:tc>
      </w:tr>
      <w:tr w14:paraId="6B783A68">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5D6616CB">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7AB5DD67">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99FCFA1">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调音台</w:t>
            </w:r>
          </w:p>
        </w:tc>
        <w:tc>
          <w:tcPr>
            <w:tcW w:w="1276" w:type="dxa"/>
            <w:tcBorders>
              <w:top w:val="single" w:color="000000" w:sz="4" w:space="0"/>
              <w:left w:val="single" w:color="000000" w:sz="4" w:space="0"/>
              <w:bottom w:val="single" w:color="000000" w:sz="4" w:space="0"/>
              <w:right w:val="single" w:color="000000" w:sz="4" w:space="0"/>
            </w:tcBorders>
            <w:vAlign w:val="center"/>
          </w:tcPr>
          <w:p w14:paraId="18738AAA">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2台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1E5792F5">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雅马哈等</w:t>
            </w:r>
          </w:p>
        </w:tc>
      </w:tr>
      <w:tr w14:paraId="1F726083">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D7D3C87">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41460310">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7040CA24">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功放</w:t>
            </w:r>
          </w:p>
        </w:tc>
        <w:tc>
          <w:tcPr>
            <w:tcW w:w="1276" w:type="dxa"/>
            <w:tcBorders>
              <w:top w:val="single" w:color="000000" w:sz="4" w:space="0"/>
              <w:left w:val="single" w:color="000000" w:sz="4" w:space="0"/>
              <w:bottom w:val="single" w:color="000000" w:sz="4" w:space="0"/>
              <w:right w:val="single" w:color="000000" w:sz="4" w:space="0"/>
            </w:tcBorders>
            <w:vAlign w:val="center"/>
          </w:tcPr>
          <w:p w14:paraId="4499823E">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4台</w:t>
            </w:r>
          </w:p>
        </w:tc>
        <w:tc>
          <w:tcPr>
            <w:tcW w:w="2834" w:type="dxa"/>
            <w:tcBorders>
              <w:top w:val="single" w:color="000000" w:sz="4" w:space="0"/>
              <w:left w:val="single" w:color="000000" w:sz="4" w:space="0"/>
              <w:bottom w:val="single" w:color="000000" w:sz="4" w:space="0"/>
              <w:right w:val="single" w:color="000000" w:sz="4" w:space="0"/>
            </w:tcBorders>
            <w:vAlign w:val="center"/>
          </w:tcPr>
          <w:p w14:paraId="32144052">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雅马哈等</w:t>
            </w:r>
          </w:p>
        </w:tc>
      </w:tr>
      <w:tr w14:paraId="71A8CC47">
        <w:tblPrEx>
          <w:tblCellMar>
            <w:top w:w="0" w:type="dxa"/>
            <w:left w:w="108" w:type="dxa"/>
            <w:bottom w:w="0" w:type="dxa"/>
            <w:right w:w="108" w:type="dxa"/>
          </w:tblCellMar>
        </w:tblPrEx>
        <w:trPr>
          <w:trHeight w:val="300"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27157BA4">
            <w:pPr>
              <w:spacing w:line="320" w:lineRule="exact"/>
              <w:jc w:val="center"/>
              <w:rPr>
                <w:rFonts w:hint="eastAsia" w:cs="仿宋" w:asciiTheme="minorEastAsia" w:hAnsiTheme="minorEastAsia" w:eastAsiaTheme="minorEastAsia"/>
                <w:color w:val="000000"/>
                <w:szCs w:val="24"/>
              </w:rPr>
            </w:pPr>
          </w:p>
        </w:tc>
        <w:tc>
          <w:tcPr>
            <w:tcW w:w="1276" w:type="dxa"/>
            <w:vMerge w:val="continue"/>
            <w:tcBorders>
              <w:top w:val="single" w:color="000000" w:sz="4" w:space="0"/>
              <w:left w:val="single" w:color="000000" w:sz="4" w:space="0"/>
              <w:bottom w:val="single" w:color="000000" w:sz="4" w:space="0"/>
              <w:right w:val="single" w:color="000000" w:sz="4" w:space="0"/>
            </w:tcBorders>
            <w:vAlign w:val="center"/>
          </w:tcPr>
          <w:p w14:paraId="3C0C7B7E">
            <w:pPr>
              <w:spacing w:line="320" w:lineRule="exact"/>
              <w:jc w:val="center"/>
              <w:rPr>
                <w:rFonts w:hint="eastAsia" w:cs="仿宋" w:asciiTheme="minorEastAsia" w:hAnsiTheme="minorEastAsia" w:eastAsiaTheme="minorEastAsia"/>
                <w:color w:val="000000"/>
                <w:szCs w:val="24"/>
              </w:rPr>
            </w:pPr>
          </w:p>
        </w:tc>
        <w:tc>
          <w:tcPr>
            <w:tcW w:w="2552" w:type="dxa"/>
            <w:tcBorders>
              <w:top w:val="single" w:color="000000" w:sz="4" w:space="0"/>
              <w:left w:val="single" w:color="000000" w:sz="4" w:space="0"/>
              <w:bottom w:val="single" w:color="000000" w:sz="4" w:space="0"/>
              <w:right w:val="single" w:color="000000" w:sz="4" w:space="0"/>
            </w:tcBorders>
            <w:vAlign w:val="center"/>
          </w:tcPr>
          <w:p w14:paraId="067571D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话筒</w:t>
            </w:r>
          </w:p>
        </w:tc>
        <w:tc>
          <w:tcPr>
            <w:tcW w:w="1276" w:type="dxa"/>
            <w:tcBorders>
              <w:top w:val="single" w:color="000000" w:sz="4" w:space="0"/>
              <w:left w:val="single" w:color="000000" w:sz="4" w:space="0"/>
              <w:bottom w:val="single" w:color="000000" w:sz="4" w:space="0"/>
              <w:right w:val="single" w:color="000000" w:sz="4" w:space="0"/>
            </w:tcBorders>
            <w:vAlign w:val="center"/>
          </w:tcPr>
          <w:p w14:paraId="1E29EF79">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34支</w:t>
            </w:r>
          </w:p>
        </w:tc>
        <w:tc>
          <w:tcPr>
            <w:tcW w:w="2834" w:type="dxa"/>
            <w:tcBorders>
              <w:top w:val="single" w:color="000000" w:sz="4" w:space="0"/>
              <w:left w:val="single" w:color="000000" w:sz="4" w:space="0"/>
              <w:bottom w:val="single" w:color="000000" w:sz="4" w:space="0"/>
              <w:right w:val="single" w:color="000000" w:sz="4" w:space="0"/>
            </w:tcBorders>
            <w:vAlign w:val="center"/>
          </w:tcPr>
          <w:p w14:paraId="6B442E0C">
            <w:pPr>
              <w:spacing w:line="320" w:lineRule="exact"/>
              <w:ind w:firstLine="0"/>
              <w:textAlignment w:val="center"/>
              <w:rPr>
                <w:rFonts w:hint="eastAsia" w:cs="仿宋" w:asciiTheme="minorEastAsia" w:hAnsiTheme="minorEastAsia" w:eastAsiaTheme="minorEastAsia"/>
                <w:color w:val="000000"/>
                <w:szCs w:val="24"/>
              </w:rPr>
            </w:pPr>
            <w:r>
              <w:rPr>
                <w:rFonts w:hint="eastAsia" w:cs="仿宋" w:asciiTheme="minorEastAsia" w:hAnsiTheme="minorEastAsia" w:eastAsiaTheme="minorEastAsia"/>
                <w:color w:val="000000"/>
                <w:kern w:val="0"/>
                <w:szCs w:val="24"/>
                <w:lang w:bidi="ar"/>
              </w:rPr>
              <w:t>审委会、中层干部会议室</w:t>
            </w:r>
          </w:p>
        </w:tc>
      </w:tr>
    </w:tbl>
    <w:p w14:paraId="1D4559B7">
      <w:pPr>
        <w:ind w:firstLine="0"/>
      </w:pPr>
    </w:p>
    <w:p w14:paraId="586CA479">
      <w:pPr>
        <w:pStyle w:val="4"/>
      </w:pPr>
      <w:bookmarkStart w:id="8" w:name="_Toc99456644"/>
      <w:r>
        <w:rPr>
          <w:rFonts w:hint="eastAsia"/>
        </w:rPr>
        <w:t>运维服务要求</w:t>
      </w:r>
      <w:bookmarkEnd w:id="8"/>
    </w:p>
    <w:p w14:paraId="052EA611">
      <w:pPr>
        <w:adjustRightInd w:val="0"/>
        <w:snapToGrid w:val="0"/>
        <w:spacing w:line="460" w:lineRule="exact"/>
        <w:rPr>
          <w:rFonts w:hint="eastAsia" w:ascii="宋体" w:hAnsi="宋体" w:cs="仿宋_GB2312"/>
        </w:rPr>
      </w:pPr>
      <w:r>
        <w:rPr>
          <w:rFonts w:hint="eastAsia" w:ascii="宋体" w:hAnsi="宋体" w:cs="仿宋_GB2312"/>
        </w:rPr>
        <w:t>1、服务热情、周到、认真、高效。与用户交流使用礼貌语言，不脱岗，不做不谈与工作无关的事。</w:t>
      </w:r>
    </w:p>
    <w:p w14:paraId="2311522A">
      <w:pPr>
        <w:adjustRightInd w:val="0"/>
        <w:snapToGrid w:val="0"/>
        <w:spacing w:line="460" w:lineRule="exact"/>
        <w:rPr>
          <w:rFonts w:hint="eastAsia" w:ascii="宋体" w:hAnsi="宋体" w:cs="仿宋_GB2312"/>
        </w:rPr>
      </w:pPr>
      <w:r>
        <w:rPr>
          <w:rFonts w:hint="eastAsia" w:ascii="宋体" w:hAnsi="宋体" w:cs="仿宋_GB2312"/>
        </w:rPr>
        <w:t>2、严格遵守市法院各项管理制度，按照考核细则实施服务；服从主管部门的安排。</w:t>
      </w:r>
    </w:p>
    <w:p w14:paraId="1A9CCDAB">
      <w:pPr>
        <w:adjustRightInd w:val="0"/>
        <w:snapToGrid w:val="0"/>
        <w:spacing w:line="460" w:lineRule="exact"/>
        <w:rPr>
          <w:rFonts w:hint="eastAsia" w:ascii="宋体" w:hAnsi="宋体" w:cs="仿宋_GB2312"/>
        </w:rPr>
      </w:pPr>
      <w:r>
        <w:rPr>
          <w:rFonts w:hint="eastAsia" w:ascii="宋体" w:hAnsi="宋体" w:cs="仿宋_GB2312"/>
        </w:rPr>
        <w:t>3、接听电话迅速、热情、周到，服务电话振铃3次以内必须接听，并耐心、详细了解设备故障，做好有关记录；需要上门服务的，按约定时间到达现场服务，做好维护工作的同时填好记录。</w:t>
      </w:r>
    </w:p>
    <w:p w14:paraId="0EBDE6D0">
      <w:pPr>
        <w:adjustRightInd w:val="0"/>
        <w:snapToGrid w:val="0"/>
        <w:spacing w:line="460" w:lineRule="exact"/>
        <w:rPr>
          <w:rFonts w:hint="eastAsia" w:ascii="宋体" w:hAnsi="宋体" w:cs="仿宋_GB2312"/>
        </w:rPr>
      </w:pPr>
      <w:r>
        <w:rPr>
          <w:rFonts w:hint="eastAsia" w:ascii="宋体" w:hAnsi="宋体" w:cs="仿宋_GB2312"/>
        </w:rPr>
        <w:t>4、叫修处理及时响应，接到故障台派遣维修任务，5分钟内联系用户，了解情况并协商上门服务时间，按时到达现场服务；一般简单故障，应在2小时内解决；较复杂的故障应在4小时内解决；对于重大疑难故障应在24小时内解决，否则按用户要求提供备用机；节假日期间，30分钟响应，90分钟达到现场进行处理。</w:t>
      </w:r>
    </w:p>
    <w:p w14:paraId="6CB7CE86">
      <w:pPr>
        <w:adjustRightInd w:val="0"/>
        <w:snapToGrid w:val="0"/>
        <w:spacing w:line="460" w:lineRule="exact"/>
        <w:rPr>
          <w:rFonts w:hint="eastAsia" w:ascii="宋体" w:hAnsi="宋体" w:cs="仿宋_GB2312"/>
        </w:rPr>
      </w:pPr>
      <w:r>
        <w:rPr>
          <w:rFonts w:hint="eastAsia" w:ascii="宋体" w:hAnsi="宋体" w:cs="仿宋_GB2312"/>
        </w:rPr>
        <w:t>5、维保人员进入房间后主动亮明身份，设备轻拿轻放，尽量避免影响用户的正常工作，不得与用户发生任何矛盾和冲突，没有因个人态度、责任心导致的用户投诉。</w:t>
      </w:r>
    </w:p>
    <w:p w14:paraId="460A3BF5">
      <w:pPr>
        <w:adjustRightInd w:val="0"/>
        <w:snapToGrid w:val="0"/>
        <w:spacing w:line="460" w:lineRule="exact"/>
        <w:rPr>
          <w:rFonts w:hint="eastAsia" w:ascii="宋体" w:hAnsi="宋体" w:cs="仿宋_GB2312"/>
        </w:rPr>
      </w:pPr>
      <w:r>
        <w:rPr>
          <w:rFonts w:hint="eastAsia" w:ascii="宋体" w:hAnsi="宋体" w:cs="仿宋_GB2312"/>
        </w:rPr>
        <w:t>6、客户档案、设备档案齐全，数据采集、更新及时，每次服务应详细记录在案，可随时查询、分析。</w:t>
      </w:r>
    </w:p>
    <w:p w14:paraId="470A982D">
      <w:pPr>
        <w:adjustRightInd w:val="0"/>
        <w:snapToGrid w:val="0"/>
        <w:spacing w:line="460" w:lineRule="exact"/>
        <w:rPr>
          <w:rFonts w:hint="eastAsia" w:ascii="宋体" w:hAnsi="宋体" w:cs="仿宋_GB2312"/>
        </w:rPr>
      </w:pPr>
      <w:r>
        <w:rPr>
          <w:rFonts w:hint="eastAsia" w:ascii="宋体" w:hAnsi="宋体" w:cs="仿宋_GB2312"/>
        </w:rPr>
        <w:t>7、建立完善质量监督体系，每项服务完成后，服务人员把工单交给用户确认签字。投诉渠道公开多径，投诉受理后24小时内必须回复。</w:t>
      </w:r>
    </w:p>
    <w:p w14:paraId="2D218AC1">
      <w:pPr>
        <w:adjustRightInd w:val="0"/>
        <w:snapToGrid w:val="0"/>
        <w:spacing w:line="460" w:lineRule="exact"/>
        <w:rPr>
          <w:rFonts w:hint="eastAsia" w:ascii="宋体" w:hAnsi="宋体" w:cs="仿宋_GB2312"/>
        </w:rPr>
      </w:pPr>
      <w:r>
        <w:rPr>
          <w:rFonts w:hint="eastAsia" w:ascii="宋体" w:hAnsi="宋体" w:cs="仿宋_GB2312"/>
        </w:rPr>
        <w:t>8、在运维期限内，甲方干警对技术维保单位不满意度达5%，经信息技术中心确认后，视为乙方违约，乙方自动退出。</w:t>
      </w:r>
    </w:p>
    <w:p w14:paraId="06659532">
      <w:pPr>
        <w:adjustRightInd w:val="0"/>
        <w:snapToGrid w:val="0"/>
        <w:spacing w:line="460" w:lineRule="exact"/>
        <w:rPr>
          <w:rFonts w:hint="eastAsia" w:ascii="宋体" w:hAnsi="宋体" w:cs="仿宋_GB2312"/>
        </w:rPr>
      </w:pPr>
      <w:r>
        <w:rPr>
          <w:rFonts w:hint="eastAsia" w:ascii="宋体" w:hAnsi="宋体" w:cs="仿宋_GB2312"/>
        </w:rPr>
        <w:t>9、现场派驻人员必须统一工作服装，佩戴工作牌。</w:t>
      </w:r>
    </w:p>
    <w:p w14:paraId="33C2C1C2">
      <w:pPr>
        <w:adjustRightInd w:val="0"/>
        <w:snapToGrid w:val="0"/>
        <w:spacing w:line="460" w:lineRule="exact"/>
        <w:rPr>
          <w:rFonts w:hint="eastAsia" w:ascii="宋体" w:hAnsi="宋体" w:cs="仿宋_GB2312"/>
        </w:rPr>
      </w:pPr>
      <w:r>
        <w:rPr>
          <w:rFonts w:hint="eastAsia" w:ascii="宋体" w:hAnsi="宋体" w:cs="仿宋_GB2312"/>
        </w:rPr>
        <w:t>10、专业性（配置专业维护工具、准备各种维修手册和操作手册、绘制弱电网络分布图、安防监控分布图，方便问题的排查和维护）。</w:t>
      </w:r>
    </w:p>
    <w:p w14:paraId="01EA8D8A">
      <w:pPr>
        <w:adjustRightInd w:val="0"/>
        <w:snapToGrid w:val="0"/>
        <w:spacing w:line="460" w:lineRule="exact"/>
        <w:rPr>
          <w:rFonts w:hint="eastAsia" w:ascii="宋体" w:hAnsi="宋体" w:cs="仿宋_GB2312"/>
        </w:rPr>
      </w:pPr>
      <w:r>
        <w:rPr>
          <w:rFonts w:hint="eastAsia" w:ascii="宋体" w:hAnsi="宋体" w:cs="仿宋_GB2312"/>
        </w:rPr>
        <w:t>11、第一时间汇报服务过程中的重大问题（重大紧急维修项目及时报告，详细记录）。</w:t>
      </w:r>
    </w:p>
    <w:p w14:paraId="0F9216E6">
      <w:pPr>
        <w:adjustRightInd w:val="0"/>
        <w:snapToGrid w:val="0"/>
        <w:spacing w:line="460" w:lineRule="exact"/>
        <w:rPr>
          <w:rFonts w:hint="eastAsia" w:ascii="宋体" w:hAnsi="宋体" w:cs="仿宋_GB2312"/>
        </w:rPr>
      </w:pPr>
      <w:r>
        <w:rPr>
          <w:rFonts w:hint="eastAsia" w:ascii="宋体" w:hAnsi="宋体" w:cs="仿宋_GB2312"/>
        </w:rPr>
        <w:t>12、签订保密协议，严格履行义务和责任，做好保密培训教育和保密管理工作。提供的相应文档、技术资料、安装介质进行妥善保管，遵守保密协议，避免用户涉密信息泄露，如有因技术人员失误或故意行为导致用户秘密泄露，应承担相应的责任。</w:t>
      </w:r>
    </w:p>
    <w:p w14:paraId="30FAA644">
      <w:pPr>
        <w:adjustRightInd w:val="0"/>
        <w:snapToGrid w:val="0"/>
        <w:spacing w:line="460" w:lineRule="exact"/>
        <w:rPr>
          <w:rFonts w:hint="eastAsia" w:ascii="宋体" w:hAnsi="宋体" w:cs="仿宋_GB2312"/>
        </w:rPr>
      </w:pPr>
      <w:r>
        <w:rPr>
          <w:rFonts w:hint="eastAsia" w:ascii="宋体" w:hAnsi="宋体" w:cs="仿宋_GB2312"/>
        </w:rPr>
        <w:t>13、完成规定的技术服务工作，不得从事任何商业活动。</w:t>
      </w:r>
    </w:p>
    <w:p w14:paraId="63074816">
      <w:pPr>
        <w:adjustRightInd w:val="0"/>
        <w:snapToGrid w:val="0"/>
        <w:spacing w:line="460" w:lineRule="exact"/>
        <w:rPr>
          <w:rFonts w:hint="eastAsia" w:ascii="宋体" w:hAnsi="宋体" w:cs="仿宋_GB2312"/>
        </w:rPr>
      </w:pPr>
      <w:r>
        <w:rPr>
          <w:rFonts w:hint="eastAsia" w:ascii="宋体" w:hAnsi="宋体" w:cs="仿宋_GB2312"/>
        </w:rPr>
        <w:t>14、驻场服务人员保持相对稳定，未经院方同意，不随意更换技术人员。如需要更换维护人员，提前至少一个月的时间跟院方提交相关申请。</w:t>
      </w:r>
    </w:p>
    <w:p w14:paraId="283A51FC">
      <w:pPr>
        <w:adjustRightInd w:val="0"/>
        <w:snapToGrid w:val="0"/>
        <w:spacing w:line="460" w:lineRule="exact"/>
        <w:rPr>
          <w:rFonts w:hint="eastAsia" w:ascii="宋体" w:hAnsi="宋体" w:cs="仿宋_GB2312"/>
        </w:rPr>
      </w:pPr>
      <w:r>
        <w:rPr>
          <w:rFonts w:hint="eastAsia" w:ascii="宋体" w:hAnsi="宋体" w:cs="仿宋_GB2312"/>
        </w:rPr>
        <w:t>15、如果维护人员不能胜任工作，经院方确认，及时更换具备条件的人员。</w:t>
      </w:r>
    </w:p>
    <w:p w14:paraId="1F6191FA">
      <w:pPr>
        <w:adjustRightInd w:val="0"/>
        <w:snapToGrid w:val="0"/>
        <w:spacing w:line="460" w:lineRule="exact"/>
        <w:rPr>
          <w:rFonts w:hint="eastAsia" w:ascii="宋体" w:hAnsi="宋体" w:cs="仿宋_GB2312"/>
        </w:rPr>
      </w:pPr>
      <w:r>
        <w:rPr>
          <w:rFonts w:hint="eastAsia" w:ascii="宋体" w:hAnsi="宋体" w:cs="仿宋_GB2312"/>
        </w:rPr>
        <w:t>16、按照院方的正常工作制度作息时间进行工作，特殊情况的维护保障工作按照院方要求执行作息。</w:t>
      </w:r>
    </w:p>
    <w:p w14:paraId="610F3373">
      <w:pPr>
        <w:adjustRightInd w:val="0"/>
        <w:snapToGrid w:val="0"/>
        <w:spacing w:line="460" w:lineRule="exact"/>
        <w:rPr>
          <w:rFonts w:hint="eastAsia" w:ascii="宋体" w:hAnsi="宋体" w:cs="仿宋_GB2312"/>
          <w:lang w:eastAsia="zh-CN"/>
        </w:rPr>
      </w:pPr>
      <w:r>
        <w:rPr>
          <w:rFonts w:hint="eastAsia" w:ascii="宋体" w:hAnsi="宋体" w:cs="仿宋_GB2312"/>
        </w:rPr>
        <w:t>1</w:t>
      </w:r>
      <w:r>
        <w:rPr>
          <w:rFonts w:hint="eastAsia" w:ascii="宋体" w:hAnsi="宋体" w:cs="仿宋_GB2312"/>
          <w:lang w:val="en-US" w:eastAsia="zh-CN"/>
        </w:rPr>
        <w:t>7</w:t>
      </w:r>
      <w:r>
        <w:rPr>
          <w:rFonts w:hint="eastAsia" w:ascii="宋体" w:hAnsi="宋体" w:cs="仿宋_GB2312"/>
        </w:rPr>
        <w:t>.乙方违反法院网络安全管理规定，导致产生违规外联或信息泄露等网络安全事故的，乙方应承担违规责任，甲方有权采取相应处罚措施，并在支付款项时</w:t>
      </w:r>
      <w:r>
        <w:rPr>
          <w:rFonts w:hint="eastAsia" w:ascii="宋体" w:hAnsi="宋体" w:cs="仿宋_GB2312"/>
          <w:lang w:eastAsia="zh-CN"/>
        </w:rPr>
        <w:t>扣减合同</w:t>
      </w:r>
      <w:r>
        <w:rPr>
          <w:rFonts w:hint="eastAsia" w:ascii="宋体" w:hAnsi="宋体" w:cs="仿宋_GB2312"/>
        </w:rPr>
        <w:t>总价的5%</w:t>
      </w:r>
      <w:r>
        <w:rPr>
          <w:rFonts w:hint="eastAsia" w:ascii="宋体" w:hAnsi="宋体" w:cs="仿宋_GB2312"/>
          <w:lang w:eastAsia="zh-CN"/>
        </w:rPr>
        <w:t>。</w:t>
      </w:r>
    </w:p>
    <w:p w14:paraId="0A6917F3">
      <w:pPr>
        <w:adjustRightInd w:val="0"/>
        <w:snapToGrid w:val="0"/>
        <w:spacing w:line="460" w:lineRule="exact"/>
        <w:rPr>
          <w:rFonts w:hint="eastAsia" w:ascii="宋体" w:hAnsi="宋体" w:cs="仿宋_GB2312"/>
        </w:rPr>
      </w:pPr>
      <w:r>
        <w:rPr>
          <w:rFonts w:hint="eastAsia" w:ascii="宋体" w:hAnsi="宋体" w:cs="仿宋_GB2312"/>
          <w:lang w:val="en-US" w:eastAsia="zh-CN"/>
        </w:rPr>
        <w:t>18</w:t>
      </w:r>
      <w:r>
        <w:rPr>
          <w:rFonts w:hint="eastAsia" w:ascii="宋体" w:hAnsi="宋体" w:cs="仿宋_GB2312"/>
        </w:rPr>
        <w:t>.乙方应遵守法院网络安全管理规定，加强对运维人员使用网络设备的监管，禁止将专网运维计算机连接万联网及其他非法院网络。</w:t>
      </w:r>
    </w:p>
    <w:p w14:paraId="689C074A">
      <w:pPr>
        <w:adjustRightInd w:val="0"/>
        <w:snapToGrid w:val="0"/>
        <w:spacing w:line="460" w:lineRule="exact"/>
        <w:rPr>
          <w:rFonts w:hint="eastAsia" w:ascii="宋体" w:hAnsi="宋体" w:cs="仿宋_GB2312"/>
        </w:rPr>
      </w:pPr>
      <w:r>
        <w:rPr>
          <w:rFonts w:hint="eastAsia" w:ascii="宋体" w:hAnsi="宋体" w:cs="仿宋_GB2312"/>
          <w:lang w:val="en-US" w:eastAsia="zh-CN"/>
        </w:rPr>
        <w:t>19</w:t>
      </w:r>
      <w:r>
        <w:rPr>
          <w:rFonts w:hint="eastAsia" w:ascii="宋体" w:hAnsi="宋体" w:cs="仿宋_GB2312"/>
        </w:rPr>
        <w:t>.乙方应当根据上级法院</w:t>
      </w:r>
      <w:r>
        <w:rPr>
          <w:rFonts w:hint="eastAsia" w:ascii="宋体" w:hAnsi="宋体" w:cs="仿宋_GB2312"/>
          <w:lang w:eastAsia="zh-CN"/>
        </w:rPr>
        <w:t>“一张网”</w:t>
      </w:r>
      <w:r>
        <w:rPr>
          <w:rFonts w:hint="eastAsia" w:ascii="宋体" w:hAnsi="宋体" w:cs="仿宋_GB2312"/>
        </w:rPr>
        <w:t>的工作部署要求，及时对相关应用系统进行调整，保证甲方工作的顺利开展。</w:t>
      </w:r>
    </w:p>
    <w:p w14:paraId="7831AEDF">
      <w:pPr>
        <w:rPr>
          <w:rFonts w:hint="eastAsia" w:asciiTheme="minorEastAsia" w:hAnsiTheme="minorEastAsia" w:eastAsiaTheme="minorEastAsia"/>
          <w:color w:val="000000"/>
        </w:rPr>
      </w:pPr>
    </w:p>
    <w:p w14:paraId="48849CF0">
      <w:pPr>
        <w:pStyle w:val="4"/>
      </w:pPr>
      <w:r>
        <w:rPr>
          <w:rFonts w:hint="eastAsia"/>
        </w:rPr>
        <w:t>商务要求</w:t>
      </w:r>
    </w:p>
    <w:p w14:paraId="0500406D">
      <w:pPr>
        <w:adjustRightInd w:val="0"/>
        <w:snapToGrid w:val="0"/>
        <w:spacing w:line="460" w:lineRule="exact"/>
        <w:ind w:firstLine="480" w:firstLineChars="200"/>
        <w:rPr>
          <w:rFonts w:hint="eastAsia" w:ascii="宋体" w:hAnsi="宋体" w:cs="仿宋_GB2312"/>
        </w:rPr>
      </w:pPr>
      <w:r>
        <w:rPr>
          <w:rFonts w:hint="eastAsia" w:ascii="宋体" w:hAnsi="宋体" w:cs="仿宋_GB2312"/>
        </w:rPr>
        <w:t>1、合同履行期限：2026年1月1日至2026年12月31日。</w:t>
      </w:r>
    </w:p>
    <w:p w14:paraId="38F2A89F">
      <w:pPr>
        <w:adjustRightInd w:val="0"/>
        <w:snapToGrid w:val="0"/>
        <w:spacing w:line="460" w:lineRule="exact"/>
        <w:ind w:firstLine="480" w:firstLineChars="200"/>
        <w:rPr>
          <w:rFonts w:hint="eastAsia" w:ascii="宋体" w:hAnsi="宋体" w:cs="仿宋_GB2312"/>
        </w:rPr>
      </w:pPr>
      <w:r>
        <w:rPr>
          <w:rFonts w:hint="eastAsia" w:ascii="宋体" w:hAnsi="宋体" w:cs="仿宋_GB2312"/>
        </w:rPr>
        <w:t>2、付款方式：合同款项分两次支付，服务期内上半年甲方向乙方支付合同总价款的50%；下半年甲方向乙方支付合同剩余价款。乙方按国家有关财税规定向甲方开具正规发票，甲方自收到发票后十日内向乙方办理支付。</w:t>
      </w:r>
    </w:p>
    <w:p w14:paraId="713358E1">
      <w:pPr>
        <w:adjustRightInd w:val="0"/>
        <w:snapToGrid w:val="0"/>
        <w:spacing w:line="460" w:lineRule="exact"/>
        <w:ind w:firstLine="480" w:firstLineChars="200"/>
        <w:rPr>
          <w:rFonts w:hint="eastAsia" w:ascii="宋体" w:hAnsi="宋体" w:cs="仿宋_GB2312"/>
        </w:rPr>
      </w:pPr>
      <w:r>
        <w:rPr>
          <w:rFonts w:hint="eastAsia" w:ascii="宋体" w:hAnsi="宋体" w:cs="仿宋_GB2312"/>
          <w:lang w:val="en-US" w:eastAsia="zh-CN"/>
        </w:rPr>
        <w:t>3</w:t>
      </w:r>
      <w:r>
        <w:rPr>
          <w:rFonts w:hint="eastAsia" w:ascii="宋体" w:hAnsi="宋体" w:cs="仿宋_GB2312"/>
        </w:rPr>
        <w:t>、服务团队要求：</w:t>
      </w:r>
    </w:p>
    <w:p w14:paraId="490BDC2D">
      <w:pPr>
        <w:adjustRightInd w:val="0"/>
        <w:snapToGrid w:val="0"/>
        <w:spacing w:line="460" w:lineRule="exact"/>
        <w:ind w:firstLine="720" w:firstLineChars="300"/>
        <w:rPr>
          <w:rFonts w:hint="eastAsia" w:ascii="宋体" w:hAnsi="宋体" w:cs="仿宋_GB2312"/>
        </w:rPr>
      </w:pPr>
      <w:r>
        <w:rPr>
          <w:rFonts w:hint="eastAsia" w:ascii="宋体" w:hAnsi="宋体" w:cs="仿宋_GB2312"/>
        </w:rPr>
        <w:t>现场常驻运维人员不得低于14人，实行5*8小时驻场维护，须符合国家劳动法有关规定，投标人需</w:t>
      </w:r>
      <w:r>
        <w:rPr>
          <w:rFonts w:hint="eastAsia" w:ascii="宋体" w:hAnsi="宋体" w:cs="仿宋_GB2312"/>
          <w:color w:val="000000"/>
        </w:rPr>
        <w:t>明确服务人员的岗位职责，根据服务工作需要和团队实际情况进行规划和调整；对服务人员的考勤、着装、服务意识、服务态度、日常行为等进行管理；对服务人员的服务能力进行评估，根据服务工作需要和团队实际情况进行规划和改进；将服务人员的调整情况及时向法院申请和汇报；对服务团队的办公环境、设备及工具的使用和维护进行管理。投标人需针对本次运维服务提供具有相应管理水平和技术能力的运维服务团队；现场服务人员的变动，需经主管部门同意，主管部门有权要求对不合格人员进行调整</w:t>
      </w:r>
      <w:r>
        <w:rPr>
          <w:rFonts w:hint="eastAsia" w:ascii="宋体" w:hAnsi="宋体" w:cs="仿宋_GB2312"/>
        </w:rPr>
        <w:t>。</w:t>
      </w:r>
    </w:p>
    <w:sectPr>
      <w:headerReference r:id="rId6" w:type="default"/>
      <w:footerReference r:id="rId7" w:type="default"/>
      <w:pgSz w:w="11906" w:h="16838"/>
      <w:pgMar w:top="1247" w:right="1588" w:bottom="1701" w:left="1701" w:header="851" w:footer="1077" w:gutter="0"/>
      <w:pgNumType w:start="1"/>
      <w:cols w:space="425"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MathJax_Vector">
    <w:panose1 w:val="02000603000000000000"/>
    <w:charset w:val="00"/>
    <w:family w:val="auto"/>
    <w:pitch w:val="default"/>
    <w:sig w:usb0="00000001" w:usb1="0000002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96F24">
    <w:pPr>
      <w:pStyle w:val="14"/>
      <w:ind w:right="180"/>
      <w:jc w:val="right"/>
    </w:pPr>
    <w:r>
      <w:tab/>
    </w:r>
    <w:r>
      <w:fldChar w:fldCharType="begin"/>
    </w:r>
    <w:r>
      <w:instrText xml:space="preserve">PAGE   \* MERGEFORMAT</w:instrText>
    </w:r>
    <w:r>
      <w:fldChar w:fldCharType="separate"/>
    </w:r>
    <w:r>
      <w:rPr>
        <w:lang w:val="zh-CN"/>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AAE83">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5C089">
    <w:pPr>
      <w:pStyle w:val="15"/>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D61838"/>
    <w:multiLevelType w:val="multilevel"/>
    <w:tmpl w:val="08D61838"/>
    <w:lvl w:ilvl="0" w:tentative="0">
      <w:start w:val="1"/>
      <w:numFmt w:val="decimal"/>
      <w:pStyle w:val="2"/>
      <w:suff w:val="nothing"/>
      <w:lvlText w:val="%1  "/>
      <w:lvlJc w:val="left"/>
      <w:pPr>
        <w:ind w:left="432" w:hanging="432"/>
      </w:pPr>
      <w:rPr>
        <w:rFonts w:hint="default" w:ascii="Times New Roman" w:hAnsi="Times New Roman" w:eastAsia="宋体"/>
        <w:b/>
        <w:i w:val="0"/>
        <w:sz w:val="28"/>
      </w:rPr>
    </w:lvl>
    <w:lvl w:ilvl="1" w:tentative="0">
      <w:start w:val="1"/>
      <w:numFmt w:val="decimal"/>
      <w:pStyle w:val="4"/>
      <w:suff w:val="nothing"/>
      <w:lvlText w:val="%1.%2 "/>
      <w:lvlJc w:val="left"/>
      <w:pPr>
        <w:ind w:left="576" w:hanging="576"/>
      </w:pPr>
      <w:rPr>
        <w:rFonts w:hint="default" w:ascii="Times New Roman" w:hAnsi="Times New Roman" w:eastAsia="宋体"/>
        <w:b/>
        <w:i w:val="0"/>
        <w:sz w:val="24"/>
      </w:rPr>
    </w:lvl>
    <w:lvl w:ilvl="2" w:tentative="0">
      <w:start w:val="1"/>
      <w:numFmt w:val="decimal"/>
      <w:pStyle w:val="5"/>
      <w:suff w:val="nothing"/>
      <w:lvlText w:val="%1.%2.%3 "/>
      <w:lvlJc w:val="left"/>
      <w:pPr>
        <w:ind w:left="720" w:hanging="720"/>
      </w:pPr>
      <w:rPr>
        <w:rFonts w:hint="default" w:ascii="Times New Roman" w:hAnsi="Times New Roman" w:eastAsia="宋体"/>
        <w:b/>
        <w:i w:val="0"/>
        <w:sz w:val="24"/>
      </w:rPr>
    </w:lvl>
    <w:lvl w:ilvl="3" w:tentative="0">
      <w:start w:val="1"/>
      <w:numFmt w:val="decimal"/>
      <w:pStyle w:val="3"/>
      <w:suff w:val="nothing"/>
      <w:lvlText w:val="%1.%2.%3.%4 "/>
      <w:lvlJc w:val="left"/>
      <w:pPr>
        <w:ind w:left="864" w:hanging="864"/>
      </w:pPr>
      <w:rPr>
        <w:rFonts w:hint="default" w:ascii="Times New Roman" w:hAnsi="Times New Roman" w:eastAsia="宋体"/>
        <w:b/>
        <w:i w:val="0"/>
        <w:sz w:val="24"/>
      </w:rPr>
    </w:lvl>
    <w:lvl w:ilvl="4" w:tentative="0">
      <w:start w:val="1"/>
      <w:numFmt w:val="decimal"/>
      <w:pStyle w:val="6"/>
      <w:suff w:val="nothing"/>
      <w:lvlText w:val="%1.%2.%3.%4.%5 "/>
      <w:lvlJc w:val="left"/>
      <w:pPr>
        <w:ind w:left="1008" w:hanging="1008"/>
      </w:pPr>
      <w:rPr>
        <w:rFonts w:hint="default" w:ascii="Times New Roman" w:hAnsi="Times New Roman" w:eastAsia="宋体"/>
        <w:b/>
        <w:i w:val="0"/>
        <w:sz w:val="24"/>
      </w:rPr>
    </w:lvl>
    <w:lvl w:ilvl="5" w:tentative="0">
      <w:start w:val="1"/>
      <w:numFmt w:val="decimal"/>
      <w:pStyle w:val="7"/>
      <w:suff w:val="nothing"/>
      <w:lvlText w:val="%1.%2.%3.%4.%5.%6 "/>
      <w:lvlJc w:val="left"/>
      <w:pPr>
        <w:ind w:left="1152" w:hanging="1152"/>
      </w:pPr>
      <w:rPr>
        <w:rFonts w:hint="default" w:ascii="Times New Roman" w:hAnsi="Times New Roman" w:eastAsia="宋体"/>
        <w:b/>
        <w:i w:val="0"/>
        <w:sz w:val="24"/>
      </w:rPr>
    </w:lvl>
    <w:lvl w:ilvl="6" w:tentative="0">
      <w:start w:val="1"/>
      <w:numFmt w:val="decimal"/>
      <w:pStyle w:val="8"/>
      <w:suff w:val="nothing"/>
      <w:lvlText w:val="%1.%2.%3.%4.%5.%6.%7 "/>
      <w:lvlJc w:val="left"/>
      <w:pPr>
        <w:ind w:left="1296" w:hanging="1296"/>
      </w:pPr>
      <w:rPr>
        <w:rFonts w:hint="default" w:ascii="Times New Roman" w:hAnsi="Times New Roman" w:eastAsia="宋体"/>
        <w:b/>
        <w:i w:val="0"/>
      </w:rPr>
    </w:lvl>
    <w:lvl w:ilvl="7" w:tentative="0">
      <w:start w:val="1"/>
      <w:numFmt w:val="decimal"/>
      <w:pStyle w:val="9"/>
      <w:suff w:val="nothing"/>
      <w:lvlText w:val="%1.%2.%3.%4.%5.%6.%7.%8 "/>
      <w:lvlJc w:val="left"/>
      <w:pPr>
        <w:ind w:left="1440" w:hanging="1440"/>
      </w:pPr>
      <w:rPr>
        <w:rFonts w:hint="default" w:ascii="Times New Roman" w:hAnsi="Times New Roman" w:eastAsia="宋体"/>
        <w:b/>
        <w:i w:val="0"/>
        <w:sz w:val="24"/>
      </w:rPr>
    </w:lvl>
    <w:lvl w:ilvl="8" w:tentative="0">
      <w:start w:val="1"/>
      <w:numFmt w:val="decimal"/>
      <w:pStyle w:val="10"/>
      <w:suff w:val="nothing"/>
      <w:lvlText w:val="%1.%2.%3.%4.%5.%6.%7.%8.%9 "/>
      <w:lvlJc w:val="left"/>
      <w:pPr>
        <w:ind w:left="1584" w:hanging="1584"/>
      </w:pPr>
      <w:rPr>
        <w:rFonts w:hint="default" w:ascii="Times New Roman" w:hAnsi="Times New Roman" w:eastAsia="宋体"/>
        <w:b/>
        <w:i w:val="0"/>
        <w:sz w:val="24"/>
      </w:rPr>
    </w:lvl>
  </w:abstractNum>
  <w:abstractNum w:abstractNumId="1">
    <w:nsid w:val="0BE5779A"/>
    <w:multiLevelType w:val="multilevel"/>
    <w:tmpl w:val="0BE5779A"/>
    <w:lvl w:ilvl="0" w:tentative="0">
      <w:start w:val="1"/>
      <w:numFmt w:val="decimal"/>
      <w:lvlText w:val="%1"/>
      <w:lvlJc w:val="left"/>
      <w:pPr>
        <w:ind w:left="324" w:hanging="420"/>
      </w:pPr>
      <w:rPr>
        <w:rFonts w:hint="default" w:ascii="宋体" w:hAnsi="宋体" w:eastAsia="宋体"/>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C03741A"/>
    <w:multiLevelType w:val="multilevel"/>
    <w:tmpl w:val="0C03741A"/>
    <w:lvl w:ilvl="0" w:tentative="0">
      <w:start w:val="1"/>
      <w:numFmt w:val="decimal"/>
      <w:pStyle w:val="37"/>
      <w:suff w:val="nothing"/>
      <w:lvlText w:val="%1"/>
      <w:lvlJc w:val="left"/>
      <w:pPr>
        <w:ind w:left="0" w:firstLine="0"/>
      </w:pPr>
      <w:rPr>
        <w:rFonts w:hint="eastAsia"/>
      </w:rPr>
    </w:lvl>
    <w:lvl w:ilvl="1" w:tentative="0">
      <w:start w:val="1"/>
      <w:numFmt w:val="decimal"/>
      <w:pStyle w:val="38"/>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rPr>
    </w:lvl>
    <w:lvl w:ilvl="4" w:tentative="0">
      <w:start w:val="1"/>
      <w:numFmt w:val="decimal"/>
      <w:suff w:val="space"/>
      <w:lvlText w:val="%1.%2.%3.%4.%5"/>
      <w:lvlJc w:val="left"/>
      <w:pPr>
        <w:ind w:left="0" w:firstLine="0"/>
      </w:pPr>
      <w:rPr>
        <w:rFonts w:hint="eastAsia"/>
      </w:rPr>
    </w:lvl>
    <w:lvl w:ilvl="5" w:tentative="0">
      <w:start w:val="1"/>
      <w:numFmt w:val="decimal"/>
      <w:suff w:val="space"/>
      <w:lvlText w:val="%1.%2.%3.%4.%5.%6"/>
      <w:lvlJc w:val="left"/>
      <w:pPr>
        <w:ind w:left="0" w:firstLine="0"/>
      </w:pPr>
      <w:rPr>
        <w:rFonts w:hint="eastAsia"/>
      </w:rPr>
    </w:lvl>
    <w:lvl w:ilvl="6" w:tentative="0">
      <w:start w:val="1"/>
      <w:numFmt w:val="decimal"/>
      <w:suff w:val="space"/>
      <w:lvlText w:val="%1.%2.%3.%4.%5.%6.%7"/>
      <w:lvlJc w:val="left"/>
      <w:pPr>
        <w:ind w:left="0" w:firstLine="0"/>
      </w:pPr>
      <w:rPr>
        <w:rFonts w:hint="eastAsia"/>
      </w:rPr>
    </w:lvl>
    <w:lvl w:ilvl="7" w:tentative="0">
      <w:start w:val="1"/>
      <w:numFmt w:val="decimal"/>
      <w:suff w:val="space"/>
      <w:lvlText w:val="%1.%2.%3.%4.%5.%6.%7.%8"/>
      <w:lvlJc w:val="left"/>
      <w:pPr>
        <w:ind w:left="0" w:firstLine="0"/>
      </w:pPr>
      <w:rPr>
        <w:rFonts w:hint="eastAsia"/>
      </w:rPr>
    </w:lvl>
    <w:lvl w:ilvl="8" w:tentative="0">
      <w:start w:val="1"/>
      <w:numFmt w:val="decimal"/>
      <w:suff w:val="space"/>
      <w:lvlText w:val="%1.%2.%3.%4.%5.%6.%7.%8.%9"/>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83"/>
    <w:rsid w:val="00041E47"/>
    <w:rsid w:val="00081DFA"/>
    <w:rsid w:val="000C40B5"/>
    <w:rsid w:val="00122D56"/>
    <w:rsid w:val="001F3A30"/>
    <w:rsid w:val="002933F6"/>
    <w:rsid w:val="00320336"/>
    <w:rsid w:val="003F574E"/>
    <w:rsid w:val="00400F76"/>
    <w:rsid w:val="00436B73"/>
    <w:rsid w:val="00444555"/>
    <w:rsid w:val="00455CFB"/>
    <w:rsid w:val="00481144"/>
    <w:rsid w:val="004C4DA5"/>
    <w:rsid w:val="004D274D"/>
    <w:rsid w:val="00547578"/>
    <w:rsid w:val="006344A6"/>
    <w:rsid w:val="0069624E"/>
    <w:rsid w:val="00696404"/>
    <w:rsid w:val="006C12B7"/>
    <w:rsid w:val="006C7CEE"/>
    <w:rsid w:val="007B4AC6"/>
    <w:rsid w:val="007D715C"/>
    <w:rsid w:val="007F44AF"/>
    <w:rsid w:val="00867683"/>
    <w:rsid w:val="0089488D"/>
    <w:rsid w:val="008A5D21"/>
    <w:rsid w:val="008A6FAB"/>
    <w:rsid w:val="008C6234"/>
    <w:rsid w:val="008C7F9B"/>
    <w:rsid w:val="009E0B33"/>
    <w:rsid w:val="00A476D3"/>
    <w:rsid w:val="00AF5B02"/>
    <w:rsid w:val="00B94F2D"/>
    <w:rsid w:val="00BA315E"/>
    <w:rsid w:val="00C82D54"/>
    <w:rsid w:val="00CC637D"/>
    <w:rsid w:val="00CD7414"/>
    <w:rsid w:val="00D30E48"/>
    <w:rsid w:val="00D317DF"/>
    <w:rsid w:val="00D946D9"/>
    <w:rsid w:val="00DB4C0F"/>
    <w:rsid w:val="00E92DBA"/>
    <w:rsid w:val="00EA07A0"/>
    <w:rsid w:val="03671346"/>
    <w:rsid w:val="474857E3"/>
    <w:rsid w:val="4CDA656F"/>
    <w:rsid w:val="7B3EF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ind w:firstLine="420"/>
    </w:pPr>
    <w:rPr>
      <w:rFonts w:ascii="Times New Roman" w:hAnsi="Times New Roman" w:eastAsia="宋体" w:cs="宋体"/>
      <w:kern w:val="2"/>
      <w:sz w:val="24"/>
      <w:lang w:val="en-US" w:eastAsia="zh-CN" w:bidi="ar-SA"/>
    </w:rPr>
  </w:style>
  <w:style w:type="paragraph" w:styleId="2">
    <w:name w:val="heading 1"/>
    <w:basedOn w:val="3"/>
    <w:next w:val="1"/>
    <w:link w:val="23"/>
    <w:qFormat/>
    <w:uiPriority w:val="0"/>
    <w:pPr>
      <w:numPr>
        <w:ilvl w:val="0"/>
      </w:numPr>
      <w:outlineLvl w:val="0"/>
    </w:pPr>
    <w:rPr>
      <w:rFonts w:ascii="Times New Roman" w:hAnsi="Times New Roman"/>
      <w:sz w:val="28"/>
    </w:rPr>
  </w:style>
  <w:style w:type="paragraph" w:styleId="4">
    <w:name w:val="heading 2"/>
    <w:basedOn w:val="1"/>
    <w:next w:val="1"/>
    <w:link w:val="24"/>
    <w:qFormat/>
    <w:uiPriority w:val="0"/>
    <w:pPr>
      <w:keepNext/>
      <w:keepLines/>
      <w:numPr>
        <w:ilvl w:val="1"/>
        <w:numId w:val="1"/>
      </w:numPr>
      <w:outlineLvl w:val="1"/>
    </w:pPr>
    <w:rPr>
      <w:b/>
      <w:bCs/>
      <w:sz w:val="28"/>
    </w:rPr>
  </w:style>
  <w:style w:type="paragraph" w:styleId="5">
    <w:name w:val="heading 3"/>
    <w:basedOn w:val="1"/>
    <w:next w:val="1"/>
    <w:link w:val="25"/>
    <w:qFormat/>
    <w:uiPriority w:val="0"/>
    <w:pPr>
      <w:keepNext/>
      <w:keepLines/>
      <w:numPr>
        <w:ilvl w:val="2"/>
        <w:numId w:val="1"/>
      </w:numPr>
      <w:outlineLvl w:val="2"/>
    </w:pPr>
    <w:rPr>
      <w:b/>
      <w:bCs/>
      <w:szCs w:val="32"/>
    </w:rPr>
  </w:style>
  <w:style w:type="paragraph" w:styleId="3">
    <w:name w:val="heading 4"/>
    <w:basedOn w:val="1"/>
    <w:next w:val="1"/>
    <w:link w:val="26"/>
    <w:qFormat/>
    <w:uiPriority w:val="0"/>
    <w:pPr>
      <w:keepNext/>
      <w:keepLines/>
      <w:numPr>
        <w:ilvl w:val="3"/>
        <w:numId w:val="1"/>
      </w:numPr>
      <w:outlineLvl w:val="3"/>
    </w:pPr>
    <w:rPr>
      <w:rFonts w:ascii="Arial" w:hAnsi="Arial"/>
      <w:b/>
      <w:bCs/>
      <w:szCs w:val="28"/>
    </w:rPr>
  </w:style>
  <w:style w:type="paragraph" w:styleId="6">
    <w:name w:val="heading 5"/>
    <w:basedOn w:val="1"/>
    <w:next w:val="1"/>
    <w:link w:val="27"/>
    <w:qFormat/>
    <w:uiPriority w:val="0"/>
    <w:pPr>
      <w:keepNext/>
      <w:keepLines/>
      <w:numPr>
        <w:ilvl w:val="4"/>
        <w:numId w:val="1"/>
      </w:numPr>
      <w:outlineLvl w:val="4"/>
    </w:pPr>
    <w:rPr>
      <w:b/>
      <w:bCs/>
      <w:szCs w:val="28"/>
    </w:rPr>
  </w:style>
  <w:style w:type="paragraph" w:styleId="7">
    <w:name w:val="heading 6"/>
    <w:basedOn w:val="1"/>
    <w:next w:val="1"/>
    <w:link w:val="28"/>
    <w:qFormat/>
    <w:uiPriority w:val="0"/>
    <w:pPr>
      <w:keepNext/>
      <w:keepLines/>
      <w:numPr>
        <w:ilvl w:val="5"/>
        <w:numId w:val="1"/>
      </w:numPr>
      <w:outlineLvl w:val="5"/>
    </w:pPr>
    <w:rPr>
      <w:rFonts w:ascii="Arial" w:hAnsi="Arial"/>
      <w:b/>
      <w:bCs/>
    </w:rPr>
  </w:style>
  <w:style w:type="paragraph" w:styleId="8">
    <w:name w:val="heading 7"/>
    <w:basedOn w:val="1"/>
    <w:next w:val="1"/>
    <w:link w:val="29"/>
    <w:qFormat/>
    <w:uiPriority w:val="0"/>
    <w:pPr>
      <w:keepNext/>
      <w:keepLines/>
      <w:numPr>
        <w:ilvl w:val="6"/>
        <w:numId w:val="1"/>
      </w:numPr>
      <w:outlineLvl w:val="6"/>
    </w:pPr>
    <w:rPr>
      <w:b/>
      <w:bCs/>
    </w:rPr>
  </w:style>
  <w:style w:type="paragraph" w:styleId="9">
    <w:name w:val="heading 8"/>
    <w:basedOn w:val="1"/>
    <w:next w:val="1"/>
    <w:link w:val="30"/>
    <w:qFormat/>
    <w:uiPriority w:val="0"/>
    <w:pPr>
      <w:keepNext/>
      <w:keepLines/>
      <w:numPr>
        <w:ilvl w:val="7"/>
        <w:numId w:val="1"/>
      </w:numPr>
      <w:outlineLvl w:val="7"/>
    </w:pPr>
    <w:rPr>
      <w:rFonts w:ascii="Arial" w:hAnsi="Arial"/>
      <w:b/>
    </w:rPr>
  </w:style>
  <w:style w:type="paragraph" w:styleId="10">
    <w:name w:val="heading 9"/>
    <w:basedOn w:val="1"/>
    <w:next w:val="1"/>
    <w:link w:val="31"/>
    <w:qFormat/>
    <w:uiPriority w:val="0"/>
    <w:pPr>
      <w:keepNext/>
      <w:keepLines/>
      <w:numPr>
        <w:ilvl w:val="8"/>
        <w:numId w:val="1"/>
      </w:numPr>
      <w:outlineLvl w:val="8"/>
    </w:pPr>
    <w:rPr>
      <w:rFonts w:ascii="Arial" w:hAnsi="Arial"/>
      <w:b/>
      <w:szCs w:val="21"/>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table of authorities"/>
    <w:basedOn w:val="1"/>
    <w:next w:val="1"/>
    <w:semiHidden/>
    <w:unhideWhenUsed/>
    <w:qFormat/>
    <w:uiPriority w:val="99"/>
    <w:pPr>
      <w:ind w:left="420" w:leftChars="200" w:firstLine="0"/>
    </w:pPr>
  </w:style>
  <w:style w:type="paragraph" w:styleId="12">
    <w:name w:val="Body Text Indent"/>
    <w:basedOn w:val="1"/>
    <w:link w:val="35"/>
    <w:unhideWhenUsed/>
    <w:qFormat/>
    <w:uiPriority w:val="0"/>
    <w:pPr>
      <w:widowControl w:val="0"/>
      <w:ind w:firstLine="720" w:firstLineChars="300"/>
      <w:jc w:val="both"/>
    </w:pPr>
    <w:rPr>
      <w:rFonts w:cs="Times New Roman"/>
      <w:szCs w:val="24"/>
    </w:rPr>
  </w:style>
  <w:style w:type="paragraph" w:styleId="13">
    <w:name w:val="toc 3"/>
    <w:basedOn w:val="1"/>
    <w:next w:val="1"/>
    <w:qFormat/>
    <w:uiPriority w:val="39"/>
    <w:pPr>
      <w:spacing w:line="240" w:lineRule="auto"/>
      <w:ind w:left="400" w:leftChars="400" w:firstLine="0"/>
    </w:pPr>
  </w:style>
  <w:style w:type="paragraph" w:styleId="14">
    <w:name w:val="footer"/>
    <w:basedOn w:val="1"/>
    <w:link w:val="22"/>
    <w:unhideWhenUsed/>
    <w:qFormat/>
    <w:uiPriority w:val="0"/>
    <w:pPr>
      <w:tabs>
        <w:tab w:val="center" w:pos="4153"/>
        <w:tab w:val="right" w:pos="8306"/>
      </w:tabs>
      <w:snapToGrid w:val="0"/>
    </w:pPr>
    <w:rPr>
      <w:sz w:val="18"/>
      <w:szCs w:val="18"/>
    </w:rPr>
  </w:style>
  <w:style w:type="paragraph" w:styleId="15">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ind w:firstLine="0"/>
    </w:pPr>
    <w:rPr>
      <w:b/>
    </w:rPr>
  </w:style>
  <w:style w:type="paragraph" w:styleId="17">
    <w:name w:val="toc 2"/>
    <w:basedOn w:val="1"/>
    <w:next w:val="1"/>
    <w:qFormat/>
    <w:uiPriority w:val="39"/>
    <w:pPr>
      <w:ind w:left="200" w:leftChars="200" w:firstLine="0"/>
    </w:pPr>
  </w:style>
  <w:style w:type="character" w:styleId="20">
    <w:name w:val="Hyperlink"/>
    <w:basedOn w:val="19"/>
    <w:unhideWhenUsed/>
    <w:qFormat/>
    <w:uiPriority w:val="99"/>
    <w:rPr>
      <w:color w:val="0000FF" w:themeColor="hyperlink"/>
      <w:u w:val="single"/>
      <w14:textFill>
        <w14:solidFill>
          <w14:schemeClr w14:val="hlink"/>
        </w14:solidFill>
      </w14:textFill>
    </w:rPr>
  </w:style>
  <w:style w:type="character" w:customStyle="1" w:styleId="21">
    <w:name w:val="页眉 字符"/>
    <w:basedOn w:val="19"/>
    <w:link w:val="15"/>
    <w:qFormat/>
    <w:uiPriority w:val="99"/>
    <w:rPr>
      <w:sz w:val="18"/>
      <w:szCs w:val="18"/>
    </w:rPr>
  </w:style>
  <w:style w:type="character" w:customStyle="1" w:styleId="22">
    <w:name w:val="页脚 字符"/>
    <w:basedOn w:val="19"/>
    <w:link w:val="14"/>
    <w:qFormat/>
    <w:uiPriority w:val="0"/>
    <w:rPr>
      <w:sz w:val="18"/>
      <w:szCs w:val="18"/>
    </w:rPr>
  </w:style>
  <w:style w:type="character" w:customStyle="1" w:styleId="23">
    <w:name w:val="标题 1 字符"/>
    <w:basedOn w:val="19"/>
    <w:link w:val="2"/>
    <w:qFormat/>
    <w:uiPriority w:val="0"/>
    <w:rPr>
      <w:rFonts w:ascii="Times New Roman" w:hAnsi="Times New Roman" w:eastAsia="宋体" w:cs="宋体"/>
      <w:b/>
      <w:bCs/>
      <w:sz w:val="28"/>
      <w:szCs w:val="28"/>
    </w:rPr>
  </w:style>
  <w:style w:type="character" w:customStyle="1" w:styleId="24">
    <w:name w:val="标题 2 字符"/>
    <w:basedOn w:val="19"/>
    <w:link w:val="4"/>
    <w:qFormat/>
    <w:uiPriority w:val="0"/>
    <w:rPr>
      <w:rFonts w:ascii="Times New Roman" w:hAnsi="Times New Roman" w:eastAsia="宋体" w:cs="宋体"/>
      <w:b/>
      <w:bCs/>
      <w:sz w:val="28"/>
      <w:szCs w:val="20"/>
    </w:rPr>
  </w:style>
  <w:style w:type="character" w:customStyle="1" w:styleId="25">
    <w:name w:val="标题 3 字符"/>
    <w:basedOn w:val="19"/>
    <w:link w:val="5"/>
    <w:qFormat/>
    <w:uiPriority w:val="0"/>
    <w:rPr>
      <w:rFonts w:ascii="Times New Roman" w:hAnsi="Times New Roman" w:eastAsia="宋体" w:cs="宋体"/>
      <w:b/>
      <w:bCs/>
      <w:sz w:val="24"/>
      <w:szCs w:val="32"/>
    </w:rPr>
  </w:style>
  <w:style w:type="character" w:customStyle="1" w:styleId="26">
    <w:name w:val="标题 4 字符"/>
    <w:basedOn w:val="19"/>
    <w:link w:val="3"/>
    <w:qFormat/>
    <w:uiPriority w:val="0"/>
    <w:rPr>
      <w:rFonts w:ascii="Arial" w:hAnsi="Arial" w:eastAsia="宋体" w:cs="宋体"/>
      <w:b/>
      <w:bCs/>
      <w:sz w:val="24"/>
      <w:szCs w:val="28"/>
    </w:rPr>
  </w:style>
  <w:style w:type="character" w:customStyle="1" w:styleId="27">
    <w:name w:val="标题 5 字符"/>
    <w:basedOn w:val="19"/>
    <w:link w:val="6"/>
    <w:qFormat/>
    <w:uiPriority w:val="0"/>
    <w:rPr>
      <w:rFonts w:ascii="Times New Roman" w:hAnsi="Times New Roman" w:eastAsia="宋体" w:cs="宋体"/>
      <w:b/>
      <w:bCs/>
      <w:sz w:val="24"/>
      <w:szCs w:val="28"/>
    </w:rPr>
  </w:style>
  <w:style w:type="character" w:customStyle="1" w:styleId="28">
    <w:name w:val="标题 6 字符"/>
    <w:basedOn w:val="19"/>
    <w:link w:val="7"/>
    <w:qFormat/>
    <w:uiPriority w:val="0"/>
    <w:rPr>
      <w:rFonts w:ascii="Arial" w:hAnsi="Arial" w:eastAsia="宋体" w:cs="宋体"/>
      <w:b/>
      <w:bCs/>
      <w:sz w:val="24"/>
      <w:szCs w:val="20"/>
    </w:rPr>
  </w:style>
  <w:style w:type="character" w:customStyle="1" w:styleId="29">
    <w:name w:val="标题 7 字符"/>
    <w:basedOn w:val="19"/>
    <w:link w:val="8"/>
    <w:qFormat/>
    <w:uiPriority w:val="0"/>
    <w:rPr>
      <w:rFonts w:ascii="Times New Roman" w:hAnsi="Times New Roman" w:eastAsia="宋体" w:cs="宋体"/>
      <w:b/>
      <w:bCs/>
      <w:sz w:val="24"/>
      <w:szCs w:val="20"/>
    </w:rPr>
  </w:style>
  <w:style w:type="character" w:customStyle="1" w:styleId="30">
    <w:name w:val="标题 8 字符"/>
    <w:basedOn w:val="19"/>
    <w:link w:val="9"/>
    <w:qFormat/>
    <w:uiPriority w:val="0"/>
    <w:rPr>
      <w:rFonts w:ascii="Arial" w:hAnsi="Arial" w:eastAsia="宋体" w:cs="宋体"/>
      <w:b/>
      <w:sz w:val="24"/>
      <w:szCs w:val="20"/>
    </w:rPr>
  </w:style>
  <w:style w:type="character" w:customStyle="1" w:styleId="31">
    <w:name w:val="标题 9 字符"/>
    <w:basedOn w:val="19"/>
    <w:link w:val="10"/>
    <w:qFormat/>
    <w:uiPriority w:val="0"/>
    <w:rPr>
      <w:rFonts w:ascii="Arial" w:hAnsi="Arial" w:eastAsia="宋体" w:cs="宋体"/>
      <w:b/>
      <w:sz w:val="24"/>
      <w:szCs w:val="21"/>
    </w:rPr>
  </w:style>
  <w:style w:type="paragraph" w:styleId="32">
    <w:name w:val="List Paragraph"/>
    <w:basedOn w:val="1"/>
    <w:qFormat/>
    <w:uiPriority w:val="34"/>
    <w:pPr>
      <w:ind w:firstLine="200" w:firstLineChars="200"/>
    </w:pPr>
  </w:style>
  <w:style w:type="character" w:customStyle="1" w:styleId="33">
    <w:name w:val="列出段落 Char"/>
    <w:link w:val="34"/>
    <w:qFormat/>
    <w:uiPriority w:val="0"/>
    <w:rPr>
      <w:rFonts w:ascii="Calibri" w:hAnsi="Calibri"/>
    </w:rPr>
  </w:style>
  <w:style w:type="paragraph" w:customStyle="1" w:styleId="34">
    <w:name w:val="列出段落1"/>
    <w:basedOn w:val="1"/>
    <w:link w:val="33"/>
    <w:qFormat/>
    <w:uiPriority w:val="0"/>
    <w:pPr>
      <w:widowControl w:val="0"/>
      <w:spacing w:line="240" w:lineRule="auto"/>
      <w:ind w:firstLine="200" w:firstLineChars="200"/>
      <w:jc w:val="both"/>
    </w:pPr>
    <w:rPr>
      <w:rFonts w:ascii="Calibri" w:hAnsi="Calibri" w:eastAsiaTheme="minorEastAsia" w:cstheme="minorBidi"/>
      <w:sz w:val="21"/>
      <w:szCs w:val="22"/>
    </w:rPr>
  </w:style>
  <w:style w:type="character" w:customStyle="1" w:styleId="35">
    <w:name w:val="正文文本缩进 字符"/>
    <w:basedOn w:val="19"/>
    <w:link w:val="12"/>
    <w:qFormat/>
    <w:uiPriority w:val="0"/>
    <w:rPr>
      <w:rFonts w:ascii="Times New Roman" w:hAnsi="Times New Roman" w:eastAsia="宋体" w:cs="Times New Roman"/>
      <w:sz w:val="24"/>
      <w:szCs w:val="24"/>
    </w:rPr>
  </w:style>
  <w:style w:type="paragraph" w:customStyle="1" w:styleId="36">
    <w:name w:val="BG"/>
    <w:basedOn w:val="37"/>
    <w:qFormat/>
    <w:uiPriority w:val="0"/>
    <w:pPr>
      <w:numPr>
        <w:ilvl w:val="0"/>
        <w:numId w:val="0"/>
      </w:numPr>
    </w:pPr>
  </w:style>
  <w:style w:type="paragraph" w:customStyle="1" w:styleId="37">
    <w:name w:val="BG1"/>
    <w:basedOn w:val="11"/>
    <w:qFormat/>
    <w:uiPriority w:val="0"/>
    <w:pPr>
      <w:widowControl w:val="0"/>
      <w:numPr>
        <w:ilvl w:val="0"/>
        <w:numId w:val="2"/>
      </w:numPr>
      <w:adjustRightInd w:val="0"/>
      <w:snapToGrid w:val="0"/>
      <w:spacing w:line="240" w:lineRule="atLeast"/>
      <w:ind w:left="432" w:leftChars="0" w:hanging="432"/>
      <w:jc w:val="center"/>
    </w:pPr>
    <w:rPr>
      <w:rFonts w:ascii="仿宋" w:hAnsi="仿宋" w:eastAsia="仿宋" w:cs="仿宋"/>
      <w:szCs w:val="24"/>
    </w:rPr>
  </w:style>
  <w:style w:type="paragraph" w:customStyle="1" w:styleId="38">
    <w:name w:val="BG2"/>
    <w:basedOn w:val="37"/>
    <w:qFormat/>
    <w:uiPriority w:val="0"/>
    <w:pPr>
      <w:numPr>
        <w:ilvl w:val="1"/>
      </w:numPr>
      <w:spacing w:line="240" w:lineRule="auto"/>
      <w:ind w:left="576" w:hanging="576"/>
      <w:jc w:val="left"/>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4307</Words>
  <Characters>4481</Characters>
  <Lines>560</Lines>
  <Paragraphs>516</Paragraphs>
  <TotalTime>16</TotalTime>
  <ScaleCrop>false</ScaleCrop>
  <LinksUpToDate>false</LinksUpToDate>
  <CharactersWithSpaces>8272</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2023-12-14T16:53:00Z</dcterms:created>
  <dc:creator>谢丽芬</dc:creator>
  <cp:lastModifiedBy>kos</cp:lastModifiedBy>
  <cp:lastPrinted>2025-12-25T17:29:18Z</cp:lastPrinted>
  <dcterms:modified xsi:type="dcterms:W3CDTF">2025-12-25T17:44:45Z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eyJoZGlkIjoiYzUwYjZiZjczMzNhNGZhZjkxMzBmMWUxOGFiMjhhYmUiLCJ1c2VySWQiOiIzNDMxNzA0MzkifQ==</vt:lpwstr>
  </property>
  <property fmtid="{D5CDD505-2E9C-101B-9397-08002B2CF9AE}" pid="3" name="KSOProductBuildVer">
    <vt:lpwstr>2052-12.8.2.21176</vt:lpwstr>
  </property>
  <property fmtid="{D5CDD505-2E9C-101B-9397-08002B2CF9AE}" pid="4" name="ICV">
    <vt:lpwstr>4AD6A839AF9545A29C4DB6FC3987E46C_13</vt:lpwstr>
  </property>
</Properties>
</file>