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347EB8">
      <w:pPr>
        <w:jc w:val="center"/>
        <w:rPr>
          <w:rFonts w:hint="eastAsia" w:eastAsia="Noto Sans CJK SC Regular"/>
          <w:sz w:val="44"/>
          <w:szCs w:val="44"/>
          <w:lang w:eastAsia="zh-CN"/>
        </w:rPr>
      </w:pPr>
      <w:r>
        <w:rPr>
          <w:rFonts w:hint="eastAsia"/>
          <w:sz w:val="44"/>
          <w:szCs w:val="44"/>
        </w:rPr>
        <w:t>智慧水务综合管理平台密码评测</w:t>
      </w:r>
      <w:r>
        <w:rPr>
          <w:rFonts w:hint="eastAsia"/>
          <w:sz w:val="44"/>
          <w:szCs w:val="44"/>
          <w:lang w:eastAsia="zh-CN"/>
        </w:rPr>
        <w:t>服务</w:t>
      </w:r>
    </w:p>
    <w:p w14:paraId="3DB9C6DB">
      <w:pPr>
        <w:jc w:val="center"/>
        <w:rPr>
          <w:rFonts w:hint="eastAsia"/>
          <w:sz w:val="44"/>
          <w:szCs w:val="44"/>
        </w:rPr>
      </w:pPr>
      <w:r>
        <w:rPr>
          <w:rFonts w:hint="eastAsia"/>
          <w:sz w:val="44"/>
          <w:szCs w:val="44"/>
        </w:rPr>
        <w:t>采购需求</w:t>
      </w:r>
    </w:p>
    <w:p w14:paraId="32BFAF81">
      <w:pPr>
        <w:rPr>
          <w:rFonts w:hint="eastAsia"/>
          <w:b/>
          <w:bCs/>
          <w:sz w:val="24"/>
          <w:szCs w:val="24"/>
        </w:rPr>
      </w:pPr>
      <w:r>
        <w:rPr>
          <w:rFonts w:hint="eastAsia"/>
          <w:b/>
          <w:bCs/>
          <w:sz w:val="24"/>
          <w:szCs w:val="24"/>
        </w:rPr>
        <w:t>一 、 供应商资格要求</w:t>
      </w:r>
    </w:p>
    <w:p w14:paraId="69A4E24F">
      <w:pPr>
        <w:rPr>
          <w:rFonts w:hint="eastAsia"/>
          <w:sz w:val="24"/>
          <w:szCs w:val="24"/>
        </w:rPr>
      </w:pPr>
      <w:r>
        <w:rPr>
          <w:rFonts w:hint="eastAsia"/>
          <w:sz w:val="24"/>
          <w:szCs w:val="24"/>
        </w:rPr>
        <w:t>1 、投标人须符合《政府采购法》第二十二条的规定；</w:t>
      </w:r>
    </w:p>
    <w:p w14:paraId="0189DEE1">
      <w:pPr>
        <w:rPr>
          <w:rFonts w:hint="eastAsia"/>
          <w:sz w:val="24"/>
          <w:szCs w:val="24"/>
        </w:rPr>
      </w:pPr>
      <w:r>
        <w:rPr>
          <w:rFonts w:hint="eastAsia"/>
          <w:sz w:val="24"/>
          <w:szCs w:val="24"/>
          <w:lang w:val="en-US" w:eastAsia="zh-CN"/>
        </w:rPr>
        <w:t>2</w:t>
      </w:r>
      <w:r>
        <w:rPr>
          <w:rFonts w:hint="eastAsia"/>
          <w:sz w:val="24"/>
          <w:szCs w:val="24"/>
        </w:rPr>
        <w:t xml:space="preserve"> 、投标人须具备省级（含</w:t>
      </w:r>
      <w:r>
        <w:rPr>
          <w:rFonts w:hint="eastAsia"/>
          <w:sz w:val="24"/>
          <w:szCs w:val="24"/>
          <w:lang w:eastAsia="zh-CN"/>
        </w:rPr>
        <w:t>）</w:t>
      </w:r>
      <w:r>
        <w:rPr>
          <w:rFonts w:hint="eastAsia"/>
          <w:sz w:val="24"/>
          <w:szCs w:val="24"/>
        </w:rPr>
        <w:t>以上密码管理部门许可的商用密码应用安全性评估试点资格；</w:t>
      </w:r>
    </w:p>
    <w:p w14:paraId="43A751AF">
      <w:pPr>
        <w:rPr>
          <w:rFonts w:hint="eastAsia"/>
          <w:b/>
          <w:bCs/>
          <w:sz w:val="24"/>
          <w:szCs w:val="24"/>
        </w:rPr>
      </w:pPr>
      <w:r>
        <w:rPr>
          <w:rFonts w:hint="eastAsia"/>
          <w:b/>
          <w:bCs/>
          <w:sz w:val="24"/>
          <w:szCs w:val="24"/>
        </w:rPr>
        <w:t>二 、 项目基本要求</w:t>
      </w:r>
    </w:p>
    <w:p w14:paraId="74AF8591">
      <w:pPr>
        <w:rPr>
          <w:rFonts w:hint="eastAsia"/>
          <w:sz w:val="24"/>
          <w:szCs w:val="24"/>
        </w:rPr>
      </w:pPr>
      <w:r>
        <w:rPr>
          <w:rFonts w:hint="eastAsia"/>
          <w:sz w:val="24"/>
          <w:szCs w:val="24"/>
        </w:rPr>
        <w:t>1 、项目名称： 智慧水务综合管理平台密码</w:t>
      </w:r>
      <w:r>
        <w:rPr>
          <w:rFonts w:hint="eastAsia"/>
          <w:sz w:val="24"/>
          <w:szCs w:val="24"/>
          <w:lang w:eastAsia="zh-CN"/>
        </w:rPr>
        <w:t>评测</w:t>
      </w:r>
      <w:r>
        <w:rPr>
          <w:rFonts w:hint="eastAsia"/>
          <w:sz w:val="24"/>
          <w:szCs w:val="24"/>
        </w:rPr>
        <w:t xml:space="preserve"> 。</w:t>
      </w:r>
    </w:p>
    <w:p w14:paraId="5C130D1D">
      <w:pPr>
        <w:rPr>
          <w:rFonts w:hint="eastAsia"/>
          <w:sz w:val="24"/>
          <w:szCs w:val="24"/>
        </w:rPr>
      </w:pPr>
      <w:r>
        <w:rPr>
          <w:rFonts w:hint="eastAsia"/>
          <w:sz w:val="24"/>
          <w:szCs w:val="24"/>
        </w:rPr>
        <w:t>2 、</w:t>
      </w:r>
      <w:r>
        <w:rPr>
          <w:rFonts w:hint="eastAsia"/>
          <w:sz w:val="24"/>
          <w:szCs w:val="24"/>
          <w:lang w:eastAsia="zh-CN"/>
        </w:rPr>
        <w:t>评测</w:t>
      </w:r>
      <w:r>
        <w:rPr>
          <w:rFonts w:hint="eastAsia"/>
          <w:sz w:val="24"/>
          <w:szCs w:val="24"/>
        </w:rPr>
        <w:t>对象： 智慧水务综合管理平台 。</w:t>
      </w:r>
    </w:p>
    <w:tbl>
      <w:tblPr>
        <w:tblStyle w:val="5"/>
        <w:tblW w:w="7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3767"/>
        <w:gridCol w:w="1500"/>
        <w:gridCol w:w="1652"/>
      </w:tblGrid>
      <w:tr w14:paraId="79EC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078" w:type="dxa"/>
            <w:noWrap w:val="0"/>
            <w:vAlign w:val="center"/>
          </w:tcPr>
          <w:p w14:paraId="61856087">
            <w:pPr>
              <w:spacing w:before="212" w:line="185" w:lineRule="auto"/>
              <w:ind w:left="123"/>
              <w:jc w:val="center"/>
              <w:rPr>
                <w:rFonts w:hint="eastAsia" w:ascii="Noto Sans CJK SC Regular" w:hAnsi="Noto Sans CJK SC Regular" w:eastAsia="Noto Sans CJK SC Regular" w:cs="Noto Sans CJK SC Regular"/>
                <w:spacing w:val="-8"/>
                <w:sz w:val="24"/>
                <w:szCs w:val="24"/>
                <w:lang w:eastAsia="zh-CN"/>
              </w:rPr>
            </w:pPr>
            <w:r>
              <w:rPr>
                <w:rFonts w:hint="eastAsia" w:ascii="Noto Sans CJK SC Regular" w:hAnsi="Noto Sans CJK SC Regular" w:eastAsia="Noto Sans CJK SC Regular" w:cs="Noto Sans CJK SC Regular"/>
                <w:spacing w:val="-8"/>
                <w:sz w:val="24"/>
                <w:szCs w:val="24"/>
                <w:lang w:eastAsia="zh-CN"/>
              </w:rPr>
              <w:t>序号</w:t>
            </w:r>
          </w:p>
        </w:tc>
        <w:tc>
          <w:tcPr>
            <w:tcW w:w="3767" w:type="dxa"/>
            <w:noWrap w:val="0"/>
            <w:vAlign w:val="center"/>
          </w:tcPr>
          <w:p w14:paraId="56FED45B">
            <w:pPr>
              <w:spacing w:before="212" w:line="185" w:lineRule="auto"/>
              <w:jc w:val="center"/>
              <w:rPr>
                <w:rFonts w:hint="eastAsia" w:ascii="Noto Sans CJK SC Regular" w:hAnsi="Noto Sans CJK SC Regular" w:eastAsia="Noto Sans CJK SC Regular" w:cs="Noto Sans CJK SC Regular"/>
                <w:spacing w:val="-8"/>
                <w:sz w:val="24"/>
                <w:szCs w:val="24"/>
                <w:lang w:eastAsia="zh-CN"/>
              </w:rPr>
            </w:pPr>
            <w:r>
              <w:rPr>
                <w:rFonts w:hint="eastAsia" w:cs="Noto Sans CJK SC Regular"/>
                <w:spacing w:val="-8"/>
                <w:sz w:val="24"/>
                <w:szCs w:val="24"/>
                <w:lang w:eastAsia="zh-CN"/>
              </w:rPr>
              <w:t>测评对象</w:t>
            </w:r>
          </w:p>
        </w:tc>
        <w:tc>
          <w:tcPr>
            <w:tcW w:w="1500" w:type="dxa"/>
            <w:noWrap w:val="0"/>
            <w:vAlign w:val="center"/>
          </w:tcPr>
          <w:p w14:paraId="5E7F2590">
            <w:pPr>
              <w:spacing w:before="212" w:line="185" w:lineRule="auto"/>
              <w:ind w:left="123"/>
              <w:jc w:val="center"/>
              <w:rPr>
                <w:rFonts w:hint="eastAsia" w:ascii="Noto Sans CJK SC Regular" w:hAnsi="Noto Sans CJK SC Regular" w:eastAsia="Noto Sans CJK SC Regular" w:cs="Noto Sans CJK SC Regular"/>
                <w:spacing w:val="-8"/>
                <w:sz w:val="24"/>
                <w:szCs w:val="24"/>
                <w:lang w:eastAsia="zh-CN"/>
              </w:rPr>
            </w:pPr>
            <w:r>
              <w:rPr>
                <w:rFonts w:hint="eastAsia" w:cs="Noto Sans CJK SC Regular"/>
                <w:spacing w:val="-8"/>
                <w:sz w:val="24"/>
                <w:szCs w:val="24"/>
                <w:lang w:eastAsia="zh-CN"/>
              </w:rPr>
              <w:t>安全等级</w:t>
            </w:r>
          </w:p>
        </w:tc>
        <w:tc>
          <w:tcPr>
            <w:tcW w:w="1652" w:type="dxa"/>
            <w:noWrap w:val="0"/>
            <w:vAlign w:val="center"/>
          </w:tcPr>
          <w:p w14:paraId="27F1DE73">
            <w:pPr>
              <w:spacing w:before="212" w:line="185" w:lineRule="auto"/>
              <w:ind w:left="123"/>
              <w:jc w:val="center"/>
              <w:rPr>
                <w:rFonts w:hint="eastAsia" w:cs="Noto Sans CJK SC Regular"/>
                <w:spacing w:val="-8"/>
                <w:sz w:val="24"/>
                <w:szCs w:val="24"/>
                <w:lang w:eastAsia="zh-CN"/>
              </w:rPr>
            </w:pPr>
            <w:r>
              <w:rPr>
                <w:rFonts w:hint="eastAsia" w:cs="Noto Sans CJK SC Regular"/>
                <w:spacing w:val="-8"/>
                <w:sz w:val="24"/>
                <w:szCs w:val="24"/>
                <w:lang w:eastAsia="zh-CN"/>
              </w:rPr>
              <w:t>数量</w:t>
            </w:r>
          </w:p>
        </w:tc>
      </w:tr>
      <w:tr w14:paraId="0751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8" w:type="dxa"/>
            <w:noWrap w:val="0"/>
            <w:vAlign w:val="center"/>
          </w:tcPr>
          <w:p w14:paraId="0E6172C4">
            <w:pPr>
              <w:pStyle w:val="3"/>
              <w:spacing w:before="132" w:line="209" w:lineRule="auto"/>
              <w:ind w:left="31" w:right="15" w:firstLine="476"/>
              <w:rPr>
                <w:rFonts w:hint="default"/>
                <w:spacing w:val="-3"/>
                <w:lang w:val="en-US" w:eastAsia="zh-CN"/>
              </w:rPr>
            </w:pPr>
            <w:r>
              <w:rPr>
                <w:rFonts w:hint="eastAsia"/>
                <w:spacing w:val="-3"/>
                <w:lang w:val="en-US" w:eastAsia="zh-CN"/>
              </w:rPr>
              <w:t>1</w:t>
            </w:r>
          </w:p>
        </w:tc>
        <w:tc>
          <w:tcPr>
            <w:tcW w:w="3767" w:type="dxa"/>
            <w:noWrap w:val="0"/>
            <w:vAlign w:val="center"/>
          </w:tcPr>
          <w:p w14:paraId="0DA708EE">
            <w:pPr>
              <w:pStyle w:val="3"/>
              <w:spacing w:before="132" w:line="209" w:lineRule="auto"/>
              <w:ind w:right="15"/>
              <w:rPr>
                <w:rFonts w:hint="default"/>
                <w:spacing w:val="-3"/>
                <w:lang w:val="en-US" w:eastAsia="zh-CN"/>
              </w:rPr>
            </w:pPr>
            <w:r>
              <w:rPr>
                <w:rFonts w:hint="eastAsia"/>
                <w:spacing w:val="-3"/>
                <w:lang w:eastAsia="zh-CN"/>
              </w:rPr>
              <w:t>武汉市智慧水务综合管理平台（包括水务物联感知系统、水务大数据平台、应用支撑平台、智慧水务核心应用、综合决策指挥平台、</w:t>
            </w:r>
            <w:r>
              <w:rPr>
                <w:rFonts w:hint="eastAsia"/>
                <w:spacing w:val="-3"/>
                <w:lang w:val="en-US" w:eastAsia="zh-CN"/>
              </w:rPr>
              <w:t>ICT基础设施、统一运维管理平台</w:t>
            </w:r>
            <w:r>
              <w:rPr>
                <w:rFonts w:hint="eastAsia"/>
                <w:spacing w:val="-3"/>
                <w:lang w:eastAsia="zh-CN"/>
              </w:rPr>
              <w:t>）商用密码应用安全性评估</w:t>
            </w:r>
          </w:p>
        </w:tc>
        <w:tc>
          <w:tcPr>
            <w:tcW w:w="1500" w:type="dxa"/>
            <w:noWrap w:val="0"/>
            <w:vAlign w:val="center"/>
          </w:tcPr>
          <w:p w14:paraId="582A9F77">
            <w:pPr>
              <w:pStyle w:val="3"/>
              <w:spacing w:before="132" w:line="209" w:lineRule="auto"/>
              <w:ind w:right="15" w:firstLine="234" w:firstLineChars="100"/>
              <w:rPr>
                <w:rFonts w:hint="eastAsia"/>
                <w:spacing w:val="-3"/>
                <w:lang w:eastAsia="zh-CN"/>
              </w:rPr>
            </w:pPr>
            <w:r>
              <w:rPr>
                <w:rFonts w:hint="eastAsia"/>
                <w:spacing w:val="-3"/>
                <w:lang w:eastAsia="zh-CN"/>
              </w:rPr>
              <w:t>第三级</w:t>
            </w:r>
          </w:p>
        </w:tc>
        <w:tc>
          <w:tcPr>
            <w:tcW w:w="1652" w:type="dxa"/>
            <w:noWrap w:val="0"/>
            <w:vAlign w:val="center"/>
          </w:tcPr>
          <w:p w14:paraId="7A730999">
            <w:pPr>
              <w:pStyle w:val="3"/>
              <w:spacing w:before="132" w:line="209" w:lineRule="auto"/>
              <w:ind w:left="31" w:right="15" w:firstLine="476"/>
              <w:rPr>
                <w:rFonts w:hint="default"/>
                <w:spacing w:val="-3"/>
                <w:lang w:val="en-US" w:eastAsia="zh-CN"/>
              </w:rPr>
            </w:pPr>
            <w:r>
              <w:rPr>
                <w:rFonts w:hint="eastAsia"/>
                <w:spacing w:val="-3"/>
                <w:lang w:val="en-US" w:eastAsia="zh-CN"/>
              </w:rPr>
              <w:t>1</w:t>
            </w:r>
          </w:p>
        </w:tc>
      </w:tr>
    </w:tbl>
    <w:p w14:paraId="10E8EFE2">
      <w:pPr>
        <w:numPr>
          <w:ilvl w:val="0"/>
          <w:numId w:val="1"/>
        </w:numPr>
        <w:rPr>
          <w:rFonts w:hint="eastAsia"/>
          <w:sz w:val="24"/>
          <w:szCs w:val="24"/>
          <w:lang w:val="en-US" w:eastAsia="zh-CN"/>
        </w:rPr>
      </w:pPr>
      <w:r>
        <w:rPr>
          <w:rFonts w:hint="eastAsia"/>
          <w:sz w:val="24"/>
          <w:szCs w:val="24"/>
          <w:lang w:val="en-US" w:eastAsia="zh-CN"/>
        </w:rPr>
        <w:t>项目预算：9.5万元（人民币：玖万伍仟圆整）</w:t>
      </w:r>
    </w:p>
    <w:p w14:paraId="0F4D9476">
      <w:pPr>
        <w:numPr>
          <w:ilvl w:val="0"/>
          <w:numId w:val="1"/>
        </w:numPr>
        <w:rPr>
          <w:rFonts w:hint="default"/>
          <w:sz w:val="24"/>
          <w:szCs w:val="24"/>
          <w:lang w:val="en-US" w:eastAsia="zh-CN"/>
        </w:rPr>
      </w:pPr>
      <w:r>
        <w:rPr>
          <w:rFonts w:hint="eastAsia"/>
          <w:sz w:val="24"/>
          <w:szCs w:val="24"/>
          <w:lang w:val="en-US" w:eastAsia="zh-CN"/>
        </w:rPr>
        <w:t>付款方式：提交</w:t>
      </w:r>
      <w:r>
        <w:rPr>
          <w:rFonts w:hint="eastAsia"/>
          <w:sz w:val="24"/>
          <w:szCs w:val="24"/>
          <w:lang w:eastAsia="zh-CN"/>
        </w:rPr>
        <w:t>合格的</w:t>
      </w:r>
      <w:r>
        <w:rPr>
          <w:rFonts w:hint="eastAsia"/>
          <w:sz w:val="24"/>
          <w:szCs w:val="24"/>
        </w:rPr>
        <w:t>《商用密码应用安全性评估报告》</w:t>
      </w:r>
      <w:r>
        <w:rPr>
          <w:rFonts w:hint="eastAsia"/>
          <w:sz w:val="24"/>
          <w:szCs w:val="24"/>
          <w:lang w:eastAsia="zh-CN"/>
        </w:rPr>
        <w:t>后采购人一次性支付项目合同款至</w:t>
      </w:r>
      <w:r>
        <w:rPr>
          <w:rFonts w:hint="eastAsia"/>
          <w:sz w:val="24"/>
          <w:szCs w:val="24"/>
          <w:lang w:val="en-US" w:eastAsia="zh-CN"/>
        </w:rPr>
        <w:t>100%。</w:t>
      </w:r>
    </w:p>
    <w:p w14:paraId="6D3FC8FA">
      <w:pPr>
        <w:numPr>
          <w:ilvl w:val="0"/>
          <w:numId w:val="1"/>
        </w:numPr>
        <w:ind w:left="0" w:leftChars="0" w:firstLine="0" w:firstLineChars="0"/>
        <w:rPr>
          <w:rFonts w:hint="eastAsia"/>
          <w:sz w:val="24"/>
          <w:szCs w:val="24"/>
        </w:rPr>
      </w:pPr>
      <w:r>
        <w:rPr>
          <w:rFonts w:hint="eastAsia"/>
          <w:sz w:val="24"/>
          <w:szCs w:val="24"/>
        </w:rPr>
        <w:t>项目工期：合同签订生效、具备进场条件后60个工作日内完成商用密码应用安全性评估。</w:t>
      </w:r>
    </w:p>
    <w:p w14:paraId="24957224">
      <w:pPr>
        <w:rPr>
          <w:rFonts w:hint="eastAsia"/>
          <w:b/>
          <w:bCs/>
          <w:sz w:val="24"/>
          <w:szCs w:val="24"/>
        </w:rPr>
      </w:pPr>
      <w:r>
        <w:rPr>
          <w:rFonts w:hint="eastAsia"/>
          <w:b/>
          <w:bCs/>
          <w:sz w:val="24"/>
          <w:szCs w:val="24"/>
        </w:rPr>
        <w:t>三 、 项目需求</w:t>
      </w:r>
    </w:p>
    <w:p w14:paraId="21142466">
      <w:pPr>
        <w:rPr>
          <w:rFonts w:hint="eastAsia"/>
          <w:b/>
          <w:bCs/>
          <w:sz w:val="24"/>
          <w:szCs w:val="24"/>
        </w:rPr>
      </w:pPr>
      <w:r>
        <w:rPr>
          <w:rFonts w:hint="eastAsia"/>
          <w:b/>
          <w:bCs/>
          <w:sz w:val="24"/>
          <w:szCs w:val="24"/>
        </w:rPr>
        <w:t>3.1  标准和依据</w:t>
      </w:r>
    </w:p>
    <w:p w14:paraId="1A839497">
      <w:pPr>
        <w:rPr>
          <w:rFonts w:hint="eastAsia"/>
          <w:sz w:val="24"/>
          <w:szCs w:val="24"/>
        </w:rPr>
      </w:pPr>
      <w:r>
        <w:rPr>
          <w:rFonts w:hint="eastAsia"/>
          <w:sz w:val="24"/>
          <w:szCs w:val="24"/>
        </w:rPr>
        <w:t>1 、本次商用密码应用安全性评估依据如下法律法规 、政策和技术标准执行（项目执行期间， 如国家技术标准调整， 按新生效的标准执行）</w:t>
      </w:r>
    </w:p>
    <w:p w14:paraId="34452A60">
      <w:pPr>
        <w:rPr>
          <w:rFonts w:hint="eastAsia"/>
          <w:sz w:val="24"/>
          <w:szCs w:val="24"/>
        </w:rPr>
      </w:pPr>
      <w:r>
        <w:rPr>
          <w:rFonts w:hint="eastAsia"/>
          <w:sz w:val="24"/>
          <w:szCs w:val="24"/>
        </w:rPr>
        <w:t xml:space="preserve">  </w:t>
      </w:r>
      <w:r>
        <w:rPr>
          <w:position w:val="-3"/>
        </w:rPr>
        <w:drawing>
          <wp:inline distT="0" distB="0" distL="114300" distR="114300">
            <wp:extent cx="137160" cy="168275"/>
            <wp:effectExtent l="0" t="0" r="15240" b="3175"/>
            <wp:docPr id="1" name="图片 7"/>
            <wp:cNvGraphicFramePr/>
            <a:graphic xmlns:a="http://schemas.openxmlformats.org/drawingml/2006/main">
              <a:graphicData uri="http://schemas.openxmlformats.org/drawingml/2006/picture">
                <pic:pic xmlns:pic="http://schemas.openxmlformats.org/drawingml/2006/picture">
                  <pic:nvPicPr>
                    <pic:cNvPr id="1" name="图片 7"/>
                    <pic:cNvPicPr/>
                  </pic:nvPicPr>
                  <pic:blipFill>
                    <a:blip r:embed="rId6"/>
                    <a:stretch>
                      <a:fillRect/>
                    </a:stretch>
                  </pic:blipFill>
                  <pic:spPr>
                    <a:xfrm>
                      <a:off x="0" y="0"/>
                      <a:ext cx="137160" cy="168275"/>
                    </a:xfrm>
                    <a:prstGeom prst="rect">
                      <a:avLst/>
                    </a:prstGeom>
                    <a:noFill/>
                    <a:ln>
                      <a:noFill/>
                    </a:ln>
                  </pic:spPr>
                </pic:pic>
              </a:graphicData>
            </a:graphic>
          </wp:inline>
        </w:drawing>
      </w:r>
      <w:r>
        <w:rPr>
          <w:spacing w:val="14"/>
        </w:rPr>
        <w:t xml:space="preserve"> </w:t>
      </w:r>
      <w:r>
        <w:rPr>
          <w:rFonts w:hint="eastAsia"/>
          <w:sz w:val="24"/>
          <w:szCs w:val="24"/>
        </w:rPr>
        <w:t>《中华人民共和国网络安全法》</w:t>
      </w:r>
    </w:p>
    <w:p w14:paraId="4A019BF4">
      <w:pPr>
        <w:rPr>
          <w:rFonts w:hint="eastAsia"/>
          <w:sz w:val="24"/>
          <w:szCs w:val="24"/>
        </w:rPr>
      </w:pPr>
      <w:r>
        <w:rPr>
          <w:rFonts w:hint="eastAsia"/>
          <w:sz w:val="24"/>
          <w:szCs w:val="24"/>
        </w:rPr>
        <w:t xml:space="preserve">  </w:t>
      </w:r>
      <w:r>
        <w:rPr>
          <w:position w:val="-3"/>
        </w:rPr>
        <w:drawing>
          <wp:inline distT="0" distB="0" distL="114300" distR="114300">
            <wp:extent cx="137160" cy="168275"/>
            <wp:effectExtent l="0" t="0" r="15240" b="3175"/>
            <wp:docPr id="2" name="图片 8"/>
            <wp:cNvGraphicFramePr/>
            <a:graphic xmlns:a="http://schemas.openxmlformats.org/drawingml/2006/main">
              <a:graphicData uri="http://schemas.openxmlformats.org/drawingml/2006/picture">
                <pic:pic xmlns:pic="http://schemas.openxmlformats.org/drawingml/2006/picture">
                  <pic:nvPicPr>
                    <pic:cNvPr id="2" name="图片 8"/>
                    <pic:cNvPicPr/>
                  </pic:nvPicPr>
                  <pic:blipFill>
                    <a:blip r:embed="rId6"/>
                    <a:stretch>
                      <a:fillRect/>
                    </a:stretch>
                  </pic:blipFill>
                  <pic:spPr>
                    <a:xfrm>
                      <a:off x="0" y="0"/>
                      <a:ext cx="137160" cy="168275"/>
                    </a:xfrm>
                    <a:prstGeom prst="rect">
                      <a:avLst/>
                    </a:prstGeom>
                    <a:noFill/>
                    <a:ln>
                      <a:noFill/>
                    </a:ln>
                  </pic:spPr>
                </pic:pic>
              </a:graphicData>
            </a:graphic>
          </wp:inline>
        </w:drawing>
      </w:r>
      <w:r>
        <w:rPr>
          <w:spacing w:val="14"/>
        </w:rPr>
        <w:t xml:space="preserve"> </w:t>
      </w:r>
      <w:r>
        <w:rPr>
          <w:rFonts w:hint="eastAsia"/>
          <w:sz w:val="24"/>
          <w:szCs w:val="24"/>
        </w:rPr>
        <w:t>《中华人民共和国密码法》</w:t>
      </w:r>
    </w:p>
    <w:p w14:paraId="375D2F98">
      <w:pPr>
        <w:rPr>
          <w:rFonts w:hint="eastAsia"/>
          <w:sz w:val="24"/>
          <w:szCs w:val="24"/>
        </w:rPr>
      </w:pPr>
      <w:r>
        <w:rPr>
          <w:rFonts w:hint="eastAsia"/>
          <w:sz w:val="24"/>
          <w:szCs w:val="24"/>
        </w:rPr>
        <w:t xml:space="preserve">  </w:t>
      </w:r>
      <w:r>
        <w:rPr>
          <w:position w:val="-3"/>
        </w:rPr>
        <w:drawing>
          <wp:inline distT="0" distB="0" distL="114300" distR="114300">
            <wp:extent cx="137160" cy="168275"/>
            <wp:effectExtent l="0" t="0" r="15240" b="3175"/>
            <wp:docPr id="3" name="图片 9"/>
            <wp:cNvGraphicFramePr/>
            <a:graphic xmlns:a="http://schemas.openxmlformats.org/drawingml/2006/main">
              <a:graphicData uri="http://schemas.openxmlformats.org/drawingml/2006/picture">
                <pic:pic xmlns:pic="http://schemas.openxmlformats.org/drawingml/2006/picture">
                  <pic:nvPicPr>
                    <pic:cNvPr id="3" name="图片 9"/>
                    <pic:cNvPicPr/>
                  </pic:nvPicPr>
                  <pic:blipFill>
                    <a:blip r:embed="rId6"/>
                    <a:stretch>
                      <a:fillRect/>
                    </a:stretch>
                  </pic:blipFill>
                  <pic:spPr>
                    <a:xfrm>
                      <a:off x="0" y="0"/>
                      <a:ext cx="137160" cy="168275"/>
                    </a:xfrm>
                    <a:prstGeom prst="rect">
                      <a:avLst/>
                    </a:prstGeom>
                    <a:noFill/>
                    <a:ln>
                      <a:noFill/>
                    </a:ln>
                  </pic:spPr>
                </pic:pic>
              </a:graphicData>
            </a:graphic>
          </wp:inline>
        </w:drawing>
      </w:r>
      <w:r>
        <w:rPr>
          <w:spacing w:val="14"/>
        </w:rPr>
        <w:t xml:space="preserve"> </w:t>
      </w:r>
      <w:r>
        <w:rPr>
          <w:rFonts w:hint="eastAsia"/>
          <w:sz w:val="24"/>
          <w:szCs w:val="24"/>
        </w:rPr>
        <w:t>《国家政务信息化项目建设管理办法》（国办发[2019]57 号）</w:t>
      </w:r>
    </w:p>
    <w:p w14:paraId="2C989DE4">
      <w:pPr>
        <w:rPr>
          <w:rFonts w:hint="eastAsia"/>
          <w:sz w:val="24"/>
          <w:szCs w:val="24"/>
        </w:rPr>
      </w:pPr>
      <w:r>
        <w:rPr>
          <w:rFonts w:hint="eastAsia"/>
          <w:sz w:val="24"/>
          <w:szCs w:val="24"/>
        </w:rPr>
        <w:t xml:space="preserve">  </w:t>
      </w:r>
      <w:r>
        <w:rPr>
          <w:position w:val="-3"/>
        </w:rPr>
        <w:drawing>
          <wp:inline distT="0" distB="0" distL="114300" distR="114300">
            <wp:extent cx="137160" cy="168275"/>
            <wp:effectExtent l="0" t="0" r="15240" b="3175"/>
            <wp:docPr id="4" name="图片 11"/>
            <wp:cNvGraphicFramePr/>
            <a:graphic xmlns:a="http://schemas.openxmlformats.org/drawingml/2006/main">
              <a:graphicData uri="http://schemas.openxmlformats.org/drawingml/2006/picture">
                <pic:pic xmlns:pic="http://schemas.openxmlformats.org/drawingml/2006/picture">
                  <pic:nvPicPr>
                    <pic:cNvPr id="4" name="图片 11"/>
                    <pic:cNvPicPr/>
                  </pic:nvPicPr>
                  <pic:blipFill>
                    <a:blip r:embed="rId6"/>
                    <a:stretch>
                      <a:fillRect/>
                    </a:stretch>
                  </pic:blipFill>
                  <pic:spPr>
                    <a:xfrm>
                      <a:off x="0" y="0"/>
                      <a:ext cx="137160" cy="168275"/>
                    </a:xfrm>
                    <a:prstGeom prst="rect">
                      <a:avLst/>
                    </a:prstGeom>
                    <a:noFill/>
                    <a:ln>
                      <a:noFill/>
                    </a:ln>
                  </pic:spPr>
                </pic:pic>
              </a:graphicData>
            </a:graphic>
          </wp:inline>
        </w:drawing>
      </w:r>
      <w:r>
        <w:rPr>
          <w:spacing w:val="14"/>
        </w:rPr>
        <w:t xml:space="preserve"> </w:t>
      </w:r>
      <w:r>
        <w:rPr>
          <w:rFonts w:hint="eastAsia"/>
          <w:sz w:val="24"/>
          <w:szCs w:val="24"/>
        </w:rPr>
        <w:t>《信息安全技术  信息系统密码应用基本要求》（GB/T  39786-2021）</w:t>
      </w:r>
    </w:p>
    <w:p w14:paraId="0A762AEB">
      <w:pPr>
        <w:rPr>
          <w:rFonts w:hint="eastAsia"/>
          <w:sz w:val="24"/>
          <w:szCs w:val="24"/>
        </w:rPr>
      </w:pPr>
      <w:r>
        <w:rPr>
          <w:rFonts w:hint="eastAsia"/>
          <w:sz w:val="24"/>
          <w:szCs w:val="24"/>
        </w:rPr>
        <w:t xml:space="preserve"> </w:t>
      </w:r>
      <w:r>
        <w:rPr>
          <w:rFonts w:hint="eastAsia"/>
          <w:sz w:val="24"/>
          <w:szCs w:val="24"/>
          <w:lang w:val="en-US" w:eastAsia="zh-CN"/>
        </w:rPr>
        <w:t xml:space="preserve"> </w:t>
      </w:r>
      <w:r>
        <w:rPr>
          <w:position w:val="-3"/>
        </w:rPr>
        <w:drawing>
          <wp:inline distT="0" distB="0" distL="114300" distR="114300">
            <wp:extent cx="137160" cy="168275"/>
            <wp:effectExtent l="0" t="0" r="15240" b="3175"/>
            <wp:docPr id="5" name="图片 12"/>
            <wp:cNvGraphicFramePr/>
            <a:graphic xmlns:a="http://schemas.openxmlformats.org/drawingml/2006/main">
              <a:graphicData uri="http://schemas.openxmlformats.org/drawingml/2006/picture">
                <pic:pic xmlns:pic="http://schemas.openxmlformats.org/drawingml/2006/picture">
                  <pic:nvPicPr>
                    <pic:cNvPr id="5" name="图片 12"/>
                    <pic:cNvPicPr/>
                  </pic:nvPicPr>
                  <pic:blipFill>
                    <a:blip r:embed="rId6"/>
                    <a:stretch>
                      <a:fillRect/>
                    </a:stretch>
                  </pic:blipFill>
                  <pic:spPr>
                    <a:xfrm>
                      <a:off x="0" y="0"/>
                      <a:ext cx="137160" cy="168275"/>
                    </a:xfrm>
                    <a:prstGeom prst="rect">
                      <a:avLst/>
                    </a:prstGeom>
                    <a:noFill/>
                    <a:ln>
                      <a:noFill/>
                    </a:ln>
                  </pic:spPr>
                </pic:pic>
              </a:graphicData>
            </a:graphic>
          </wp:inline>
        </w:drawing>
      </w:r>
      <w:r>
        <w:rPr>
          <w:spacing w:val="14"/>
        </w:rPr>
        <w:t xml:space="preserve"> </w:t>
      </w:r>
      <w:r>
        <w:rPr>
          <w:rFonts w:hint="eastAsia"/>
          <w:sz w:val="24"/>
          <w:szCs w:val="24"/>
          <w:lang w:eastAsia="zh-CN"/>
        </w:rPr>
        <w:t>《</w:t>
      </w:r>
      <w:r>
        <w:rPr>
          <w:rFonts w:hint="eastAsia"/>
          <w:sz w:val="24"/>
          <w:szCs w:val="24"/>
        </w:rPr>
        <w:t>政务信息系统密码应用与安全性评估工作指南</w:t>
      </w:r>
      <w:r>
        <w:rPr>
          <w:rFonts w:hint="eastAsia"/>
          <w:sz w:val="24"/>
          <w:szCs w:val="24"/>
          <w:lang w:eastAsia="zh-CN"/>
        </w:rPr>
        <w:t>》</w:t>
      </w:r>
      <w:r>
        <w:rPr>
          <w:rFonts w:hint="eastAsia"/>
          <w:sz w:val="24"/>
          <w:szCs w:val="24"/>
        </w:rPr>
        <w:t>（2020  版）</w:t>
      </w:r>
    </w:p>
    <w:p w14:paraId="6A29683B">
      <w:pPr>
        <w:rPr>
          <w:rFonts w:hint="eastAsia"/>
          <w:sz w:val="24"/>
          <w:szCs w:val="24"/>
        </w:rPr>
      </w:pPr>
      <w:r>
        <w:rPr>
          <w:rFonts w:hint="eastAsia"/>
          <w:sz w:val="24"/>
          <w:szCs w:val="24"/>
        </w:rPr>
        <w:t xml:space="preserve">  </w:t>
      </w:r>
      <w:r>
        <w:rPr>
          <w:position w:val="-3"/>
        </w:rPr>
        <w:drawing>
          <wp:inline distT="0" distB="0" distL="114300" distR="114300">
            <wp:extent cx="137160" cy="168275"/>
            <wp:effectExtent l="0" t="0" r="15240" b="3175"/>
            <wp:docPr id="6" name="图片 26"/>
            <wp:cNvGraphicFramePr/>
            <a:graphic xmlns:a="http://schemas.openxmlformats.org/drawingml/2006/main">
              <a:graphicData uri="http://schemas.openxmlformats.org/drawingml/2006/picture">
                <pic:pic xmlns:pic="http://schemas.openxmlformats.org/drawingml/2006/picture">
                  <pic:nvPicPr>
                    <pic:cNvPr id="6" name="图片 26"/>
                    <pic:cNvPicPr/>
                  </pic:nvPicPr>
                  <pic:blipFill>
                    <a:blip r:embed="rId6"/>
                    <a:stretch>
                      <a:fillRect/>
                    </a:stretch>
                  </pic:blipFill>
                  <pic:spPr>
                    <a:xfrm>
                      <a:off x="0" y="0"/>
                      <a:ext cx="137160" cy="168275"/>
                    </a:xfrm>
                    <a:prstGeom prst="rect">
                      <a:avLst/>
                    </a:prstGeom>
                    <a:noFill/>
                    <a:ln>
                      <a:noFill/>
                    </a:ln>
                  </pic:spPr>
                </pic:pic>
              </a:graphicData>
            </a:graphic>
          </wp:inline>
        </w:drawing>
      </w:r>
      <w:r>
        <w:rPr>
          <w:spacing w:val="14"/>
        </w:rPr>
        <w:t xml:space="preserve">  </w:t>
      </w:r>
      <w:r>
        <w:rPr>
          <w:rFonts w:hint="eastAsia"/>
          <w:sz w:val="24"/>
          <w:szCs w:val="24"/>
        </w:rPr>
        <w:t>《信息系统密码应用测评要求》（GM/T 43206-2023）</w:t>
      </w:r>
    </w:p>
    <w:p w14:paraId="10A4D8D7">
      <w:pPr>
        <w:pStyle w:val="2"/>
        <w:ind w:left="0" w:leftChars="0" w:firstLine="210" w:firstLineChars="100"/>
        <w:rPr>
          <w:rFonts w:hint="eastAsia" w:ascii="Noto Sans CJK SC Regular" w:hAnsi="Noto Sans CJK SC Regular" w:eastAsia="Noto Sans CJK SC Regular" w:cs="Noto Sans CJK SC Regular"/>
          <w:snapToGrid w:val="0"/>
          <w:color w:val="000000"/>
          <w:kern w:val="0"/>
          <w:sz w:val="24"/>
          <w:szCs w:val="24"/>
          <w:lang w:val="en-US" w:eastAsia="en-US" w:bidi="ar-SA"/>
        </w:rPr>
      </w:pPr>
      <w:r>
        <w:rPr>
          <w:position w:val="-3"/>
        </w:rPr>
        <w:drawing>
          <wp:inline distT="0" distB="0" distL="114300" distR="114300">
            <wp:extent cx="137160" cy="168275"/>
            <wp:effectExtent l="0" t="0" r="15240" b="3175"/>
            <wp:docPr id="7" name="图片 29"/>
            <wp:cNvGraphicFramePr/>
            <a:graphic xmlns:a="http://schemas.openxmlformats.org/drawingml/2006/main">
              <a:graphicData uri="http://schemas.openxmlformats.org/drawingml/2006/picture">
                <pic:pic xmlns:pic="http://schemas.openxmlformats.org/drawingml/2006/picture">
                  <pic:nvPicPr>
                    <pic:cNvPr id="7" name="图片 29"/>
                    <pic:cNvPicPr/>
                  </pic:nvPicPr>
                  <pic:blipFill>
                    <a:blip r:embed="rId6"/>
                    <a:stretch>
                      <a:fillRect/>
                    </a:stretch>
                  </pic:blipFill>
                  <pic:spPr>
                    <a:xfrm>
                      <a:off x="0" y="0"/>
                      <a:ext cx="137160" cy="168275"/>
                    </a:xfrm>
                    <a:prstGeom prst="rect">
                      <a:avLst/>
                    </a:prstGeom>
                    <a:noFill/>
                    <a:ln>
                      <a:noFill/>
                    </a:ln>
                  </pic:spPr>
                </pic:pic>
              </a:graphicData>
            </a:graphic>
          </wp:inline>
        </w:drawing>
      </w:r>
      <w:r>
        <w:rPr>
          <w:spacing w:val="14"/>
        </w:rPr>
        <w:t xml:space="preserve"> </w:t>
      </w:r>
      <w:r>
        <w:rPr>
          <w:rFonts w:hint="eastAsia" w:ascii="Noto Sans CJK SC Regular" w:hAnsi="Noto Sans CJK SC Regular" w:eastAsia="Noto Sans CJK SC Regular" w:cs="Noto Sans CJK SC Regular"/>
          <w:snapToGrid w:val="0"/>
          <w:color w:val="000000"/>
          <w:kern w:val="0"/>
          <w:sz w:val="24"/>
          <w:szCs w:val="24"/>
          <w:lang w:val="en-US" w:eastAsia="en-US" w:bidi="ar-SA"/>
        </w:rPr>
        <w:t>《信息系统密码应用测评过程指南》（GM/T 0116—2021）</w:t>
      </w:r>
    </w:p>
    <w:p w14:paraId="5BE25369">
      <w:pPr>
        <w:rPr>
          <w:rFonts w:hint="eastAsia"/>
        </w:rPr>
      </w:pPr>
      <w:r>
        <w:rPr>
          <w:rFonts w:hint="eastAsia"/>
          <w:position w:val="-3"/>
          <w:lang w:val="en-US" w:eastAsia="zh-CN"/>
        </w:rPr>
        <w:t xml:space="preserve">  </w:t>
      </w:r>
      <w:r>
        <w:rPr>
          <w:position w:val="-3"/>
        </w:rPr>
        <w:drawing>
          <wp:inline distT="0" distB="0" distL="114300" distR="114300">
            <wp:extent cx="137160" cy="168275"/>
            <wp:effectExtent l="0" t="0" r="15240" b="3175"/>
            <wp:docPr id="8" name="图片 34"/>
            <wp:cNvGraphicFramePr/>
            <a:graphic xmlns:a="http://schemas.openxmlformats.org/drawingml/2006/main">
              <a:graphicData uri="http://schemas.openxmlformats.org/drawingml/2006/picture">
                <pic:pic xmlns:pic="http://schemas.openxmlformats.org/drawingml/2006/picture">
                  <pic:nvPicPr>
                    <pic:cNvPr id="8" name="图片 34"/>
                    <pic:cNvPicPr/>
                  </pic:nvPicPr>
                  <pic:blipFill>
                    <a:blip r:embed="rId6"/>
                    <a:stretch>
                      <a:fillRect/>
                    </a:stretch>
                  </pic:blipFill>
                  <pic:spPr>
                    <a:xfrm>
                      <a:off x="0" y="0"/>
                      <a:ext cx="137160" cy="168275"/>
                    </a:xfrm>
                    <a:prstGeom prst="rect">
                      <a:avLst/>
                    </a:prstGeom>
                    <a:noFill/>
                    <a:ln>
                      <a:noFill/>
                    </a:ln>
                  </pic:spPr>
                </pic:pic>
              </a:graphicData>
            </a:graphic>
          </wp:inline>
        </w:drawing>
      </w:r>
      <w:r>
        <w:rPr>
          <w:rFonts w:hint="eastAsia"/>
          <w:position w:val="-3"/>
          <w:lang w:val="en-US" w:eastAsia="zh-CN"/>
        </w:rPr>
        <w:t xml:space="preserve">   </w:t>
      </w:r>
      <w:r>
        <w:rPr>
          <w:rFonts w:hint="eastAsia"/>
        </w:rPr>
        <w:t>其他密码管理相关规定</w:t>
      </w:r>
    </w:p>
    <w:p w14:paraId="1A2F4A3B">
      <w:pPr>
        <w:rPr>
          <w:rFonts w:hint="eastAsia"/>
          <w:b/>
          <w:bCs/>
          <w:sz w:val="24"/>
          <w:szCs w:val="24"/>
        </w:rPr>
      </w:pPr>
      <w:r>
        <w:rPr>
          <w:rFonts w:hint="eastAsia"/>
          <w:b/>
          <w:bCs/>
          <w:sz w:val="24"/>
          <w:szCs w:val="24"/>
        </w:rPr>
        <w:t>3.2  商用密码应用安全性评估与整改咨询服务</w:t>
      </w:r>
    </w:p>
    <w:p w14:paraId="17E03F08">
      <w:pPr>
        <w:keepNext w:val="0"/>
        <w:keepLines w:val="0"/>
        <w:pageBreakBefore w:val="0"/>
        <w:widowControl/>
        <w:kinsoku w:val="0"/>
        <w:wordWrap/>
        <w:overflowPunct/>
        <w:topLinePunct w:val="0"/>
        <w:autoSpaceDE w:val="0"/>
        <w:autoSpaceDN w:val="0"/>
        <w:bidi w:val="0"/>
        <w:adjustRightInd w:val="0"/>
        <w:snapToGrid w:val="0"/>
        <w:ind w:firstLine="480" w:firstLineChars="200"/>
        <w:textAlignment w:val="baseline"/>
        <w:rPr>
          <w:rFonts w:hint="eastAsia"/>
        </w:rPr>
      </w:pPr>
      <w:bookmarkStart w:id="0" w:name="_GoBack"/>
      <w:r>
        <w:rPr>
          <w:rFonts w:hint="eastAsia"/>
          <w:sz w:val="24"/>
          <w:szCs w:val="24"/>
        </w:rPr>
        <w:t>为采购人提供商用密码应用安全性评估与整改咨询服务</w:t>
      </w:r>
      <w:r>
        <w:rPr>
          <w:rFonts w:hint="eastAsia"/>
          <w:sz w:val="24"/>
          <w:szCs w:val="24"/>
          <w:lang w:eastAsia="zh-CN"/>
        </w:rPr>
        <w:t>，确保被评估信息系统密码应用符合国家三级密评要求。</w:t>
      </w:r>
      <w:r>
        <w:rPr>
          <w:rFonts w:hint="eastAsia"/>
          <w:sz w:val="24"/>
          <w:szCs w:val="24"/>
        </w:rPr>
        <w:t>依据有关要求对被评估信息系统开展</w:t>
      </w:r>
      <w:r>
        <w:rPr>
          <w:rFonts w:hint="eastAsia"/>
          <w:sz w:val="24"/>
          <w:szCs w:val="24"/>
          <w:lang w:eastAsia="zh-CN"/>
        </w:rPr>
        <w:t>差距分析</w:t>
      </w:r>
      <w:r>
        <w:rPr>
          <w:rFonts w:hint="eastAsia"/>
          <w:sz w:val="24"/>
          <w:szCs w:val="24"/>
        </w:rPr>
        <w:t>，查找漏洞，找出差距，提出有针对性的加强完善密码安全管理和防护建议，</w:t>
      </w:r>
      <w:r>
        <w:rPr>
          <w:rFonts w:hint="eastAsia"/>
          <w:sz w:val="24"/>
          <w:szCs w:val="24"/>
          <w:lang w:eastAsia="zh-CN"/>
        </w:rPr>
        <w:t>指导采购方进行整改，并开展</w:t>
      </w:r>
      <w:r>
        <w:rPr>
          <w:rFonts w:hint="eastAsia"/>
          <w:sz w:val="24"/>
          <w:szCs w:val="24"/>
        </w:rPr>
        <w:t>商用密码应用</w:t>
      </w:r>
      <w:r>
        <w:rPr>
          <w:rFonts w:hint="eastAsia"/>
          <w:sz w:val="24"/>
          <w:szCs w:val="24"/>
          <w:lang w:eastAsia="zh-CN"/>
        </w:rPr>
        <w:t>安全性评估。</w:t>
      </w:r>
      <w:bookmarkEnd w:id="0"/>
    </w:p>
    <w:p w14:paraId="7099BCD0">
      <w:pPr>
        <w:rPr>
          <w:rFonts w:hint="eastAsia"/>
          <w:b/>
          <w:bCs/>
          <w:sz w:val="24"/>
          <w:szCs w:val="24"/>
        </w:rPr>
      </w:pPr>
      <w:r>
        <w:rPr>
          <w:rFonts w:hint="eastAsia"/>
          <w:b/>
          <w:bCs/>
          <w:sz w:val="24"/>
          <w:szCs w:val="24"/>
        </w:rPr>
        <w:t>四 、 服务要求</w:t>
      </w:r>
    </w:p>
    <w:p w14:paraId="23DE54DF">
      <w:pPr>
        <w:rPr>
          <w:rFonts w:hint="eastAsia"/>
          <w:b/>
          <w:bCs/>
          <w:sz w:val="24"/>
          <w:szCs w:val="24"/>
        </w:rPr>
      </w:pPr>
      <w:r>
        <w:rPr>
          <w:rFonts w:hint="eastAsia"/>
          <w:b/>
          <w:bCs/>
          <w:sz w:val="24"/>
          <w:szCs w:val="24"/>
        </w:rPr>
        <w:t>4.1  实施要求</w:t>
      </w:r>
    </w:p>
    <w:p w14:paraId="578E6AD5">
      <w:pPr>
        <w:rPr>
          <w:rFonts w:hint="eastAsia"/>
          <w:sz w:val="24"/>
          <w:szCs w:val="24"/>
        </w:rPr>
      </w:pPr>
      <w:r>
        <w:rPr>
          <w:rFonts w:hint="eastAsia"/>
          <w:sz w:val="24"/>
          <w:szCs w:val="24"/>
        </w:rPr>
        <w:t>本次项目实施及安全服务须满足以下要求：</w:t>
      </w:r>
    </w:p>
    <w:p w14:paraId="3582144A">
      <w:pPr>
        <w:rPr>
          <w:rFonts w:hint="eastAsia"/>
          <w:sz w:val="24"/>
          <w:szCs w:val="24"/>
        </w:rPr>
      </w:pPr>
      <w:r>
        <w:rPr>
          <w:rFonts w:hint="eastAsia"/>
          <w:sz w:val="24"/>
          <w:szCs w:val="24"/>
        </w:rPr>
        <w:t>1 、 最小影响要求： 投标人在</w:t>
      </w:r>
      <w:r>
        <w:rPr>
          <w:rFonts w:hint="eastAsia"/>
          <w:sz w:val="24"/>
          <w:szCs w:val="24"/>
          <w:lang w:eastAsia="zh-CN"/>
        </w:rPr>
        <w:t>项目实施</w:t>
      </w:r>
      <w:r>
        <w:rPr>
          <w:rFonts w:hint="eastAsia"/>
          <w:sz w:val="24"/>
          <w:szCs w:val="24"/>
        </w:rPr>
        <w:t>过程中必须保证系统的正常运行， 不得导致系统运行中断或服务性能明显下降，尽可能降低对系统的负面影响 。在进行有风险的操作前必须出具书面材料，明确风险提示，指导采购人做好应急措施，征得采购人书面许可后并选择业务低峰期进行下一步操作 。</w:t>
      </w:r>
    </w:p>
    <w:p w14:paraId="3EC8AF84">
      <w:pPr>
        <w:rPr>
          <w:rFonts w:hint="eastAsia"/>
          <w:sz w:val="24"/>
          <w:szCs w:val="24"/>
        </w:rPr>
      </w:pPr>
      <w:r>
        <w:rPr>
          <w:rFonts w:hint="eastAsia"/>
          <w:sz w:val="24"/>
          <w:szCs w:val="24"/>
        </w:rPr>
        <w:t>2 、保密要求： 对服务过程中获取的信息严格保密， 包括但不限于采购人网络拓扑结构 、 IP 地址 、业务流程 、业务数据 、安全隐患等， 未经授权不得泄露给任何单位和个人，不得利用保密信息进行任何侵害采购人的合法权益 。</w:t>
      </w:r>
    </w:p>
    <w:p w14:paraId="5491D532">
      <w:pPr>
        <w:rPr>
          <w:rFonts w:hint="eastAsia"/>
          <w:sz w:val="24"/>
          <w:szCs w:val="24"/>
        </w:rPr>
      </w:pPr>
      <w:r>
        <w:rPr>
          <w:rFonts w:hint="eastAsia"/>
          <w:sz w:val="24"/>
          <w:szCs w:val="24"/>
        </w:rPr>
        <w:t xml:space="preserve">3 、客观公正性要求： 项目实施过程中， 必须接受采购人的监督， </w:t>
      </w:r>
      <w:r>
        <w:rPr>
          <w:rFonts w:hint="eastAsia"/>
          <w:sz w:val="24"/>
          <w:szCs w:val="24"/>
          <w:lang w:eastAsia="zh-CN"/>
        </w:rPr>
        <w:t>关键</w:t>
      </w:r>
      <w:r>
        <w:rPr>
          <w:rFonts w:hint="eastAsia"/>
          <w:sz w:val="24"/>
          <w:szCs w:val="24"/>
        </w:rPr>
        <w:t>环节完成后均由采购人进行审核确认， 确保测评工作客观公正性 。</w:t>
      </w:r>
    </w:p>
    <w:p w14:paraId="566FB7BE">
      <w:pPr>
        <w:rPr>
          <w:rFonts w:hint="eastAsia"/>
          <w:sz w:val="24"/>
          <w:szCs w:val="24"/>
        </w:rPr>
      </w:pPr>
      <w:r>
        <w:rPr>
          <w:rFonts w:hint="eastAsia"/>
          <w:sz w:val="24"/>
          <w:szCs w:val="24"/>
        </w:rPr>
        <w:t>4 、规范性要求： 测评实施等必须严格按照国家商用密码应用安全性评估相关标准进行 。 投标人须有严格质量控制体系 , 具备 ISO9001 质量认证体系或ISO20000 或 CNAS 检验机构认可资质，并参照 ISO9001 或 ISO20000 或 CNAS 检验检测体系流程规范实施过程 。</w:t>
      </w:r>
    </w:p>
    <w:p w14:paraId="59F3BAFF">
      <w:pPr>
        <w:rPr>
          <w:rFonts w:hint="eastAsia"/>
          <w:sz w:val="24"/>
          <w:szCs w:val="24"/>
        </w:rPr>
      </w:pPr>
      <w:r>
        <w:rPr>
          <w:rFonts w:hint="eastAsia"/>
          <w:sz w:val="24"/>
          <w:szCs w:val="24"/>
        </w:rPr>
        <w:t>5 、可控性要求： 项目实施必须制定严格的实施计划及进度安排， 经采购人审核确认后执行， 确保项目实施的可控性 。</w:t>
      </w:r>
    </w:p>
    <w:p w14:paraId="1EBC7285">
      <w:pPr>
        <w:numPr>
          <w:ilvl w:val="0"/>
          <w:numId w:val="1"/>
        </w:numPr>
        <w:ind w:left="0" w:leftChars="0" w:firstLine="0" w:firstLineChars="0"/>
        <w:rPr>
          <w:rFonts w:hint="eastAsia"/>
          <w:sz w:val="24"/>
          <w:szCs w:val="24"/>
        </w:rPr>
      </w:pPr>
      <w:r>
        <w:rPr>
          <w:rFonts w:hint="eastAsia"/>
          <w:sz w:val="24"/>
          <w:szCs w:val="24"/>
        </w:rPr>
        <w:t>人员要求</w:t>
      </w:r>
      <w:r>
        <w:rPr>
          <w:rFonts w:hint="eastAsia"/>
          <w:sz w:val="24"/>
          <w:szCs w:val="24"/>
          <w:lang w:eastAsia="zh-CN"/>
        </w:rPr>
        <w:t>：</w:t>
      </w:r>
      <w:r>
        <w:rPr>
          <w:rFonts w:hint="eastAsia"/>
          <w:sz w:val="24"/>
          <w:szCs w:val="24"/>
        </w:rPr>
        <w:t xml:space="preserve">参与项目的测评人员不少于3人，需具备专业的测评能力，参与商用密码应用安全性评估的人员需具备商用密码应用安全性评估人员测评能力考核资质证书。 </w:t>
      </w:r>
    </w:p>
    <w:p w14:paraId="7CC40C7A">
      <w:pPr>
        <w:numPr>
          <w:ilvl w:val="0"/>
          <w:numId w:val="2"/>
        </w:numPr>
        <w:rPr>
          <w:rFonts w:hint="eastAsia"/>
          <w:b/>
          <w:bCs/>
          <w:sz w:val="24"/>
          <w:szCs w:val="24"/>
          <w:lang w:eastAsia="zh-CN"/>
        </w:rPr>
      </w:pPr>
      <w:r>
        <w:rPr>
          <w:rFonts w:hint="eastAsia"/>
          <w:b/>
          <w:bCs/>
          <w:sz w:val="24"/>
          <w:szCs w:val="24"/>
          <w:lang w:eastAsia="zh-CN"/>
        </w:rPr>
        <w:t>服务成果要求</w:t>
      </w:r>
    </w:p>
    <w:p w14:paraId="6BE793CB">
      <w:pPr>
        <w:keepNext w:val="0"/>
        <w:keepLines w:val="0"/>
        <w:pageBreakBefore w:val="0"/>
        <w:widowControl/>
        <w:kinsoku w:val="0"/>
        <w:wordWrap/>
        <w:overflowPunct/>
        <w:topLinePunct w:val="0"/>
        <w:autoSpaceDE w:val="0"/>
        <w:autoSpaceDN w:val="0"/>
        <w:bidi w:val="0"/>
        <w:adjustRightInd w:val="0"/>
        <w:snapToGrid w:val="0"/>
        <w:ind w:firstLine="480" w:firstLineChars="200"/>
        <w:textAlignment w:val="baseline"/>
        <w:rPr>
          <w:rFonts w:hint="eastAsia"/>
        </w:rPr>
      </w:pPr>
      <w:r>
        <w:rPr>
          <w:rFonts w:hint="eastAsia"/>
          <w:sz w:val="24"/>
          <w:szCs w:val="24"/>
        </w:rPr>
        <w:t>出具符合要求的《密码应用安全性评估报告》。</w:t>
      </w:r>
    </w:p>
    <w:p w14:paraId="1CE6A33A"/>
    <w:sectPr>
      <w:pgSz w:w="11900" w:h="16840"/>
      <w:pgMar w:top="1431" w:right="1724" w:bottom="1429"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oto Sans CJK SC Regular">
    <w:altName w:val="宋体"/>
    <w:panose1 w:val="020B0500000000000000"/>
    <w:charset w:val="86"/>
    <w:family w:val="auto"/>
    <w:pitch w:val="default"/>
    <w:sig w:usb0="30000003" w:usb1="2BDF3C10" w:usb2="00000016" w:usb3="00000000" w:csb0="602E01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ECDB81"/>
    <w:multiLevelType w:val="singleLevel"/>
    <w:tmpl w:val="82ECDB81"/>
    <w:lvl w:ilvl="0" w:tentative="0">
      <w:start w:val="5"/>
      <w:numFmt w:val="chineseCounting"/>
      <w:suff w:val="nothing"/>
      <w:lvlText w:val="%1、"/>
      <w:lvlJc w:val="left"/>
      <w:rPr>
        <w:rFonts w:hint="eastAsia"/>
      </w:rPr>
    </w:lvl>
  </w:abstractNum>
  <w:abstractNum w:abstractNumId="1">
    <w:nsid w:val="FFF4DE47"/>
    <w:multiLevelType w:val="singleLevel"/>
    <w:tmpl w:val="FFF4DE47"/>
    <w:lvl w:ilvl="0" w:tentative="0">
      <w:start w:val="3"/>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3728B0"/>
    <w:rsid w:val="4A14638B"/>
    <w:rsid w:val="7BDAF6D5"/>
    <w:rsid w:val="CF37E768"/>
    <w:rsid w:val="CFDFBBF8"/>
    <w:rsid w:val="DBD6A9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Noto Sans CJK SC Regular" w:hAnsi="Noto Sans CJK SC Regular" w:eastAsia="Noto Sans CJK SC Regular" w:cs="Noto Sans CJK SC Regular"/>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4">
    <w:name w:val="Normal Table"/>
    <w:semiHidden/>
    <w:qFormat/>
    <w:uiPriority w:val="0"/>
    <w:tblPr>
      <w:tblStyle w:val="4"/>
      <w:tblCellMar>
        <w:top w:w="0" w:type="dxa"/>
        <w:left w:w="108" w:type="dxa"/>
        <w:bottom w:w="0" w:type="dxa"/>
        <w:right w:w="108" w:type="dxa"/>
      </w:tblCellMar>
    </w:tblPr>
  </w:style>
  <w:style w:type="paragraph" w:customStyle="1" w:styleId="2">
    <w:name w:val="段"/>
    <w:next w:val="1"/>
    <w:qFormat/>
    <w:uiPriority w:val="0"/>
    <w:pPr>
      <w:widowControl w:val="0"/>
      <w:autoSpaceDE w:val="0"/>
      <w:autoSpaceDN w:val="0"/>
      <w:adjustRightInd w:val="0"/>
      <w:spacing w:before="120" w:after="120" w:line="360" w:lineRule="atLeast"/>
      <w:ind w:firstLine="200" w:firstLineChars="200"/>
      <w:jc w:val="both"/>
      <w:textAlignment w:val="baseline"/>
    </w:pPr>
    <w:rPr>
      <w:rFonts w:ascii="宋体" w:hAnsi="Times New Roman" w:eastAsia="宋体" w:cs="Times New Roman"/>
      <w:sz w:val="21"/>
      <w:lang w:val="en-US" w:eastAsia="zh-CN" w:bidi="ar-SA"/>
    </w:rPr>
  </w:style>
  <w:style w:type="paragraph" w:styleId="3">
    <w:name w:val="Body Text"/>
    <w:basedOn w:val="1"/>
    <w:semiHidden/>
    <w:qFormat/>
    <w:uiPriority w:val="0"/>
    <w:rPr>
      <w:rFonts w:ascii="Noto Sans CJK SC Regular" w:hAnsi="Noto Sans CJK SC Regular" w:eastAsia="Noto Sans CJK SC Regular" w:cs="Noto Sans CJK SC Regular"/>
      <w:sz w:val="24"/>
      <w:szCs w:val="24"/>
      <w:lang w:val="en-US" w:eastAsia="en-US" w:bidi="ar-SA"/>
    </w:rPr>
  </w:style>
  <w:style w:type="table" w:styleId="5">
    <w:name w:val="Table Grid"/>
    <w:basedOn w:val="4"/>
    <w:qFormat/>
    <w:uiPriority w:val="39"/>
    <w:tblPr>
      <w:tblStyle w:val="4"/>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1283</Words>
  <Characters>1373</Characters>
  <Lines>0</Lines>
  <Paragraphs>0</Paragraphs>
  <TotalTime>16.6666666666667</TotalTime>
  <ScaleCrop>false</ScaleCrop>
  <LinksUpToDate>false</LinksUpToDate>
  <CharactersWithSpaces>1480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2026-03-11T23:33:14Z</dcterms:created>
  <dc:creator>admin</dc:creator>
  <cp:lastModifiedBy>豆豆龙</cp:lastModifiedBy>
  <dcterms:modified xsi:type="dcterms:W3CDTF">2026-03-16T03:17:42Z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D601C098D80B4BC98E4F8A7896B1C1D2_13</vt:lpwstr>
  </property>
</Properties>
</file>