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FE2E7">
      <w:pPr>
        <w:pStyle w:val="12"/>
        <w:spacing w:line="255" w:lineRule="auto"/>
        <w:rPr>
          <w:rFonts w:hint="default" w:ascii="Times New Roman" w:hAnsi="Times New Roman" w:eastAsia="宋体" w:cs="Times New Roman"/>
          <w:highlight w:val="none"/>
          <w:lang w:val="en-US" w:eastAsia="zh-CN"/>
        </w:rPr>
      </w:pPr>
      <w:bookmarkStart w:id="0" w:name="_GoBack"/>
      <w:bookmarkEnd w:id="0"/>
      <w:r>
        <w:rPr>
          <w:rFonts w:hint="eastAsia" w:ascii="Times New Roman" w:hAnsi="Times New Roman" w:eastAsia="宋体" w:cs="Times New Roman"/>
          <w:highlight w:val="none"/>
          <w:lang w:val="en-US" w:eastAsia="zh-CN"/>
        </w:rPr>
        <w:t xml:space="preserve">    </w:t>
      </w:r>
    </w:p>
    <w:p w14:paraId="49F13C0E">
      <w:pPr>
        <w:pStyle w:val="12"/>
        <w:spacing w:line="255" w:lineRule="auto"/>
        <w:rPr>
          <w:rFonts w:ascii="Times New Roman" w:hAnsi="Times New Roman" w:eastAsia="宋体" w:cs="Times New Roman"/>
          <w:highlight w:val="none"/>
        </w:rPr>
      </w:pPr>
    </w:p>
    <w:p w14:paraId="4E86CCDE">
      <w:pPr>
        <w:pStyle w:val="12"/>
        <w:spacing w:line="255" w:lineRule="auto"/>
        <w:rPr>
          <w:rFonts w:ascii="Times New Roman" w:hAnsi="Times New Roman" w:eastAsia="宋体" w:cs="Times New Roman"/>
          <w:highlight w:val="none"/>
        </w:rPr>
      </w:pPr>
    </w:p>
    <w:p w14:paraId="68ED0A52">
      <w:pPr>
        <w:pStyle w:val="12"/>
        <w:spacing w:line="255" w:lineRule="auto"/>
        <w:rPr>
          <w:rFonts w:ascii="Times New Roman" w:hAnsi="Times New Roman" w:eastAsia="宋体" w:cs="Times New Roman"/>
          <w:highlight w:val="none"/>
        </w:rPr>
      </w:pPr>
    </w:p>
    <w:p w14:paraId="2482F825">
      <w:pPr>
        <w:pStyle w:val="12"/>
        <w:spacing w:line="255" w:lineRule="auto"/>
        <w:rPr>
          <w:rFonts w:ascii="Times New Roman" w:hAnsi="Times New Roman" w:eastAsia="宋体" w:cs="Times New Roman"/>
          <w:highlight w:val="none"/>
        </w:rPr>
      </w:pPr>
    </w:p>
    <w:p w14:paraId="373BEC68">
      <w:pPr>
        <w:pStyle w:val="12"/>
        <w:spacing w:line="255" w:lineRule="auto"/>
        <w:rPr>
          <w:rFonts w:ascii="Times New Roman" w:hAnsi="Times New Roman" w:eastAsia="宋体" w:cs="Times New Roman"/>
          <w:highlight w:val="none"/>
        </w:rPr>
      </w:pPr>
    </w:p>
    <w:p w14:paraId="22688EB2">
      <w:pPr>
        <w:pStyle w:val="12"/>
        <w:spacing w:line="255" w:lineRule="auto"/>
        <w:rPr>
          <w:rFonts w:ascii="Times New Roman" w:hAnsi="Times New Roman" w:eastAsia="宋体" w:cs="Times New Roman"/>
          <w:highlight w:val="none"/>
        </w:rPr>
      </w:pPr>
    </w:p>
    <w:p w14:paraId="5D445977">
      <w:pPr>
        <w:pStyle w:val="12"/>
        <w:spacing w:line="255" w:lineRule="auto"/>
        <w:rPr>
          <w:rFonts w:ascii="Times New Roman" w:hAnsi="Times New Roman" w:eastAsia="宋体" w:cs="Times New Roman"/>
          <w:highlight w:val="none"/>
        </w:rPr>
      </w:pPr>
    </w:p>
    <w:p w14:paraId="31A69981">
      <w:pPr>
        <w:pStyle w:val="12"/>
        <w:spacing w:line="255" w:lineRule="auto"/>
        <w:rPr>
          <w:rFonts w:ascii="Times New Roman" w:hAnsi="Times New Roman" w:eastAsia="宋体" w:cs="Times New Roman"/>
          <w:highlight w:val="none"/>
        </w:rPr>
      </w:pPr>
    </w:p>
    <w:p w14:paraId="57B34FBF">
      <w:pPr>
        <w:pStyle w:val="12"/>
        <w:spacing w:line="256" w:lineRule="auto"/>
        <w:rPr>
          <w:rFonts w:ascii="Times New Roman" w:hAnsi="Times New Roman" w:eastAsia="宋体" w:cs="Times New Roman"/>
          <w:highlight w:val="none"/>
        </w:rPr>
      </w:pPr>
    </w:p>
    <w:p w14:paraId="3777863B">
      <w:pPr>
        <w:pStyle w:val="12"/>
        <w:spacing w:line="256" w:lineRule="auto"/>
        <w:rPr>
          <w:rFonts w:ascii="Times New Roman" w:hAnsi="Times New Roman" w:eastAsia="宋体" w:cs="Times New Roman"/>
          <w:sz w:val="24"/>
          <w:szCs w:val="24"/>
          <w:highlight w:val="none"/>
        </w:rPr>
      </w:pPr>
    </w:p>
    <w:p w14:paraId="1C068B33">
      <w:pPr>
        <w:pStyle w:val="12"/>
        <w:spacing w:line="256" w:lineRule="auto"/>
        <w:rPr>
          <w:rFonts w:ascii="Times New Roman" w:hAnsi="Times New Roman" w:eastAsia="宋体" w:cs="Times New Roman"/>
          <w:sz w:val="24"/>
          <w:szCs w:val="24"/>
          <w:highlight w:val="none"/>
        </w:rPr>
      </w:pPr>
    </w:p>
    <w:p w14:paraId="39FECBB4">
      <w:pPr>
        <w:bidi w:val="0"/>
        <w:ind w:left="0" w:leftChars="0" w:firstLine="0" w:firstLineChars="0"/>
        <w:jc w:val="center"/>
        <w:outlineLvl w:val="9"/>
        <w:rPr>
          <w:rFonts w:hint="eastAsia" w:ascii="黑体" w:hAnsi="黑体" w:eastAsia="黑体" w:cs="黑体"/>
          <w:b/>
          <w:bCs/>
          <w:spacing w:val="3"/>
          <w:sz w:val="36"/>
          <w:szCs w:val="36"/>
          <w:highlight w:val="none"/>
          <w:lang w:eastAsia="zh-CN"/>
        </w:rPr>
      </w:pPr>
      <w:r>
        <w:rPr>
          <w:rFonts w:hint="eastAsia" w:ascii="黑体" w:hAnsi="黑体" w:eastAsia="黑体" w:cs="黑体"/>
          <w:b/>
          <w:bCs/>
          <w:spacing w:val="3"/>
          <w:sz w:val="36"/>
          <w:szCs w:val="36"/>
          <w:highlight w:val="none"/>
          <w:lang w:eastAsia="zh-CN"/>
        </w:rPr>
        <w:t>武汉市肺科医院</w:t>
      </w:r>
    </w:p>
    <w:p w14:paraId="7C1A3F4C">
      <w:pPr>
        <w:bidi w:val="0"/>
        <w:ind w:left="0" w:leftChars="0" w:firstLine="0" w:firstLineChars="0"/>
        <w:jc w:val="center"/>
        <w:outlineLvl w:val="9"/>
        <w:rPr>
          <w:rFonts w:hint="eastAsia" w:ascii="黑体" w:hAnsi="黑体" w:eastAsia="黑体" w:cs="黑体"/>
          <w:b/>
          <w:bCs/>
          <w:spacing w:val="3"/>
          <w:sz w:val="36"/>
          <w:szCs w:val="36"/>
          <w:highlight w:val="none"/>
          <w:lang w:eastAsia="zh-CN"/>
        </w:rPr>
      </w:pPr>
      <w:r>
        <w:rPr>
          <w:rFonts w:hint="eastAsia" w:ascii="黑体" w:hAnsi="黑体" w:eastAsia="黑体" w:cs="黑体"/>
          <w:b/>
          <w:bCs/>
          <w:spacing w:val="3"/>
          <w:sz w:val="36"/>
          <w:szCs w:val="36"/>
          <w:highlight w:val="none"/>
          <w:lang w:eastAsia="zh-CN"/>
        </w:rPr>
        <w:t>2025年</w:t>
      </w:r>
      <w:r>
        <w:rPr>
          <w:rFonts w:hint="eastAsia" w:ascii="黑体" w:hAnsi="黑体" w:eastAsia="黑体" w:cs="黑体"/>
          <w:b/>
          <w:bCs/>
          <w:spacing w:val="3"/>
          <w:sz w:val="36"/>
          <w:szCs w:val="36"/>
          <w:highlight w:val="none"/>
          <w:lang w:val="en-US" w:eastAsia="zh-CN"/>
        </w:rPr>
        <w:t>信息化终端</w:t>
      </w:r>
      <w:r>
        <w:rPr>
          <w:rFonts w:hint="eastAsia" w:ascii="黑体" w:hAnsi="黑体" w:eastAsia="黑体" w:cs="黑体"/>
          <w:b/>
          <w:bCs/>
          <w:spacing w:val="3"/>
          <w:sz w:val="36"/>
          <w:szCs w:val="36"/>
          <w:highlight w:val="none"/>
          <w:lang w:eastAsia="zh-CN"/>
        </w:rPr>
        <w:t>运维服务</w:t>
      </w:r>
    </w:p>
    <w:p w14:paraId="5ACC1057">
      <w:pPr>
        <w:bidi w:val="0"/>
        <w:ind w:left="0" w:leftChars="0" w:firstLine="0" w:firstLineChars="0"/>
        <w:jc w:val="center"/>
        <w:outlineLvl w:val="9"/>
        <w:rPr>
          <w:rFonts w:hint="eastAsia" w:ascii="黑体" w:hAnsi="黑体" w:eastAsia="黑体" w:cs="黑体"/>
          <w:b/>
          <w:bCs/>
          <w:spacing w:val="3"/>
          <w:sz w:val="36"/>
          <w:szCs w:val="36"/>
          <w:highlight w:val="none"/>
          <w:lang w:eastAsia="zh-CN"/>
        </w:rPr>
      </w:pPr>
      <w:r>
        <w:rPr>
          <w:rFonts w:hint="eastAsia" w:ascii="黑体" w:hAnsi="黑体" w:eastAsia="黑体" w:cs="黑体"/>
          <w:b/>
          <w:bCs/>
          <w:spacing w:val="3"/>
          <w:sz w:val="36"/>
          <w:szCs w:val="36"/>
          <w:highlight w:val="none"/>
          <w:lang w:eastAsia="zh-CN"/>
        </w:rPr>
        <w:t>采购需求</w:t>
      </w:r>
    </w:p>
    <w:p w14:paraId="2EB4D7DB">
      <w:pPr>
        <w:ind w:firstLine="0" w:firstLineChars="0"/>
        <w:jc w:val="center"/>
        <w:outlineLvl w:val="9"/>
        <w:rPr>
          <w:rFonts w:ascii="Times New Roman" w:hAnsi="Times New Roman" w:cs="Times New Roman"/>
          <w:highlight w:val="none"/>
          <w:lang w:eastAsia="zh-CN"/>
        </w:rPr>
      </w:pPr>
    </w:p>
    <w:p w14:paraId="680EB534">
      <w:pPr>
        <w:ind w:firstLine="0" w:firstLineChars="0"/>
        <w:jc w:val="center"/>
        <w:rPr>
          <w:rFonts w:ascii="Times New Roman" w:hAnsi="Times New Roman" w:cs="Times New Roman"/>
          <w:highlight w:val="none"/>
          <w:lang w:eastAsia="zh-CN"/>
        </w:rPr>
      </w:pPr>
    </w:p>
    <w:p w14:paraId="73C7175A">
      <w:pPr>
        <w:ind w:firstLine="0" w:firstLineChars="0"/>
        <w:jc w:val="center"/>
        <w:rPr>
          <w:rFonts w:ascii="Times New Roman" w:hAnsi="Times New Roman" w:cs="Times New Roman"/>
          <w:highlight w:val="none"/>
          <w:lang w:eastAsia="zh-CN"/>
        </w:rPr>
      </w:pPr>
    </w:p>
    <w:p w14:paraId="69C931ED">
      <w:pPr>
        <w:ind w:firstLine="0" w:firstLineChars="0"/>
        <w:jc w:val="center"/>
        <w:rPr>
          <w:rFonts w:ascii="Times New Roman" w:hAnsi="Times New Roman" w:cs="Times New Roman"/>
          <w:highlight w:val="none"/>
          <w:lang w:eastAsia="zh-CN"/>
        </w:rPr>
      </w:pPr>
    </w:p>
    <w:p w14:paraId="612A2B50">
      <w:pPr>
        <w:ind w:firstLine="0" w:firstLineChars="0"/>
        <w:jc w:val="center"/>
        <w:rPr>
          <w:rFonts w:ascii="Times New Roman" w:hAnsi="Times New Roman" w:cs="Times New Roman"/>
          <w:highlight w:val="none"/>
          <w:lang w:eastAsia="zh-CN"/>
        </w:rPr>
      </w:pPr>
    </w:p>
    <w:p w14:paraId="5A2AFC9E">
      <w:pPr>
        <w:ind w:firstLine="0" w:firstLineChars="0"/>
        <w:jc w:val="center"/>
        <w:rPr>
          <w:rFonts w:ascii="Times New Roman" w:hAnsi="Times New Roman" w:cs="Times New Roman"/>
          <w:highlight w:val="none"/>
          <w:lang w:eastAsia="zh-CN"/>
        </w:rPr>
      </w:pPr>
    </w:p>
    <w:p w14:paraId="1CEE33AF">
      <w:pPr>
        <w:tabs>
          <w:tab w:val="left" w:pos="2070"/>
          <w:tab w:val="center" w:pos="4261"/>
        </w:tabs>
        <w:ind w:firstLine="0" w:firstLineChars="0"/>
        <w:jc w:val="left"/>
        <w:rPr>
          <w:rFonts w:ascii="Times New Roman" w:hAnsi="Times New Roman" w:cs="Times New Roman"/>
          <w:highlight w:val="none"/>
          <w:lang w:eastAsia="zh-CN"/>
        </w:rPr>
      </w:pPr>
      <w:r>
        <w:rPr>
          <w:rFonts w:hint="default" w:ascii="Times New Roman" w:hAnsi="Times New Roman" w:cs="Times New Roman"/>
          <w:highlight w:val="none"/>
          <w:lang w:eastAsia="zh-CN"/>
        </w:rPr>
        <w:tab/>
      </w:r>
      <w:r>
        <w:rPr>
          <w:rFonts w:hint="default" w:ascii="Times New Roman" w:hAnsi="Times New Roman" w:cs="Times New Roman"/>
          <w:highlight w:val="none"/>
          <w:lang w:eastAsia="zh-CN"/>
        </w:rPr>
        <w:tab/>
      </w:r>
      <w:r>
        <w:rPr>
          <w:rFonts w:hint="default" w:ascii="Times New Roman" w:hAnsi="Times New Roman" w:cs="Times New Roman"/>
          <w:highlight w:val="none"/>
          <w:lang w:eastAsia="zh-CN"/>
        </w:rPr>
        <w:t xml:space="preserve"> </w:t>
      </w:r>
    </w:p>
    <w:p w14:paraId="34462042">
      <w:pPr>
        <w:ind w:firstLine="0" w:firstLineChars="0"/>
        <w:jc w:val="center"/>
        <w:rPr>
          <w:rFonts w:ascii="Times New Roman" w:hAnsi="Times New Roman" w:cs="Times New Roman"/>
          <w:highlight w:val="none"/>
          <w:lang w:eastAsia="zh-CN"/>
        </w:rPr>
      </w:pPr>
    </w:p>
    <w:p w14:paraId="48191BBD">
      <w:pPr>
        <w:ind w:firstLine="0" w:firstLineChars="0"/>
        <w:jc w:val="center"/>
        <w:rPr>
          <w:rFonts w:ascii="Times New Roman" w:hAnsi="Times New Roman" w:cs="Times New Roman"/>
          <w:highlight w:val="none"/>
          <w:lang w:eastAsia="zh-CN"/>
        </w:rPr>
      </w:pPr>
    </w:p>
    <w:p w14:paraId="5D83E94E">
      <w:pPr>
        <w:ind w:firstLine="0" w:firstLineChars="0"/>
        <w:jc w:val="center"/>
        <w:rPr>
          <w:rFonts w:ascii="Times New Roman" w:hAnsi="Times New Roman" w:cs="Times New Roman"/>
          <w:highlight w:val="none"/>
          <w:lang w:eastAsia="zh-CN"/>
        </w:rPr>
      </w:pPr>
    </w:p>
    <w:p w14:paraId="1CCDF91B">
      <w:pPr>
        <w:ind w:firstLine="0" w:firstLineChars="0"/>
        <w:jc w:val="center"/>
        <w:rPr>
          <w:rFonts w:ascii="Times New Roman" w:hAnsi="Times New Roman" w:cs="Times New Roman"/>
          <w:highlight w:val="none"/>
          <w:lang w:eastAsia="zh-CN"/>
        </w:rPr>
      </w:pPr>
    </w:p>
    <w:p w14:paraId="45476670">
      <w:pPr>
        <w:ind w:firstLine="0" w:firstLineChars="0"/>
        <w:jc w:val="center"/>
        <w:rPr>
          <w:rFonts w:ascii="Times New Roman" w:hAnsi="Times New Roman" w:cs="Times New Roman"/>
          <w:highlight w:val="none"/>
          <w:lang w:eastAsia="zh-CN"/>
        </w:rPr>
      </w:pPr>
    </w:p>
    <w:p w14:paraId="17657B4D">
      <w:pPr>
        <w:ind w:left="0" w:leftChars="0" w:firstLine="0" w:firstLineChars="0"/>
        <w:jc w:val="center"/>
        <w:outlineLvl w:val="9"/>
        <w:rPr>
          <w:rFonts w:hint="eastAsia" w:ascii="黑体" w:hAnsi="黑体" w:eastAsia="黑体" w:cs="黑体"/>
          <w:b/>
          <w:bCs/>
          <w:spacing w:val="3"/>
          <w:sz w:val="30"/>
          <w:szCs w:val="30"/>
          <w:highlight w:val="none"/>
          <w:lang w:eastAsia="zh-CN"/>
        </w:rPr>
      </w:pPr>
      <w:r>
        <w:rPr>
          <w:rFonts w:hint="eastAsia" w:ascii="黑体" w:hAnsi="黑体" w:eastAsia="黑体" w:cs="黑体"/>
          <w:b/>
          <w:bCs/>
          <w:spacing w:val="3"/>
          <w:sz w:val="30"/>
          <w:szCs w:val="30"/>
          <w:highlight w:val="none"/>
          <w:lang w:eastAsia="zh-CN"/>
        </w:rPr>
        <w:t>202</w:t>
      </w:r>
      <w:r>
        <w:rPr>
          <w:rFonts w:hint="eastAsia" w:ascii="黑体" w:hAnsi="黑体" w:eastAsia="黑体" w:cs="黑体"/>
          <w:b/>
          <w:bCs/>
          <w:spacing w:val="3"/>
          <w:sz w:val="30"/>
          <w:szCs w:val="30"/>
          <w:highlight w:val="none"/>
          <w:lang w:val="en-US" w:eastAsia="zh-CN"/>
        </w:rPr>
        <w:t>5</w:t>
      </w:r>
      <w:r>
        <w:rPr>
          <w:rFonts w:hint="eastAsia" w:ascii="黑体" w:hAnsi="黑体" w:eastAsia="黑体" w:cs="黑体"/>
          <w:b/>
          <w:bCs/>
          <w:spacing w:val="3"/>
          <w:sz w:val="30"/>
          <w:szCs w:val="30"/>
          <w:highlight w:val="none"/>
          <w:lang w:eastAsia="zh-CN"/>
        </w:rPr>
        <w:t>年</w:t>
      </w:r>
      <w:r>
        <w:rPr>
          <w:rFonts w:hint="eastAsia" w:ascii="黑体" w:hAnsi="黑体" w:eastAsia="黑体" w:cs="黑体"/>
          <w:b/>
          <w:bCs/>
          <w:spacing w:val="3"/>
          <w:sz w:val="30"/>
          <w:szCs w:val="30"/>
          <w:highlight w:val="none"/>
          <w:lang w:val="en-US" w:eastAsia="zh-CN"/>
        </w:rPr>
        <w:t>11</w:t>
      </w:r>
      <w:r>
        <w:rPr>
          <w:rFonts w:hint="eastAsia" w:ascii="黑体" w:hAnsi="黑体" w:eastAsia="黑体" w:cs="黑体"/>
          <w:b/>
          <w:bCs/>
          <w:spacing w:val="3"/>
          <w:sz w:val="30"/>
          <w:szCs w:val="30"/>
          <w:highlight w:val="none"/>
          <w:lang w:eastAsia="zh-CN"/>
        </w:rPr>
        <w:t>月</w:t>
      </w:r>
    </w:p>
    <w:p w14:paraId="4B584C1A">
      <w:pPr>
        <w:pStyle w:val="12"/>
        <w:spacing w:line="241" w:lineRule="auto"/>
        <w:ind w:firstLine="0" w:firstLineChars="0"/>
        <w:jc w:val="center"/>
        <w:rPr>
          <w:rFonts w:ascii="Times New Roman" w:hAnsi="Times New Roman" w:eastAsia="宋体" w:cs="Times New Roman"/>
          <w:highlight w:val="none"/>
          <w:lang w:eastAsia="zh-CN"/>
        </w:rPr>
      </w:pPr>
    </w:p>
    <w:p w14:paraId="1B8EE3C5">
      <w:pPr>
        <w:spacing w:before="140" w:line="186" w:lineRule="auto"/>
        <w:ind w:left="3413" w:firstLine="860"/>
        <w:outlineLvl w:val="0"/>
        <w:rPr>
          <w:rFonts w:ascii="Times New Roman" w:hAnsi="Times New Roman" w:eastAsia="宋体" w:cs="Times New Roman"/>
          <w:sz w:val="43"/>
          <w:szCs w:val="43"/>
          <w:highlight w:val="none"/>
          <w:lang w:eastAsia="zh-CN"/>
        </w:rPr>
      </w:pPr>
    </w:p>
    <w:p w14:paraId="326BD8AF">
      <w:pPr>
        <w:spacing w:line="186" w:lineRule="auto"/>
        <w:ind w:firstLine="860"/>
        <w:rPr>
          <w:rFonts w:ascii="Times New Roman" w:hAnsi="Times New Roman" w:eastAsia="宋体" w:cs="Times New Roman"/>
          <w:sz w:val="43"/>
          <w:szCs w:val="43"/>
          <w:highlight w:val="none"/>
          <w:lang w:eastAsia="zh-CN"/>
        </w:rPr>
        <w:sectPr>
          <w:footerReference r:id="rId5" w:type="default"/>
          <w:pgSz w:w="11906" w:h="16839"/>
          <w:pgMar w:top="1431" w:right="1785" w:bottom="1120" w:left="1785" w:header="0" w:footer="958" w:gutter="0"/>
          <w:pgNumType w:fmt="decimal"/>
          <w:cols w:space="720" w:num="1"/>
        </w:sectPr>
      </w:pPr>
    </w:p>
    <w:p w14:paraId="671B19D2">
      <w:pPr>
        <w:pStyle w:val="2"/>
        <w:numPr>
          <w:ilvl w:val="0"/>
          <w:numId w:val="2"/>
        </w:numPr>
        <w:autoSpaceDE/>
        <w:autoSpaceDN/>
        <w:bidi w:val="0"/>
        <w:spacing w:before="0" w:beforeLines="50" w:afterLines="50"/>
        <w:ind w:left="0" w:leftChars="0" w:firstLine="420" w:firstLineChars="0"/>
        <w:jc w:val="both"/>
        <w:rPr>
          <w:rFonts w:hint="default" w:cs="Times New Roman"/>
          <w:sz w:val="28"/>
          <w:szCs w:val="28"/>
          <w:highlight w:val="none"/>
          <w:lang w:val="en-US" w:eastAsia="zh-CN"/>
        </w:rPr>
      </w:pPr>
      <w:r>
        <w:rPr>
          <w:rFonts w:hint="eastAsia" w:cs="Times New Roman"/>
          <w:sz w:val="28"/>
          <w:szCs w:val="28"/>
          <w:highlight w:val="none"/>
          <w:lang w:val="en-US" w:eastAsia="zh-CN"/>
        </w:rPr>
        <w:t>项目介绍</w:t>
      </w:r>
    </w:p>
    <w:p w14:paraId="795BDF1F">
      <w:pPr>
        <w:kinsoku/>
        <w:autoSpaceDE/>
        <w:autoSpaceDN/>
        <w:adjustRightInd/>
        <w:snapToGrid/>
        <w:spacing w:before="0" w:line="360" w:lineRule="auto"/>
        <w:ind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武汉市肺科医院成立于1950年，是集结核病预防控制与肺部疾病临床诊疗及科教研为一体的三级甲等专科医院。近年来，医院先后成为国家感染性疾病临床医学研究中心湖北省分中心、湖北省结核病防治临床技术指导中心、武汉市呼吸疾病诊疗中心、全国结核病医院联盟副主委单位、武汉市结核病临床医学研究中心、湖北省医院协会医院评审评价委员会主委单位、江汉大学附属武汉市肺科医院、中国防痨协会转化医学创新基地、全国耐多药结核病诊疗管理示范区、湖北省首家国家结核药物临床试验基地、华中科技大学同济医学院教学基地、武汉市结核病诊疗中心。</w:t>
      </w:r>
    </w:p>
    <w:p w14:paraId="47CAE7E7">
      <w:pPr>
        <w:kinsoku/>
        <w:autoSpaceDE/>
        <w:autoSpaceDN/>
        <w:adjustRightInd/>
        <w:snapToGrid/>
        <w:spacing w:before="0"/>
        <w:ind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在武汉市委、市政府及市卫生健康委党委的正确领导和支持下，</w:t>
      </w:r>
      <w:r>
        <w:rPr>
          <w:rFonts w:hint="eastAsia" w:ascii="宋体" w:hAnsi="宋体" w:eastAsia="宋体" w:cs="宋体"/>
          <w:sz w:val="24"/>
          <w:szCs w:val="24"/>
          <w:lang w:val="en-US" w:eastAsia="zh-CN"/>
        </w:rPr>
        <w:t>2025年</w:t>
      </w:r>
      <w:r>
        <w:rPr>
          <w:rFonts w:hint="eastAsia" w:ascii="宋体" w:hAnsi="宋体" w:eastAsia="宋体" w:cs="宋体"/>
          <w:sz w:val="24"/>
          <w:szCs w:val="24"/>
          <w:lang w:eastAsia="zh-CN"/>
        </w:rPr>
        <w:t>武汉市肺科医院按照三级甲等医院标准进行设计和建设</w:t>
      </w:r>
      <w:r>
        <w:rPr>
          <w:rFonts w:hint="eastAsia" w:ascii="宋体" w:hAnsi="宋体" w:eastAsia="宋体" w:cs="宋体"/>
          <w:sz w:val="24"/>
          <w:szCs w:val="24"/>
          <w:lang w:val="en-US" w:eastAsia="zh-CN"/>
        </w:rPr>
        <w:t>汉江湾院区已投入使用。</w:t>
      </w:r>
      <w:r>
        <w:rPr>
          <w:rFonts w:hint="eastAsia" w:ascii="宋体" w:hAnsi="宋体" w:eastAsia="宋体" w:cs="宋体"/>
          <w:sz w:val="24"/>
          <w:szCs w:val="24"/>
          <w:lang w:eastAsia="zh-CN"/>
        </w:rPr>
        <w:t>新院区编制床位1000张，总面积约125亩，</w:t>
      </w:r>
      <w:r>
        <w:rPr>
          <w:rFonts w:hint="eastAsia" w:ascii="宋体" w:hAnsi="宋体" w:eastAsia="宋体" w:cs="宋体"/>
          <w:sz w:val="24"/>
          <w:szCs w:val="24"/>
          <w:lang w:val="en-US" w:eastAsia="zh-CN"/>
        </w:rPr>
        <w:t>同时宝丰路院区同时保持运营，是一家</w:t>
      </w:r>
      <w:r>
        <w:rPr>
          <w:rFonts w:hint="eastAsia" w:ascii="宋体" w:hAnsi="宋体" w:eastAsia="宋体" w:cs="宋体"/>
          <w:sz w:val="24"/>
          <w:szCs w:val="24"/>
          <w:lang w:eastAsia="zh-CN"/>
        </w:rPr>
        <w:t>在全国具有影响的以呼吸道疾病为特色的综合性专科医院。</w:t>
      </w:r>
      <w:r>
        <w:rPr>
          <w:rFonts w:hint="eastAsia" w:ascii="宋体" w:hAnsi="宋体" w:eastAsia="宋体" w:cs="宋体"/>
          <w:spacing w:val="0"/>
          <w:sz w:val="24"/>
          <w:szCs w:val="24"/>
          <w:lang w:eastAsia="zh-CN"/>
        </w:rPr>
        <w:t>为保</w:t>
      </w:r>
      <w:r>
        <w:rPr>
          <w:rFonts w:hint="eastAsia" w:ascii="宋体" w:hAnsi="宋体" w:eastAsia="宋体" w:cs="宋体"/>
          <w:sz w:val="24"/>
          <w:szCs w:val="24"/>
          <w:lang w:val="en-US" w:eastAsia="zh-CN"/>
        </w:rPr>
        <w:t>障宝丰路院区、汉江湾院区</w:t>
      </w:r>
      <w:r>
        <w:rPr>
          <w:rFonts w:hint="eastAsia" w:ascii="宋体" w:hAnsi="宋体" w:eastAsia="宋体" w:cs="宋体"/>
          <w:sz w:val="24"/>
          <w:szCs w:val="24"/>
          <w:lang w:eastAsia="zh-CN"/>
        </w:rPr>
        <w:t>信息化终端</w:t>
      </w:r>
      <w:r>
        <w:rPr>
          <w:rFonts w:hint="eastAsia" w:ascii="宋体" w:hAnsi="宋体" w:eastAsia="宋体" w:cs="宋体"/>
          <w:spacing w:val="0"/>
          <w:sz w:val="24"/>
          <w:szCs w:val="24"/>
          <w:lang w:eastAsia="zh-CN"/>
        </w:rPr>
        <w:t>以及</w:t>
      </w:r>
      <w:r>
        <w:rPr>
          <w:rFonts w:hint="eastAsia" w:ascii="宋体" w:hAnsi="宋体" w:eastAsia="宋体" w:cs="宋体"/>
          <w:sz w:val="24"/>
          <w:szCs w:val="24"/>
          <w:lang w:val="en-US" w:eastAsia="zh-CN"/>
        </w:rPr>
        <w:t>信息化</w:t>
      </w:r>
      <w:r>
        <w:rPr>
          <w:rFonts w:hint="eastAsia" w:ascii="宋体" w:hAnsi="宋体" w:eastAsia="宋体" w:cs="宋体"/>
          <w:spacing w:val="0"/>
          <w:sz w:val="24"/>
          <w:szCs w:val="24"/>
          <w:lang w:eastAsia="zh-CN"/>
        </w:rPr>
        <w:t>系统稳定运行，需采购202</w:t>
      </w:r>
      <w:r>
        <w:rPr>
          <w:rFonts w:hint="eastAsia" w:ascii="宋体" w:hAnsi="宋体" w:eastAsia="宋体" w:cs="宋体"/>
          <w:spacing w:val="0"/>
          <w:sz w:val="24"/>
          <w:szCs w:val="24"/>
          <w:lang w:val="en-US" w:eastAsia="zh-CN"/>
        </w:rPr>
        <w:t>5</w:t>
      </w:r>
      <w:r>
        <w:rPr>
          <w:rFonts w:hint="eastAsia" w:ascii="宋体" w:hAnsi="宋体" w:eastAsia="宋体" w:cs="宋体"/>
          <w:spacing w:val="0"/>
          <w:sz w:val="24"/>
          <w:szCs w:val="24"/>
          <w:lang w:eastAsia="zh-CN"/>
        </w:rPr>
        <w:t>年度</w:t>
      </w:r>
      <w:r>
        <w:rPr>
          <w:rFonts w:hint="eastAsia" w:ascii="宋体" w:hAnsi="宋体" w:eastAsia="宋体" w:cs="宋体"/>
          <w:sz w:val="24"/>
          <w:szCs w:val="24"/>
          <w:lang w:eastAsia="zh-CN"/>
        </w:rPr>
        <w:t>信息化终端</w:t>
      </w:r>
      <w:r>
        <w:rPr>
          <w:rFonts w:hint="eastAsia" w:ascii="宋体" w:hAnsi="宋体" w:eastAsia="宋体" w:cs="宋体"/>
          <w:spacing w:val="0"/>
          <w:sz w:val="24"/>
          <w:szCs w:val="24"/>
          <w:lang w:eastAsia="zh-CN"/>
        </w:rPr>
        <w:t>运维服务</w:t>
      </w:r>
      <w:r>
        <w:rPr>
          <w:rFonts w:hint="eastAsia" w:ascii="宋体" w:hAnsi="宋体" w:eastAsia="宋体" w:cs="宋体"/>
          <w:sz w:val="24"/>
          <w:szCs w:val="24"/>
          <w:lang w:eastAsia="zh-CN"/>
        </w:rPr>
        <w:t>，要求投标人针对项目内容实施科学、规范、专业服务。 基本概况如下：</w:t>
      </w:r>
    </w:p>
    <w:p w14:paraId="041E4560">
      <w:pPr>
        <w:kinsoku/>
        <w:autoSpaceDE/>
        <w:autoSpaceDN/>
        <w:adjustRightInd/>
        <w:snapToGrid/>
        <w:spacing w:before="0"/>
        <w:ind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（一）项目名称：2025年信息化终端运维服务</w:t>
      </w:r>
    </w:p>
    <w:p w14:paraId="5446EE5C">
      <w:pPr>
        <w:kinsoku/>
        <w:autoSpaceDE/>
        <w:autoSpaceDN/>
        <w:adjustRightInd/>
        <w:snapToGrid/>
        <w:spacing w:before="0"/>
        <w:ind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（二）运维服务最高限价：</w:t>
      </w:r>
      <w:r>
        <w:rPr>
          <w:rFonts w:hint="eastAsia" w:ascii="宋体" w:hAnsi="宋体" w:eastAsia="宋体" w:cs="宋体"/>
          <w:sz w:val="24"/>
          <w:szCs w:val="24"/>
          <w:lang w:val="en-US" w:eastAsia="zh-CN"/>
        </w:rPr>
        <w:t>4</w:t>
      </w:r>
      <w:r>
        <w:rPr>
          <w:rFonts w:hint="eastAsia" w:ascii="宋体" w:hAnsi="宋体" w:cs="宋体"/>
          <w:sz w:val="24"/>
          <w:szCs w:val="24"/>
          <w:lang w:val="en-US" w:eastAsia="zh-CN"/>
        </w:rPr>
        <w:t>8</w:t>
      </w:r>
      <w:r>
        <w:rPr>
          <w:rFonts w:hint="eastAsia" w:ascii="宋体" w:hAnsi="宋体" w:eastAsia="宋体" w:cs="宋体"/>
          <w:sz w:val="24"/>
          <w:szCs w:val="24"/>
          <w:lang w:eastAsia="zh-CN"/>
        </w:rPr>
        <w:t>万元</w:t>
      </w:r>
    </w:p>
    <w:p w14:paraId="6DA1C9DB">
      <w:pPr>
        <w:kinsoku/>
        <w:autoSpaceDE/>
        <w:autoSpaceDN/>
        <w:adjustRightInd/>
        <w:snapToGrid/>
        <w:spacing w:before="0"/>
        <w:ind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（三）运维期限：自合同签订之日起至运维服务满1年且履约验收合格止</w:t>
      </w:r>
    </w:p>
    <w:p w14:paraId="50F377EE">
      <w:pPr>
        <w:kinsoku/>
        <w:autoSpaceDE/>
        <w:autoSpaceDN/>
        <w:adjustRightInd/>
        <w:snapToGrid/>
        <w:spacing w:before="0"/>
        <w:ind w:firstLine="480" w:firstLineChars="200"/>
        <w:jc w:val="left"/>
        <w:textAlignment w:val="auto"/>
        <w:outlineLvl w:val="9"/>
        <w:rPr>
          <w:rFonts w:hint="default" w:ascii="宋体" w:hAnsi="宋体" w:eastAsia="宋体" w:cs="宋体"/>
          <w:spacing w:val="0"/>
          <w:sz w:val="24"/>
          <w:szCs w:val="24"/>
          <w:lang w:eastAsia="zh-CN"/>
        </w:rPr>
      </w:pPr>
      <w:r>
        <w:rPr>
          <w:rFonts w:hint="eastAsia" w:ascii="宋体" w:hAnsi="宋体" w:eastAsia="宋体" w:cs="宋体"/>
          <w:sz w:val="24"/>
          <w:szCs w:val="24"/>
          <w:lang w:eastAsia="zh-CN"/>
        </w:rPr>
        <w:t>（四）采购方式：电子商城</w:t>
      </w:r>
    </w:p>
    <w:p w14:paraId="6B07AA64">
      <w:pPr>
        <w:pStyle w:val="2"/>
        <w:numPr>
          <w:ilvl w:val="0"/>
          <w:numId w:val="2"/>
        </w:numPr>
        <w:autoSpaceDE/>
        <w:autoSpaceDN/>
        <w:bidi w:val="0"/>
        <w:spacing w:before="0" w:beforeLines="50" w:afterLines="50"/>
        <w:ind w:left="0" w:leftChars="0" w:firstLine="420" w:firstLineChars="0"/>
        <w:jc w:val="both"/>
        <w:rPr>
          <w:rFonts w:hint="eastAsia" w:cs="Times New Roman"/>
          <w:sz w:val="28"/>
          <w:szCs w:val="28"/>
          <w:highlight w:val="none"/>
          <w:lang w:val="en-US" w:eastAsia="zh-CN"/>
        </w:rPr>
      </w:pPr>
      <w:r>
        <w:rPr>
          <w:rFonts w:hint="eastAsia" w:cs="Times New Roman"/>
          <w:sz w:val="28"/>
          <w:szCs w:val="28"/>
          <w:highlight w:val="none"/>
          <w:lang w:val="en-US" w:eastAsia="zh-CN"/>
        </w:rPr>
        <w:t>服务内容</w:t>
      </w:r>
    </w:p>
    <w:p w14:paraId="36DEFFF1">
      <w:pPr>
        <w:pStyle w:val="3"/>
        <w:numPr>
          <w:ilvl w:val="0"/>
          <w:numId w:val="3"/>
        </w:numPr>
        <w:autoSpaceDE/>
        <w:autoSpaceDN/>
        <w:bidi w:val="0"/>
        <w:spacing w:before="0" w:beforeLines="50" w:after="0" w:afterLines="50" w:line="360" w:lineRule="auto"/>
        <w:ind w:left="0" w:leftChars="0" w:firstLine="474" w:firstLineChars="200"/>
        <w:jc w:val="both"/>
        <w:rPr>
          <w:rFonts w:hint="default" w:ascii="Times New Roman" w:hAnsi="Times New Roman" w:eastAsia="宋体" w:cs="Times New Roman"/>
          <w:kern w:val="44"/>
          <w:sz w:val="24"/>
          <w:szCs w:val="24"/>
          <w:highlight w:val="none"/>
          <w:u w:val="none"/>
          <w:lang w:val="en-US" w:eastAsia="zh-CN"/>
        </w:rPr>
      </w:pPr>
      <w:r>
        <w:rPr>
          <w:rFonts w:hint="eastAsia" w:ascii="宋体" w:hAnsi="宋体" w:eastAsia="宋体" w:cs="宋体"/>
          <w:spacing w:val="-2"/>
          <w:sz w:val="24"/>
          <w:szCs w:val="24"/>
          <w:highlight w:val="none"/>
          <w:lang w:eastAsia="zh-CN"/>
        </w:rPr>
        <w:t>全院信息化终端运维</w:t>
      </w:r>
      <w:r>
        <w:rPr>
          <w:rFonts w:hint="eastAsia" w:ascii="Times New Roman" w:hAnsi="Times New Roman" w:eastAsia="宋体" w:cs="Times New Roman"/>
          <w:spacing w:val="-2"/>
          <w:sz w:val="24"/>
          <w:szCs w:val="24"/>
          <w:highlight w:val="none"/>
          <w:lang w:eastAsia="zh-CN"/>
        </w:rPr>
        <w:t>服务</w:t>
      </w:r>
    </w:p>
    <w:p w14:paraId="26AC508F">
      <w:pPr>
        <w:keepNext w:val="0"/>
        <w:keepLines w:val="0"/>
        <w:pageBreakBefore w:val="0"/>
        <w:widowControl/>
        <w:numPr>
          <w:ilvl w:val="0"/>
          <w:numId w:val="4"/>
        </w:numPr>
        <w:kinsoku/>
        <w:wordWrap/>
        <w:overflowPunct/>
        <w:topLinePunct w:val="0"/>
        <w:autoSpaceDE/>
        <w:autoSpaceDN/>
        <w:bidi w:val="0"/>
        <w:adjustRightInd w:val="0"/>
        <w:snapToGrid w:val="0"/>
        <w:spacing w:line="360" w:lineRule="auto"/>
        <w:ind w:left="0" w:firstLine="496" w:firstLineChars="20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信息化终端综合治理管理服务</w:t>
      </w:r>
    </w:p>
    <w:p w14:paraId="4A3ECD50">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cs="Times New Roman"/>
          <w:spacing w:val="4"/>
          <w:sz w:val="24"/>
          <w:szCs w:val="24"/>
          <w:highlight w:val="none"/>
          <w:lang w:val="en-US" w:eastAsia="zh-CN"/>
        </w:rPr>
      </w:pPr>
      <w:r>
        <w:rPr>
          <w:rFonts w:hint="eastAsia" w:ascii="Times New Roman" w:hAnsi="Times New Roman" w:cs="Times New Roman"/>
          <w:spacing w:val="4"/>
          <w:sz w:val="24"/>
          <w:szCs w:val="24"/>
          <w:highlight w:val="none"/>
          <w:lang w:val="en-US" w:eastAsia="zh-CN"/>
        </w:rPr>
        <w:t>负责信息化终端服务的整体管理与统筹，监督工程师工作进度；</w:t>
      </w:r>
    </w:p>
    <w:p w14:paraId="5E7F89E4">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提供服务台坐席，接听并分配服务请求；</w:t>
      </w:r>
    </w:p>
    <w:p w14:paraId="6C7870F2">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负责驻场工程师的日常工作分派与工单处理管理；</w:t>
      </w:r>
    </w:p>
    <w:p w14:paraId="04526652">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定期进行服务数据统计、总结与报告编制；</w:t>
      </w:r>
    </w:p>
    <w:p w14:paraId="40B66285">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出具月度报告、用户满意度调查结果；</w:t>
      </w:r>
    </w:p>
    <w:p w14:paraId="197CCDBC">
      <w:pPr>
        <w:keepNext w:val="0"/>
        <w:keepLines w:val="0"/>
        <w:pageBreakBefore w:val="0"/>
        <w:widowControl/>
        <w:numPr>
          <w:ilvl w:val="0"/>
          <w:numId w:val="5"/>
        </w:numPr>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协助信息科人员排班及其他日常事务处理。</w:t>
      </w:r>
    </w:p>
    <w:p w14:paraId="54EFCE37">
      <w:pPr>
        <w:keepNext w:val="0"/>
        <w:keepLines w:val="0"/>
        <w:pageBreakBefore w:val="0"/>
        <w:widowControl/>
        <w:numPr>
          <w:ilvl w:val="0"/>
          <w:numId w:val="4"/>
        </w:numPr>
        <w:tabs>
          <w:tab w:val="clear" w:pos="0"/>
        </w:tabs>
        <w:kinsoku/>
        <w:wordWrap/>
        <w:overflowPunct/>
        <w:topLinePunct w:val="0"/>
        <w:autoSpaceDE/>
        <w:autoSpaceDN/>
        <w:bidi w:val="0"/>
        <w:adjustRightInd w:val="0"/>
        <w:snapToGrid w:val="0"/>
        <w:spacing w:line="360" w:lineRule="auto"/>
        <w:ind w:left="0" w:firstLine="496" w:firstLineChars="20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云桌面运维服务</w:t>
      </w:r>
    </w:p>
    <w:p w14:paraId="77A12E17">
      <w:pPr>
        <w:keepNext w:val="0"/>
        <w:keepLines w:val="0"/>
        <w:pageBreakBefore w:val="0"/>
        <w:widowControl/>
        <w:numPr>
          <w:ilvl w:val="0"/>
          <w:numId w:val="6"/>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负责云桌面PC的运行维护，保障医院医疗业务系统在PC端正常运行；</w:t>
      </w:r>
    </w:p>
    <w:p w14:paraId="00CE8080">
      <w:pPr>
        <w:keepNext w:val="0"/>
        <w:keepLines w:val="0"/>
        <w:pageBreakBefore w:val="0"/>
        <w:widowControl/>
        <w:numPr>
          <w:ilvl w:val="0"/>
          <w:numId w:val="6"/>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通过云桌面处理信息化终端（电脑、外设等）的系统及软件故障。</w:t>
      </w:r>
    </w:p>
    <w:p w14:paraId="2622ECAA">
      <w:pPr>
        <w:keepNext w:val="0"/>
        <w:keepLines w:val="0"/>
        <w:pageBreakBefore w:val="0"/>
        <w:widowControl/>
        <w:numPr>
          <w:ilvl w:val="0"/>
          <w:numId w:val="4"/>
        </w:numPr>
        <w:tabs>
          <w:tab w:val="clear" w:pos="0"/>
        </w:tabs>
        <w:kinsoku/>
        <w:wordWrap/>
        <w:overflowPunct/>
        <w:topLinePunct w:val="0"/>
        <w:autoSpaceDE/>
        <w:autoSpaceDN/>
        <w:bidi w:val="0"/>
        <w:adjustRightInd w:val="0"/>
        <w:snapToGrid w:val="0"/>
        <w:spacing w:line="360" w:lineRule="auto"/>
        <w:ind w:left="0" w:firstLine="496" w:firstLineChars="20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会议支持服务</w:t>
      </w:r>
    </w:p>
    <w:p w14:paraId="573014CC">
      <w:pPr>
        <w:keepNext w:val="0"/>
        <w:keepLines w:val="0"/>
        <w:pageBreakBefore w:val="0"/>
        <w:widowControl/>
        <w:numPr>
          <w:ilvl w:val="0"/>
          <w:numId w:val="7"/>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负责新老院区6个会议室设备调试与会议现场技术支持工作；</w:t>
      </w:r>
    </w:p>
    <w:p w14:paraId="42081155">
      <w:pPr>
        <w:keepNext w:val="0"/>
        <w:keepLines w:val="0"/>
        <w:pageBreakBefore w:val="0"/>
        <w:widowControl/>
        <w:numPr>
          <w:ilvl w:val="0"/>
          <w:numId w:val="7"/>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协助医院其它部门进行院内信息发布系统（电视机、LED屏幕等）的信息发布，系统维护、定期巡检及运行管理；</w:t>
      </w:r>
    </w:p>
    <w:p w14:paraId="5D571126">
      <w:pPr>
        <w:keepNext w:val="0"/>
        <w:keepLines w:val="0"/>
        <w:pageBreakBefore w:val="0"/>
        <w:widowControl/>
        <w:numPr>
          <w:ilvl w:val="0"/>
          <w:numId w:val="7"/>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协助信息科进行内部报销、资产盘点与台账管理。</w:t>
      </w:r>
    </w:p>
    <w:p w14:paraId="587D171D">
      <w:pPr>
        <w:keepNext w:val="0"/>
        <w:keepLines w:val="0"/>
        <w:pageBreakBefore w:val="0"/>
        <w:widowControl/>
        <w:numPr>
          <w:ilvl w:val="0"/>
          <w:numId w:val="4"/>
        </w:numPr>
        <w:tabs>
          <w:tab w:val="clear" w:pos="0"/>
        </w:tabs>
        <w:kinsoku/>
        <w:wordWrap/>
        <w:overflowPunct/>
        <w:topLinePunct w:val="0"/>
        <w:autoSpaceDE/>
        <w:autoSpaceDN/>
        <w:bidi w:val="0"/>
        <w:adjustRightInd w:val="0"/>
        <w:snapToGrid w:val="0"/>
        <w:spacing w:line="360" w:lineRule="auto"/>
        <w:ind w:left="0" w:firstLine="496" w:firstLineChars="20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其它终端运维服务</w:t>
      </w:r>
    </w:p>
    <w:p w14:paraId="6CF85615">
      <w:pPr>
        <w:keepNext w:val="0"/>
        <w:keepLines w:val="0"/>
        <w:pageBreakBefore w:val="0"/>
        <w:widowControl/>
        <w:numPr>
          <w:ilvl w:val="0"/>
          <w:numId w:val="8"/>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处理信息化终端（电脑、外设等）的系统及软件现场故障；</w:t>
      </w:r>
    </w:p>
    <w:p w14:paraId="3F345F9D">
      <w:pPr>
        <w:keepNext w:val="0"/>
        <w:keepLines w:val="0"/>
        <w:pageBreakBefore w:val="0"/>
        <w:widowControl/>
        <w:numPr>
          <w:ilvl w:val="0"/>
          <w:numId w:val="8"/>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收集并反馈现场遇到的普遍性问题；</w:t>
      </w:r>
    </w:p>
    <w:p w14:paraId="44CDF727">
      <w:pPr>
        <w:keepNext w:val="0"/>
        <w:keepLines w:val="0"/>
        <w:pageBreakBefore w:val="0"/>
        <w:widowControl/>
        <w:numPr>
          <w:ilvl w:val="0"/>
          <w:numId w:val="8"/>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科内临时性工作安排。</w:t>
      </w:r>
    </w:p>
    <w:p w14:paraId="7BF2360E">
      <w:pPr>
        <w:pStyle w:val="3"/>
        <w:keepNext w:val="0"/>
        <w:keepLines w:val="0"/>
        <w:pageBreakBefore w:val="0"/>
        <w:widowControl/>
        <w:numPr>
          <w:ilvl w:val="0"/>
          <w:numId w:val="3"/>
        </w:numPr>
        <w:kinsoku/>
        <w:wordWrap/>
        <w:overflowPunct/>
        <w:topLinePunct w:val="0"/>
        <w:autoSpaceDE/>
        <w:autoSpaceDN/>
        <w:bidi w:val="0"/>
        <w:adjustRightInd w:val="0"/>
        <w:snapToGrid w:val="0"/>
        <w:spacing w:before="0" w:beforeLines="50" w:after="0" w:afterLines="50"/>
        <w:ind w:left="0" w:firstLine="474" w:firstLineChars="200"/>
        <w:jc w:val="both"/>
        <w:textAlignment w:val="baseline"/>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应急支持服务</w:t>
      </w:r>
    </w:p>
    <w:p w14:paraId="4DD735B8">
      <w:pPr>
        <w:keepNext w:val="0"/>
        <w:keepLines w:val="0"/>
        <w:pageBreakBefore w:val="0"/>
        <w:widowControl/>
        <w:numPr>
          <w:ilvl w:val="0"/>
          <w:numId w:val="9"/>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作为各岗位的备岗人员，确保服务连续性。</w:t>
      </w:r>
    </w:p>
    <w:p w14:paraId="0ABB84D7">
      <w:pPr>
        <w:keepNext w:val="0"/>
        <w:keepLines w:val="0"/>
        <w:pageBreakBefore w:val="0"/>
        <w:widowControl/>
        <w:numPr>
          <w:ilvl w:val="0"/>
          <w:numId w:val="9"/>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每个周末院区巡检8:00~10:00</w:t>
      </w:r>
    </w:p>
    <w:p w14:paraId="02E94A83">
      <w:pPr>
        <w:keepNext w:val="0"/>
        <w:keepLines w:val="0"/>
        <w:pageBreakBefore w:val="0"/>
        <w:widowControl/>
        <w:numPr>
          <w:ilvl w:val="0"/>
          <w:numId w:val="9"/>
        </w:numPr>
        <w:tabs>
          <w:tab w:val="clear" w:pos="840"/>
        </w:tabs>
        <w:kinsoku/>
        <w:wordWrap/>
        <w:overflowPunct/>
        <w:topLinePunct w:val="0"/>
        <w:autoSpaceDE/>
        <w:autoSpaceDN/>
        <w:bidi w:val="0"/>
        <w:adjustRightInd w:val="0"/>
        <w:snapToGrid w:val="0"/>
        <w:spacing w:line="360" w:lineRule="auto"/>
        <w:ind w:left="1265" w:hanging="425" w:firstLineChars="0"/>
        <w:jc w:val="both"/>
        <w:textAlignment w:val="baseline"/>
        <w:rPr>
          <w:rFonts w:hint="eastAsia" w:ascii="Times New Roman" w:hAnsi="Times New Roman" w:eastAsia="宋体" w:cs="Times New Roman"/>
          <w:spacing w:val="4"/>
          <w:sz w:val="24"/>
          <w:szCs w:val="24"/>
          <w:highlight w:val="none"/>
          <w:lang w:val="en-US" w:eastAsia="zh-CN"/>
        </w:rPr>
      </w:pPr>
      <w:r>
        <w:rPr>
          <w:rFonts w:hint="eastAsia" w:ascii="Times New Roman" w:hAnsi="Times New Roman" w:eastAsia="宋体" w:cs="Times New Roman"/>
          <w:spacing w:val="4"/>
          <w:sz w:val="24"/>
          <w:szCs w:val="24"/>
          <w:highlight w:val="none"/>
          <w:lang w:val="en-US" w:eastAsia="zh-CN"/>
        </w:rPr>
        <w:t>提供临时性、紧急性事务的快速人员支撑。</w:t>
      </w:r>
    </w:p>
    <w:p w14:paraId="79BD4D4F">
      <w:pPr>
        <w:pStyle w:val="2"/>
        <w:numPr>
          <w:ilvl w:val="0"/>
          <w:numId w:val="2"/>
        </w:numPr>
        <w:autoSpaceDE/>
        <w:autoSpaceDN/>
        <w:bidi w:val="0"/>
        <w:spacing w:before="0" w:beforeLines="50" w:afterLines="50"/>
        <w:ind w:left="0" w:leftChars="0" w:firstLine="420" w:firstLineChars="0"/>
        <w:jc w:val="both"/>
        <w:rPr>
          <w:rFonts w:hint="eastAsia" w:cs="Times New Roman"/>
          <w:sz w:val="28"/>
          <w:szCs w:val="28"/>
          <w:highlight w:val="none"/>
          <w:lang w:val="en-US" w:eastAsia="zh-CN"/>
        </w:rPr>
      </w:pPr>
      <w:r>
        <w:rPr>
          <w:rFonts w:hint="eastAsia" w:cs="Times New Roman"/>
          <w:sz w:val="28"/>
          <w:szCs w:val="28"/>
          <w:highlight w:val="none"/>
          <w:lang w:val="en-US" w:eastAsia="zh-CN"/>
        </w:rPr>
        <w:t>运维服务要求</w:t>
      </w:r>
    </w:p>
    <w:p w14:paraId="290E8784">
      <w:pPr>
        <w:pStyle w:val="3"/>
        <w:numPr>
          <w:ilvl w:val="0"/>
          <w:numId w:val="10"/>
        </w:numPr>
        <w:autoSpaceDE/>
        <w:autoSpaceDN/>
        <w:bidi w:val="0"/>
        <w:spacing w:before="0" w:beforeLines="50" w:after="0" w:afterLines="50" w:line="360" w:lineRule="auto"/>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val="en-US" w:eastAsia="zh-CN"/>
        </w:rPr>
        <w:t>人员要求及服务方式</w:t>
      </w:r>
    </w:p>
    <w:p w14:paraId="1D1AF17D">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人员数量：提供至少5人以上驻场人员，备岗人员至少4人以上，需要提供驻场人员近三个月社保截图。</w:t>
      </w:r>
    </w:p>
    <w:p w14:paraId="20FE6D83">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服务方式：驻场</w:t>
      </w:r>
    </w:p>
    <w:p w14:paraId="0203D838">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服务时间：5*8，周末提供现场巡检，非工作时间，需要保持手机畅通，以响应紧急事件。</w:t>
      </w:r>
    </w:p>
    <w:p w14:paraId="03DB73E9">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驻场运维</w:t>
      </w:r>
      <w:r>
        <w:rPr>
          <w:rFonts w:hint="eastAsia" w:ascii="宋体" w:hAnsi="宋体" w:cs="宋体"/>
          <w:spacing w:val="4"/>
          <w:sz w:val="24"/>
          <w:szCs w:val="24"/>
          <w:highlight w:val="none"/>
          <w:lang w:eastAsia="zh-CN"/>
        </w:rPr>
        <w:t>人员</w:t>
      </w:r>
      <w:r>
        <w:rPr>
          <w:rFonts w:hint="eastAsia" w:ascii="宋体" w:hAnsi="宋体" w:cs="宋体"/>
          <w:spacing w:val="4"/>
          <w:sz w:val="24"/>
          <w:szCs w:val="24"/>
          <w:highlight w:val="none"/>
          <w:lang w:val="en-US" w:eastAsia="zh-CN"/>
        </w:rPr>
        <w:t>要求</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lang w:val="en-US" w:eastAsia="zh-CN"/>
        </w:rPr>
        <w:t>计算机相关专业，大专以上学历，其中2人至少5年以上IT运维相关工作经验。</w:t>
      </w:r>
    </w:p>
    <w:p w14:paraId="2D98544D">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备岗人员要求：</w:t>
      </w:r>
      <w:r>
        <w:rPr>
          <w:rFonts w:hint="eastAsia" w:ascii="宋体" w:hAnsi="宋体" w:cs="宋体"/>
          <w:spacing w:val="4"/>
          <w:sz w:val="24"/>
          <w:szCs w:val="24"/>
          <w:highlight w:val="none"/>
          <w:lang w:eastAsia="zh-CN"/>
        </w:rPr>
        <w:t>支持人员需具备2 年及以上医院 IT 运维经验，熟悉医院</w:t>
      </w:r>
      <w:r>
        <w:rPr>
          <w:rFonts w:hint="eastAsia" w:ascii="宋体" w:hAnsi="宋体" w:cs="宋体"/>
          <w:spacing w:val="4"/>
          <w:sz w:val="24"/>
          <w:szCs w:val="24"/>
          <w:highlight w:val="none"/>
          <w:lang w:val="en-US" w:eastAsia="zh-CN"/>
        </w:rPr>
        <w:t>环境</w:t>
      </w:r>
      <w:r>
        <w:rPr>
          <w:rFonts w:hint="eastAsia" w:ascii="宋体" w:hAnsi="宋体" w:cs="宋体"/>
          <w:spacing w:val="4"/>
          <w:sz w:val="24"/>
          <w:szCs w:val="24"/>
          <w:highlight w:val="none"/>
          <w:lang w:eastAsia="zh-CN"/>
        </w:rPr>
        <w:t>、核心业务系统；备岗人员需在正式上岗前 1 周进入医院现场，熟悉信息科运维流程、设备布局、应急方案，完成岗前培训。</w:t>
      </w:r>
    </w:p>
    <w:p w14:paraId="4C2BBD73">
      <w:pPr>
        <w:pStyle w:val="3"/>
        <w:numPr>
          <w:ilvl w:val="0"/>
          <w:numId w:val="10"/>
        </w:numPr>
        <w:autoSpaceDE/>
        <w:autoSpaceDN/>
        <w:bidi w:val="0"/>
        <w:spacing w:before="0" w:beforeLines="50" w:after="0" w:afterLines="50" w:line="360" w:lineRule="auto"/>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val="en-US" w:eastAsia="zh-CN"/>
        </w:rPr>
        <w:t>服务响应及时效</w:t>
      </w:r>
      <w:r>
        <w:rPr>
          <w:rFonts w:hint="eastAsia" w:ascii="Times New Roman" w:hAnsi="Times New Roman" w:eastAsia="宋体" w:cs="Times New Roman"/>
          <w:spacing w:val="-2"/>
          <w:sz w:val="24"/>
          <w:szCs w:val="24"/>
          <w:highlight w:val="none"/>
          <w:lang w:eastAsia="zh-CN"/>
        </w:rPr>
        <w:t>​</w:t>
      </w:r>
    </w:p>
    <w:p w14:paraId="6A662846">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接到故障报修后，</w:t>
      </w:r>
      <w:r>
        <w:rPr>
          <w:rFonts w:hint="default" w:ascii="Times New Roman" w:hAnsi="Times New Roman" w:cs="Times New Roman"/>
          <w:spacing w:val="4"/>
          <w:sz w:val="24"/>
          <w:szCs w:val="24"/>
          <w:highlight w:val="none"/>
          <w:lang w:val="en-US" w:eastAsia="zh-CN"/>
        </w:rPr>
        <w:t>30分钟内服务响应，2</w:t>
      </w:r>
      <w:r>
        <w:rPr>
          <w:rFonts w:hint="default" w:ascii="Times New Roman" w:hAnsi="Times New Roman" w:cs="Times New Roman"/>
          <w:spacing w:val="4"/>
          <w:sz w:val="24"/>
          <w:szCs w:val="24"/>
          <w:highlight w:val="none"/>
          <w:lang w:eastAsia="zh-CN"/>
        </w:rPr>
        <w:t xml:space="preserve"> 小时内到达现场（医院院内区域），一般故障（如软件闪退、驱动异常）8 小时内解决，复杂</w:t>
      </w:r>
      <w:r>
        <w:rPr>
          <w:rFonts w:hint="default" w:ascii="Times New Roman" w:hAnsi="Times New Roman" w:cs="Times New Roman"/>
          <w:spacing w:val="4"/>
          <w:sz w:val="24"/>
          <w:szCs w:val="24"/>
          <w:highlight w:val="none"/>
          <w:lang w:val="en-US" w:eastAsia="zh-CN"/>
        </w:rPr>
        <w:t>问题</w:t>
      </w:r>
      <w:r>
        <w:rPr>
          <w:rFonts w:hint="default" w:ascii="Times New Roman" w:hAnsi="Times New Roman" w:cs="Times New Roman"/>
          <w:spacing w:val="4"/>
          <w:sz w:val="24"/>
          <w:szCs w:val="24"/>
          <w:highlight w:val="none"/>
          <w:lang w:eastAsia="zh-CN"/>
        </w:rPr>
        <w:t>24 小时内提供</w:t>
      </w:r>
      <w:r>
        <w:rPr>
          <w:rFonts w:hint="default" w:ascii="Times New Roman" w:hAnsi="Times New Roman" w:cs="Times New Roman"/>
          <w:spacing w:val="4"/>
          <w:sz w:val="24"/>
          <w:szCs w:val="24"/>
          <w:highlight w:val="none"/>
          <w:lang w:val="en-US" w:eastAsia="zh-CN"/>
        </w:rPr>
        <w:t>解决方案</w:t>
      </w:r>
      <w:r>
        <w:rPr>
          <w:rFonts w:hint="default" w:ascii="Times New Roman" w:hAnsi="Times New Roman" w:cs="Times New Roman"/>
          <w:spacing w:val="4"/>
          <w:sz w:val="24"/>
          <w:szCs w:val="24"/>
          <w:highlight w:val="none"/>
          <w:lang w:eastAsia="zh-CN"/>
        </w:rPr>
        <w:t>。</w:t>
      </w:r>
    </w:p>
    <w:p w14:paraId="5D0B39E0">
      <w:pPr>
        <w:pStyle w:val="3"/>
        <w:numPr>
          <w:ilvl w:val="0"/>
          <w:numId w:val="10"/>
        </w:numPr>
        <w:autoSpaceDE/>
        <w:autoSpaceDN/>
        <w:bidi w:val="0"/>
        <w:spacing w:before="0" w:beforeLines="50" w:afterLines="50"/>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val="en-US" w:eastAsia="zh-CN"/>
        </w:rPr>
        <w:t>信息化终端综合治理管理服务</w:t>
      </w:r>
      <w:r>
        <w:rPr>
          <w:rFonts w:hint="eastAsia" w:ascii="Times New Roman" w:hAnsi="Times New Roman" w:eastAsia="宋体" w:cs="Times New Roman"/>
          <w:spacing w:val="-2"/>
          <w:sz w:val="24"/>
          <w:szCs w:val="24"/>
          <w:highlight w:val="none"/>
          <w:lang w:eastAsia="zh-CN"/>
        </w:rPr>
        <w:t>​</w:t>
      </w:r>
    </w:p>
    <w:p w14:paraId="2B82977C">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eastAsia" w:ascii="Times New Roman" w:hAnsi="Times New Roman" w:cs="Times New Roman"/>
          <w:spacing w:val="4"/>
          <w:sz w:val="24"/>
          <w:szCs w:val="24"/>
          <w:highlight w:val="none"/>
          <w:lang w:val="en-US" w:eastAsia="zh-CN"/>
        </w:rPr>
        <w:t>每日巡检医院统一运维管理平台，</w:t>
      </w:r>
      <w:r>
        <w:rPr>
          <w:rFonts w:hint="default" w:ascii="Times New Roman" w:hAnsi="Times New Roman" w:cs="Times New Roman"/>
          <w:spacing w:val="4"/>
          <w:sz w:val="24"/>
          <w:szCs w:val="24"/>
          <w:highlight w:val="none"/>
          <w:lang w:eastAsia="zh-CN"/>
        </w:rPr>
        <w:t>需</w:t>
      </w:r>
      <w:r>
        <w:rPr>
          <w:rFonts w:hint="eastAsia" w:ascii="Times New Roman" w:hAnsi="Times New Roman" w:cs="Times New Roman"/>
          <w:spacing w:val="4"/>
          <w:sz w:val="24"/>
          <w:szCs w:val="24"/>
          <w:highlight w:val="none"/>
          <w:lang w:val="en-US" w:eastAsia="zh-CN"/>
        </w:rPr>
        <w:t>保障其</w:t>
      </w:r>
      <w:r>
        <w:rPr>
          <w:rFonts w:hint="default" w:ascii="Times New Roman" w:hAnsi="Times New Roman" w:cs="Times New Roman"/>
          <w:spacing w:val="4"/>
          <w:sz w:val="24"/>
          <w:szCs w:val="24"/>
          <w:highlight w:val="none"/>
          <w:lang w:eastAsia="zh-CN"/>
        </w:rPr>
        <w:t xml:space="preserve"> 7×24 小时稳定运行，每</w:t>
      </w:r>
      <w:r>
        <w:rPr>
          <w:rFonts w:hint="default" w:ascii="Times New Roman" w:hAnsi="Times New Roman" w:cs="Times New Roman"/>
          <w:spacing w:val="4"/>
          <w:sz w:val="24"/>
          <w:szCs w:val="24"/>
          <w:highlight w:val="none"/>
          <w:lang w:val="en-US" w:eastAsia="zh-CN"/>
        </w:rPr>
        <w:t>季度</w:t>
      </w:r>
      <w:r>
        <w:rPr>
          <w:rFonts w:hint="default" w:ascii="Times New Roman" w:hAnsi="Times New Roman" w:cs="Times New Roman"/>
          <w:spacing w:val="4"/>
          <w:sz w:val="24"/>
          <w:szCs w:val="24"/>
          <w:highlight w:val="none"/>
          <w:lang w:eastAsia="zh-CN"/>
        </w:rPr>
        <w:t>进行 1 次平台性能优化；​</w:t>
      </w:r>
    </w:p>
    <w:p w14:paraId="62E54358">
      <w:pPr>
        <w:keepNext w:val="0"/>
        <w:keepLines w:val="0"/>
        <w:kinsoku/>
        <w:autoSpaceDE w:val="0"/>
        <w:autoSpaceDN w:val="0"/>
        <w:bidi w:val="0"/>
        <w:spacing w:before="0" w:beforeLines="50" w:afterLines="50"/>
        <w:ind w:left="0" w:leftChars="0" w:firstLine="496" w:firstLineChars="200"/>
        <w:jc w:val="both"/>
        <w:rPr>
          <w:rFonts w:hint="eastAsia" w:ascii="Times New Roman" w:hAnsi="Times New Roman" w:cs="Times New Roman"/>
          <w:spacing w:val="4"/>
          <w:sz w:val="24"/>
          <w:szCs w:val="24"/>
          <w:highlight w:val="none"/>
          <w:lang w:val="en-US" w:eastAsia="zh-CN"/>
        </w:rPr>
      </w:pPr>
      <w:r>
        <w:rPr>
          <w:rFonts w:hint="eastAsia" w:ascii="Times New Roman" w:hAnsi="Times New Roman" w:cs="Times New Roman"/>
          <w:spacing w:val="4"/>
          <w:sz w:val="24"/>
          <w:szCs w:val="24"/>
          <w:highlight w:val="none"/>
          <w:lang w:val="en-US" w:eastAsia="zh-CN"/>
        </w:rPr>
        <w:t>医院统一运维管理平台</w:t>
      </w:r>
      <w:r>
        <w:rPr>
          <w:rFonts w:hint="default" w:ascii="Times New Roman" w:hAnsi="Times New Roman" w:cs="Times New Roman"/>
          <w:spacing w:val="4"/>
          <w:sz w:val="24"/>
          <w:szCs w:val="24"/>
          <w:highlight w:val="none"/>
          <w:lang w:eastAsia="zh-CN"/>
        </w:rPr>
        <w:t>故障（如无法登录、功能异常）2 小时内响应，4 小时内解决</w:t>
      </w:r>
      <w:r>
        <w:rPr>
          <w:rFonts w:hint="eastAsia" w:ascii="Times New Roman" w:hAnsi="Times New Roman" w:cs="Times New Roman"/>
          <w:spacing w:val="4"/>
          <w:sz w:val="24"/>
          <w:szCs w:val="24"/>
          <w:highlight w:val="none"/>
          <w:lang w:eastAsia="zh-CN"/>
        </w:rPr>
        <w:t>；</w:t>
      </w:r>
      <w:r>
        <w:rPr>
          <w:rFonts w:hint="eastAsia" w:ascii="Times New Roman" w:hAnsi="Times New Roman" w:cs="Times New Roman"/>
          <w:spacing w:val="4"/>
          <w:sz w:val="24"/>
          <w:szCs w:val="24"/>
          <w:highlight w:val="none"/>
          <w:lang w:val="en-US" w:eastAsia="zh-CN"/>
        </w:rPr>
        <w:t xml:space="preserve"> </w:t>
      </w:r>
    </w:p>
    <w:p w14:paraId="036C1C91">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eastAsia" w:ascii="Times New Roman" w:hAnsi="Times New Roman" w:cs="Times New Roman"/>
          <w:spacing w:val="4"/>
          <w:sz w:val="24"/>
          <w:szCs w:val="24"/>
          <w:highlight w:val="none"/>
          <w:lang w:val="en-US" w:eastAsia="zh-CN"/>
        </w:rPr>
        <w:t>针对医院提出的医院统一运维管理平台功能</w:t>
      </w:r>
      <w:r>
        <w:rPr>
          <w:rFonts w:hint="default" w:ascii="Times New Roman" w:hAnsi="Times New Roman" w:cs="Times New Roman"/>
          <w:spacing w:val="4"/>
          <w:sz w:val="24"/>
          <w:szCs w:val="24"/>
          <w:highlight w:val="none"/>
          <w:lang w:eastAsia="zh-CN"/>
        </w:rPr>
        <w:t>定制化需求（如流程调整、功能新增）需在收到需求后</w:t>
      </w:r>
      <w:r>
        <w:rPr>
          <w:rFonts w:hint="eastAsia" w:ascii="Times New Roman" w:hAnsi="Times New Roman" w:cs="Times New Roman"/>
          <w:spacing w:val="4"/>
          <w:sz w:val="24"/>
          <w:szCs w:val="24"/>
          <w:highlight w:val="none"/>
          <w:lang w:eastAsia="zh-CN"/>
        </w:rPr>
        <w:t>3</w:t>
      </w:r>
      <w:r>
        <w:rPr>
          <w:rFonts w:hint="default" w:ascii="Times New Roman" w:hAnsi="Times New Roman" w:cs="Times New Roman"/>
          <w:spacing w:val="4"/>
          <w:sz w:val="24"/>
          <w:szCs w:val="24"/>
          <w:highlight w:val="none"/>
          <w:lang w:val="en-US" w:eastAsia="zh-CN"/>
        </w:rPr>
        <w:t>0</w:t>
      </w:r>
      <w:r>
        <w:rPr>
          <w:rFonts w:hint="default" w:ascii="Times New Roman" w:hAnsi="Times New Roman" w:cs="Times New Roman"/>
          <w:spacing w:val="4"/>
          <w:sz w:val="24"/>
          <w:szCs w:val="24"/>
          <w:highlight w:val="none"/>
          <w:lang w:eastAsia="zh-CN"/>
        </w:rPr>
        <w:t>个工作日内完成开发</w:t>
      </w:r>
      <w:r>
        <w:rPr>
          <w:rFonts w:hint="eastAsia" w:ascii="Times New Roman" w:hAnsi="Times New Roman" w:cs="Times New Roman"/>
          <w:spacing w:val="4"/>
          <w:sz w:val="24"/>
          <w:szCs w:val="24"/>
          <w:highlight w:val="none"/>
          <w:lang w:eastAsia="zh-CN"/>
        </w:rPr>
        <w:t>、</w:t>
      </w:r>
      <w:r>
        <w:rPr>
          <w:rFonts w:hint="default" w:ascii="Times New Roman" w:hAnsi="Times New Roman" w:cs="Times New Roman"/>
          <w:spacing w:val="4"/>
          <w:sz w:val="24"/>
          <w:szCs w:val="24"/>
          <w:highlight w:val="none"/>
          <w:lang w:eastAsia="zh-CN"/>
        </w:rPr>
        <w:t>测试</w:t>
      </w:r>
      <w:r>
        <w:rPr>
          <w:rFonts w:hint="eastAsia" w:ascii="Times New Roman" w:hAnsi="Times New Roman" w:cs="Times New Roman"/>
          <w:spacing w:val="4"/>
          <w:sz w:val="24"/>
          <w:szCs w:val="24"/>
          <w:highlight w:val="none"/>
          <w:lang w:eastAsia="zh-CN"/>
        </w:rPr>
        <w:t>、</w:t>
      </w:r>
      <w:r>
        <w:rPr>
          <w:rFonts w:hint="eastAsia" w:ascii="Times New Roman" w:hAnsi="Times New Roman" w:cs="Times New Roman"/>
          <w:spacing w:val="4"/>
          <w:sz w:val="24"/>
          <w:szCs w:val="24"/>
          <w:highlight w:val="none"/>
          <w:lang w:val="en-US" w:eastAsia="zh-CN"/>
        </w:rPr>
        <w:t>上线运行</w:t>
      </w:r>
      <w:r>
        <w:rPr>
          <w:rFonts w:hint="default" w:ascii="Times New Roman" w:hAnsi="Times New Roman" w:cs="Times New Roman"/>
          <w:spacing w:val="4"/>
          <w:sz w:val="24"/>
          <w:szCs w:val="24"/>
          <w:highlight w:val="none"/>
          <w:lang w:eastAsia="zh-CN"/>
        </w:rPr>
        <w:t>。​</w:t>
      </w:r>
    </w:p>
    <w:p w14:paraId="1124197C">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eastAsia" w:ascii="Times New Roman" w:hAnsi="Times New Roman" w:cs="Times New Roman"/>
          <w:spacing w:val="4"/>
          <w:sz w:val="24"/>
          <w:szCs w:val="24"/>
          <w:highlight w:val="none"/>
          <w:lang w:val="en-US" w:eastAsia="zh-CN"/>
        </w:rPr>
        <w:t>医院统一运维管理平台</w:t>
      </w:r>
      <w:r>
        <w:rPr>
          <w:rFonts w:hint="default" w:ascii="Times New Roman" w:hAnsi="Times New Roman" w:cs="Times New Roman"/>
          <w:spacing w:val="4"/>
          <w:sz w:val="24"/>
          <w:szCs w:val="24"/>
          <w:highlight w:val="none"/>
          <w:lang w:eastAsia="zh-CN"/>
        </w:rPr>
        <w:t>日常维护定制化流程需符合医院运维管理规范，实现 “工单发起 - 处理 - 审核 - 归档” 全流程痕迹化管理，确保操作日志、工单记录可追溯；​</w:t>
      </w:r>
    </w:p>
    <w:p w14:paraId="34926D15">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形成运维数据链，整合故障数据、工单数据、巡检数据，协助信息科进行运维效率分析、问题归因。​</w:t>
      </w:r>
    </w:p>
    <w:p w14:paraId="16554D0E">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 xml:space="preserve"> 建立服务台并提供电话接听及各种来源的工单受理服务，及时有效的处理各种类型的报修；</w:t>
      </w:r>
    </w:p>
    <w:p w14:paraId="6179DD9D">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 xml:space="preserve"> 提供电话线路监控服务，并及时排查故障，保证线路畅通。保障电话接听率≥90%；服务满意度达到90%</w:t>
      </w:r>
      <w:r>
        <w:rPr>
          <w:rFonts w:hint="eastAsia" w:ascii="宋体" w:hAnsi="宋体" w:cs="宋体"/>
          <w:spacing w:val="4"/>
          <w:sz w:val="24"/>
          <w:szCs w:val="24"/>
          <w:highlight w:val="none"/>
          <w:lang w:val="en-US" w:eastAsia="zh-CN"/>
        </w:rPr>
        <w:t>（附件：项目质量考核表）</w:t>
      </w:r>
      <w:r>
        <w:rPr>
          <w:rFonts w:hint="eastAsia" w:ascii="宋体" w:hAnsi="宋体" w:eastAsia="宋体" w:cs="宋体"/>
          <w:spacing w:val="4"/>
          <w:sz w:val="24"/>
          <w:szCs w:val="24"/>
          <w:highlight w:val="none"/>
          <w:lang w:val="en-US" w:eastAsia="zh-CN"/>
        </w:rPr>
        <w:t>；</w:t>
      </w:r>
    </w:p>
    <w:p w14:paraId="1B37AD79">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 xml:space="preserve"> 优化维护IT运维系统的科室，位置，电话，联系人等信息，保障数据准确性；</w:t>
      </w:r>
    </w:p>
    <w:p w14:paraId="4206C1D7">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 xml:space="preserve"> 通过电话及远程方式及时有效的处理各种类型的报修；无法直接处理的工单，及时分派给各接口人，保证整体服务流程畅通；</w:t>
      </w:r>
    </w:p>
    <w:p w14:paraId="7CE996B4">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知识库文档新增/审核/发布/修订流程管理；对于厂家，供应商等提供的技术文档进行归档管理；服务期内，收集，整理，编写业务相关文档不低于100篇；</w:t>
      </w:r>
    </w:p>
    <w:p w14:paraId="28478049">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一页月报服务，通过数据收集分析整理，每月汇总成“一页月报”清晰简洁描述每月运维服务工作状态和趋势分析；协助领导完成科室内部管理。</w:t>
      </w:r>
    </w:p>
    <w:p w14:paraId="5A1144F6">
      <w:pPr>
        <w:keepNext w:val="0"/>
        <w:keepLines w:val="0"/>
        <w:pageBreakBefore w:val="0"/>
        <w:widowControl/>
        <w:kinsoku/>
        <w:wordWrap/>
        <w:overflowPunct/>
        <w:topLinePunct w:val="0"/>
        <w:autoSpaceDE/>
        <w:autoSpaceDN/>
        <w:bidi w:val="0"/>
        <w:adjustRightInd/>
        <w:snapToGrid/>
        <w:spacing w:line="360" w:lineRule="auto"/>
        <w:ind w:right="0" w:firstLine="496" w:firstLineChars="200"/>
        <w:jc w:val="left"/>
        <w:textAlignment w:val="auto"/>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组织月度会议，提供月度运维报告，说明月度内完成工作内容，以及下一阶段运维计划。</w:t>
      </w:r>
    </w:p>
    <w:p w14:paraId="0FE10923">
      <w:pPr>
        <w:pStyle w:val="3"/>
        <w:numPr>
          <w:ilvl w:val="0"/>
          <w:numId w:val="10"/>
        </w:numPr>
        <w:autoSpaceDE/>
        <w:autoSpaceDN/>
        <w:bidi w:val="0"/>
        <w:spacing w:before="0" w:beforeLines="50" w:afterLines="50"/>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eastAsia="zh-CN"/>
        </w:rPr>
        <w:t>云桌面系统运维服务​</w:t>
      </w:r>
    </w:p>
    <w:p w14:paraId="116CC83D">
      <w:pPr>
        <w:keepNext w:val="0"/>
        <w:keepLines w:val="0"/>
        <w:kinsoku/>
        <w:autoSpaceDE w:val="0"/>
        <w:autoSpaceDN w:val="0"/>
        <w:bidi w:val="0"/>
        <w:spacing w:before="0" w:beforeLines="50" w:afterLines="50"/>
        <w:ind w:left="0" w:leftChars="0" w:firstLine="496" w:firstLineChars="200"/>
        <w:jc w:val="both"/>
        <w:rPr>
          <w:rFonts w:hint="eastAsia"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云桌面故障（如登录失败、系统卡顿）1 小时内响应，一般故障 4 小时内解决，复杂故障（如服务器集群异常）24 小时内提供应急方案并推进修复</w:t>
      </w:r>
      <w:r>
        <w:rPr>
          <w:rFonts w:hint="eastAsia" w:ascii="Times New Roman" w:hAnsi="Times New Roman" w:cs="Times New Roman"/>
          <w:spacing w:val="4"/>
          <w:sz w:val="24"/>
          <w:szCs w:val="24"/>
          <w:highlight w:val="none"/>
          <w:lang w:eastAsia="zh-CN"/>
        </w:rPr>
        <w:t>。</w:t>
      </w:r>
    </w:p>
    <w:p w14:paraId="31AD24FC">
      <w:pPr>
        <w:pStyle w:val="3"/>
        <w:numPr>
          <w:ilvl w:val="0"/>
          <w:numId w:val="10"/>
        </w:numPr>
        <w:autoSpaceDE/>
        <w:autoSpaceDN/>
        <w:bidi w:val="0"/>
        <w:spacing w:before="0" w:beforeLines="50" w:after="0" w:afterLines="50"/>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eastAsia="zh-CN"/>
        </w:rPr>
        <w:t>会议</w:t>
      </w:r>
      <w:r>
        <w:rPr>
          <w:rFonts w:hint="eastAsia" w:ascii="Times New Roman" w:hAnsi="Times New Roman" w:eastAsia="宋体" w:cs="Times New Roman"/>
          <w:spacing w:val="-2"/>
          <w:sz w:val="24"/>
          <w:szCs w:val="24"/>
          <w:highlight w:val="none"/>
          <w:lang w:val="en-US" w:eastAsia="zh-CN"/>
        </w:rPr>
        <w:t>支持服务</w:t>
      </w:r>
      <w:r>
        <w:rPr>
          <w:rFonts w:hint="eastAsia" w:ascii="Times New Roman" w:hAnsi="Times New Roman" w:eastAsia="宋体" w:cs="Times New Roman"/>
          <w:spacing w:val="-2"/>
          <w:sz w:val="24"/>
          <w:szCs w:val="24"/>
          <w:highlight w:val="none"/>
          <w:lang w:eastAsia="zh-CN"/>
        </w:rPr>
        <w:t>​</w:t>
      </w:r>
    </w:p>
    <w:p w14:paraId="47A52C8B">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重要会议（如院级办公会、学术研讨会）提前 24 小时对接需求，进行会场布置、设备调试（含音视频连通性、网络稳定性测试）；​</w:t>
      </w:r>
    </w:p>
    <w:p w14:paraId="6350FC14">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一般会议提前 4 小时完成设备调试，会议期间全程在场保障，会后 1 小时内完成会场清理、设备收纳。​</w:t>
      </w:r>
    </w:p>
    <w:p w14:paraId="0C00011A">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会议资料需按医院要求格式整理（如 PPT、PDF），提前 30 分钟拷贝至会议设备，确保可正常播放；​</w:t>
      </w:r>
    </w:p>
    <w:p w14:paraId="165A074A">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会议设备调试需达到 “音视频清晰、无卡顿、无杂音” 标准，网络测试需确保会议平台连接稳定；​</w:t>
      </w:r>
    </w:p>
    <w:p w14:paraId="436AD087">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建立《会议保障</w:t>
      </w:r>
      <w:r>
        <w:rPr>
          <w:rFonts w:hint="default" w:ascii="Times New Roman" w:hAnsi="Times New Roman" w:cs="Times New Roman"/>
          <w:spacing w:val="4"/>
          <w:sz w:val="24"/>
          <w:szCs w:val="24"/>
          <w:highlight w:val="none"/>
          <w:lang w:val="en-US" w:eastAsia="zh-CN"/>
        </w:rPr>
        <w:t>操作流程</w:t>
      </w:r>
      <w:r>
        <w:rPr>
          <w:rFonts w:hint="default" w:ascii="Times New Roman" w:hAnsi="Times New Roman" w:cs="Times New Roman"/>
          <w:spacing w:val="4"/>
          <w:sz w:val="24"/>
          <w:szCs w:val="24"/>
          <w:highlight w:val="none"/>
          <w:lang w:eastAsia="zh-CN"/>
        </w:rPr>
        <w:t>》，记录会议时间、地点、保障内容、设备使用情况。​</w:t>
      </w:r>
    </w:p>
    <w:p w14:paraId="235FCE07">
      <w:pPr>
        <w:pStyle w:val="3"/>
        <w:numPr>
          <w:ilvl w:val="0"/>
          <w:numId w:val="10"/>
        </w:numPr>
        <w:autoSpaceDE/>
        <w:autoSpaceDN/>
        <w:bidi w:val="0"/>
        <w:spacing w:before="0" w:beforeLines="50" w:after="0" w:afterLines="50"/>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eastAsia="zh-CN"/>
        </w:rPr>
        <w:t>LED 大屏管理服务需求​</w:t>
      </w:r>
    </w:p>
    <w:p w14:paraId="4740CAFB">
      <w:pPr>
        <w:keepNext w:val="0"/>
        <w:keepLines w:val="0"/>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LED 大屏信息更新需求（如会议通知、院务公告）1 个工作日内完成，故障报修 2 小时内到达现场处理。​</w:t>
      </w:r>
    </w:p>
    <w:p w14:paraId="76B41128">
      <w:pPr>
        <w:keepNext w:val="0"/>
        <w:keepLines w:val="0"/>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信息更新需按医院审批流程执行，内容需核对准确性，格式需统一；​</w:t>
      </w:r>
    </w:p>
    <w:p w14:paraId="6724CB80">
      <w:pPr>
        <w:keepNext w:val="0"/>
        <w:keepLines w:val="0"/>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val="en-US" w:eastAsia="zh-CN"/>
        </w:rPr>
        <w:t>提供LED大屏</w:t>
      </w:r>
      <w:r>
        <w:rPr>
          <w:rFonts w:hint="default" w:ascii="Times New Roman" w:hAnsi="Times New Roman" w:cs="Times New Roman"/>
          <w:spacing w:val="4"/>
          <w:sz w:val="24"/>
          <w:szCs w:val="24"/>
          <w:highlight w:val="none"/>
          <w:lang w:eastAsia="zh-CN"/>
        </w:rPr>
        <w:t>操作文档需详细覆盖全彩 LED、条带 LED、会议摄像头、麦克风、无纸化会议系统、音响等设备，包含设备参数、操作步骤、常见故障处理方法，文档需发放至信息科及会议保障人员，每半年更新 1 次</w:t>
      </w:r>
      <w:r>
        <w:rPr>
          <w:rFonts w:hint="eastAsia" w:ascii="Times New Roman" w:hAnsi="Times New Roman" w:cs="Times New Roman"/>
          <w:spacing w:val="4"/>
          <w:sz w:val="24"/>
          <w:szCs w:val="24"/>
          <w:highlight w:val="none"/>
          <w:lang w:eastAsia="zh-CN"/>
        </w:rPr>
        <w:t>。</w:t>
      </w:r>
      <w:r>
        <w:rPr>
          <w:rFonts w:hint="default" w:ascii="Times New Roman" w:hAnsi="Times New Roman" w:cs="Times New Roman"/>
          <w:spacing w:val="4"/>
          <w:sz w:val="24"/>
          <w:szCs w:val="24"/>
          <w:highlight w:val="none"/>
          <w:lang w:eastAsia="zh-CN"/>
        </w:rPr>
        <w:t>​</w:t>
      </w:r>
    </w:p>
    <w:p w14:paraId="22A87A13">
      <w:pPr>
        <w:pStyle w:val="3"/>
        <w:numPr>
          <w:ilvl w:val="0"/>
          <w:numId w:val="10"/>
        </w:numPr>
        <w:autoSpaceDE/>
        <w:autoSpaceDN/>
        <w:bidi w:val="0"/>
        <w:spacing w:before="0" w:beforeLines="50" w:after="0" w:afterLines="50"/>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val="en-US" w:eastAsia="zh-CN"/>
        </w:rPr>
        <w:t>日常业务服务</w:t>
      </w:r>
      <w:r>
        <w:rPr>
          <w:rFonts w:hint="eastAsia" w:ascii="Times New Roman" w:hAnsi="Times New Roman" w:eastAsia="宋体" w:cs="Times New Roman"/>
          <w:spacing w:val="-2"/>
          <w:sz w:val="24"/>
          <w:szCs w:val="24"/>
          <w:highlight w:val="none"/>
          <w:lang w:eastAsia="zh-CN"/>
        </w:rPr>
        <w:t>需求​</w:t>
      </w:r>
    </w:p>
    <w:p w14:paraId="0A1ED813">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每</w:t>
      </w:r>
      <w:r>
        <w:rPr>
          <w:rFonts w:hint="default" w:ascii="Times New Roman" w:hAnsi="Times New Roman" w:cs="Times New Roman"/>
          <w:spacing w:val="4"/>
          <w:sz w:val="24"/>
          <w:szCs w:val="24"/>
          <w:highlight w:val="none"/>
          <w:lang w:val="en-US" w:eastAsia="zh-CN"/>
        </w:rPr>
        <w:t>半年</w:t>
      </w:r>
      <w:r>
        <w:rPr>
          <w:rFonts w:hint="default" w:ascii="Times New Roman" w:hAnsi="Times New Roman" w:cs="Times New Roman"/>
          <w:spacing w:val="4"/>
          <w:sz w:val="24"/>
          <w:szCs w:val="24"/>
          <w:highlight w:val="none"/>
          <w:lang w:eastAsia="zh-CN"/>
        </w:rPr>
        <w:t>配合</w:t>
      </w:r>
      <w:r>
        <w:rPr>
          <w:rFonts w:hint="eastAsia" w:ascii="Times New Roman" w:hAnsi="Times New Roman" w:cs="Times New Roman"/>
          <w:spacing w:val="4"/>
          <w:sz w:val="24"/>
          <w:szCs w:val="24"/>
          <w:highlight w:val="none"/>
          <w:lang w:val="en-US" w:eastAsia="zh-CN"/>
        </w:rPr>
        <w:t>采购人</w:t>
      </w:r>
      <w:r>
        <w:rPr>
          <w:rFonts w:hint="default" w:ascii="Times New Roman" w:hAnsi="Times New Roman" w:cs="Times New Roman"/>
          <w:spacing w:val="4"/>
          <w:sz w:val="24"/>
          <w:szCs w:val="24"/>
          <w:highlight w:val="none"/>
          <w:lang w:eastAsia="zh-CN"/>
        </w:rPr>
        <w:t>完成 1 次资产盘点</w:t>
      </w:r>
      <w:r>
        <w:rPr>
          <w:rFonts w:hint="eastAsia" w:ascii="Times New Roman" w:hAnsi="Times New Roman" w:cs="Times New Roman"/>
          <w:spacing w:val="4"/>
          <w:sz w:val="24"/>
          <w:szCs w:val="24"/>
          <w:highlight w:val="none"/>
          <w:lang w:eastAsia="zh-CN"/>
        </w:rPr>
        <w:t>；</w:t>
      </w:r>
      <w:r>
        <w:rPr>
          <w:rFonts w:hint="eastAsia" w:ascii="Times New Roman" w:hAnsi="Times New Roman" w:cs="Times New Roman"/>
          <w:spacing w:val="4"/>
          <w:sz w:val="24"/>
          <w:szCs w:val="24"/>
          <w:highlight w:val="none"/>
          <w:lang w:val="en-US" w:eastAsia="zh-CN"/>
        </w:rPr>
        <w:t xml:space="preserve"> </w:t>
      </w:r>
      <w:r>
        <w:rPr>
          <w:rFonts w:hint="default" w:ascii="Times New Roman" w:hAnsi="Times New Roman" w:cs="Times New Roman"/>
          <w:spacing w:val="4"/>
          <w:sz w:val="24"/>
          <w:szCs w:val="24"/>
          <w:highlight w:val="none"/>
          <w:lang w:eastAsia="zh-CN"/>
        </w:rPr>
        <w:t>记录资产型号、序列号、使用人、存放地点、状态（在用 / 闲置 / 报废）；​</w:t>
      </w:r>
    </w:p>
    <w:p w14:paraId="13351C17">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资产出入登记需实时录入 HRP 系统，同步更新《资产出入台账》，确保系统数据与实物一致；盘点后 10 个工作日内提交《资产盘点报告》，包含盘盈盘亏分析、报废资产清单。​</w:t>
      </w:r>
    </w:p>
    <w:p w14:paraId="429CEA4A">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报销资料收集需审核完整性（含发票、审批单、采购合同等），确保符合医院财务规定，资料缺失需在</w:t>
      </w:r>
      <w:r>
        <w:rPr>
          <w:rFonts w:hint="default" w:ascii="Times New Roman" w:hAnsi="Times New Roman" w:cs="Times New Roman"/>
          <w:spacing w:val="4"/>
          <w:sz w:val="24"/>
          <w:szCs w:val="24"/>
          <w:highlight w:val="none"/>
          <w:lang w:val="en-US" w:eastAsia="zh-CN"/>
        </w:rPr>
        <w:t>15</w:t>
      </w:r>
      <w:r>
        <w:rPr>
          <w:rFonts w:hint="default" w:ascii="Times New Roman" w:hAnsi="Times New Roman" w:cs="Times New Roman"/>
          <w:spacing w:val="4"/>
          <w:sz w:val="24"/>
          <w:szCs w:val="24"/>
          <w:highlight w:val="none"/>
          <w:lang w:eastAsia="zh-CN"/>
        </w:rPr>
        <w:t>个工作日内反馈补充；​</w:t>
      </w:r>
    </w:p>
    <w:p w14:paraId="5D69BA9E">
      <w:pPr>
        <w:keepNext w:val="0"/>
        <w:keepLines w:val="0"/>
        <w:kinsoku/>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财务系统需及时提交报销申请，跟踪审批进度，每</w:t>
      </w:r>
      <w:r>
        <w:rPr>
          <w:rFonts w:hint="default" w:ascii="Times New Roman" w:hAnsi="Times New Roman" w:cs="Times New Roman"/>
          <w:spacing w:val="4"/>
          <w:sz w:val="24"/>
          <w:szCs w:val="24"/>
          <w:highlight w:val="none"/>
          <w:lang w:val="en-US" w:eastAsia="zh-CN"/>
        </w:rPr>
        <w:t>季度</w:t>
      </w:r>
      <w:r>
        <w:rPr>
          <w:rFonts w:hint="default" w:ascii="Times New Roman" w:hAnsi="Times New Roman" w:cs="Times New Roman"/>
          <w:spacing w:val="4"/>
          <w:sz w:val="24"/>
          <w:szCs w:val="24"/>
          <w:highlight w:val="none"/>
          <w:lang w:eastAsia="zh-CN"/>
        </w:rPr>
        <w:t>更新《报销进度台账》，与财务科对接时需准确反馈问题，确保报销流程不超医院规定时限（一般不超过 15 个工作日）</w:t>
      </w:r>
      <w:r>
        <w:rPr>
          <w:rFonts w:hint="eastAsia" w:ascii="Times New Roman" w:hAnsi="Times New Roman" w:cs="Times New Roman"/>
          <w:spacing w:val="4"/>
          <w:sz w:val="24"/>
          <w:szCs w:val="24"/>
          <w:highlight w:val="none"/>
          <w:lang w:eastAsia="zh-CN"/>
        </w:rPr>
        <w:t>。</w:t>
      </w:r>
    </w:p>
    <w:p w14:paraId="29861A5B">
      <w:pPr>
        <w:pStyle w:val="3"/>
        <w:numPr>
          <w:ilvl w:val="0"/>
          <w:numId w:val="10"/>
        </w:numPr>
        <w:autoSpaceDE/>
        <w:autoSpaceDN/>
        <w:bidi w:val="0"/>
        <w:spacing w:before="0" w:beforeLines="50" w:after="0" w:afterLines="50"/>
        <w:ind w:left="0" w:leftChars="0" w:firstLine="474" w:firstLineChars="200"/>
        <w:jc w:val="both"/>
        <w:rPr>
          <w:rFonts w:hint="eastAsia" w:ascii="Times New Roman" w:hAnsi="Times New Roman" w:eastAsia="宋体" w:cs="Times New Roman"/>
          <w:spacing w:val="-2"/>
          <w:sz w:val="24"/>
          <w:szCs w:val="24"/>
          <w:highlight w:val="none"/>
          <w:lang w:eastAsia="zh-CN"/>
        </w:rPr>
      </w:pPr>
      <w:r>
        <w:rPr>
          <w:rFonts w:hint="eastAsia" w:ascii="Times New Roman" w:hAnsi="Times New Roman" w:eastAsia="宋体" w:cs="Times New Roman"/>
          <w:spacing w:val="-2"/>
          <w:sz w:val="24"/>
          <w:szCs w:val="24"/>
          <w:highlight w:val="none"/>
          <w:lang w:eastAsia="zh-CN"/>
        </w:rPr>
        <w:t>通用要求​</w:t>
      </w:r>
    </w:p>
    <w:p w14:paraId="79174360">
      <w:pPr>
        <w:keepNext w:val="0"/>
        <w:keepLines w:val="0"/>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质量保障：供应商需建立服务质量监督机制。​</w:t>
      </w:r>
    </w:p>
    <w:p w14:paraId="1839F975">
      <w:pPr>
        <w:keepNext w:val="0"/>
        <w:keepLines w:val="0"/>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保密要求：供应商及工作人员需严格遵守医院保密规定，不得泄露医院患者信息、业务数据、运维数据，签订《保密协议》，如发生泄密需承担相应法律责任。​</w:t>
      </w:r>
    </w:p>
    <w:p w14:paraId="4CA148C9">
      <w:pPr>
        <w:keepNext w:val="0"/>
        <w:keepLines w:val="0"/>
        <w:autoSpaceDE w:val="0"/>
        <w:autoSpaceDN w:val="0"/>
        <w:bidi w:val="0"/>
        <w:spacing w:before="0" w:beforeLines="50" w:afterLines="50"/>
        <w:ind w:left="0" w:leftChars="0" w:firstLine="496" w:firstLineChars="200"/>
        <w:jc w:val="both"/>
        <w:rPr>
          <w:rFonts w:hint="default" w:ascii="Times New Roman" w:hAnsi="Times New Roman" w:cs="Times New Roman"/>
          <w:spacing w:val="4"/>
          <w:sz w:val="24"/>
          <w:szCs w:val="24"/>
          <w:highlight w:val="none"/>
          <w:lang w:eastAsia="zh-CN"/>
        </w:rPr>
      </w:pPr>
      <w:r>
        <w:rPr>
          <w:rFonts w:hint="default" w:ascii="Times New Roman" w:hAnsi="Times New Roman" w:cs="Times New Roman"/>
          <w:spacing w:val="4"/>
          <w:sz w:val="24"/>
          <w:szCs w:val="24"/>
          <w:highlight w:val="none"/>
          <w:lang w:eastAsia="zh-CN"/>
        </w:rPr>
        <w:t>考核机制：医院每季度对供应商服务进行考核（考核指标含响应时间、故障解决率、报告完整性等），考核合格（80 分及以上）方可继续服务，连续 2 次考核不合格，医院有权终止合同。</w:t>
      </w:r>
    </w:p>
    <w:p w14:paraId="47C155D9">
      <w:pPr>
        <w:numPr>
          <w:ilvl w:val="-1"/>
          <w:numId w:val="0"/>
        </w:numPr>
        <w:ind w:left="0" w:leftChars="0" w:firstLine="0" w:firstLineChars="0"/>
        <w:jc w:val="both"/>
        <w:rPr>
          <w:rFonts w:ascii="Times New Roman" w:hAnsi="Times New Roman" w:cs="Times New Roman"/>
          <w:color w:val="auto"/>
          <w:sz w:val="24"/>
          <w:szCs w:val="24"/>
          <w:highlight w:val="none"/>
          <w:u w:val="none"/>
          <w:lang w:eastAsia="zh-CN"/>
        </w:rPr>
        <w:sectPr>
          <w:footerReference r:id="rId6" w:type="default"/>
          <w:pgSz w:w="11906" w:h="16839"/>
          <w:pgMar w:top="1422" w:right="1511" w:bottom="1120" w:left="1687" w:header="0" w:footer="958" w:gutter="0"/>
          <w:pgNumType w:fmt="decimal"/>
          <w:cols w:space="720" w:num="1"/>
        </w:sectPr>
      </w:pPr>
    </w:p>
    <w:p w14:paraId="511CE891">
      <w:pPr>
        <w:pStyle w:val="2"/>
        <w:numPr>
          <w:ilvl w:val="-1"/>
          <w:numId w:val="0"/>
        </w:numPr>
        <w:spacing w:before="0" w:beforeLines="0"/>
        <w:ind w:left="0" w:firstLine="0"/>
        <w:jc w:val="center"/>
        <w:rPr>
          <w:rFonts w:hint="eastAsia"/>
        </w:rPr>
      </w:pPr>
      <w:r>
        <w:rPr>
          <w:rFonts w:hint="eastAsia"/>
        </w:rPr>
        <w:t>项目服务质量考核表</w:t>
      </w:r>
    </w:p>
    <w:tbl>
      <w:tblPr>
        <w:tblStyle w:val="15"/>
        <w:tblW w:w="5184" w:type="pct"/>
        <w:tblInd w:w="-200" w:type="dxa"/>
        <w:tblLayout w:type="fixed"/>
        <w:tblCellMar>
          <w:top w:w="0" w:type="dxa"/>
          <w:left w:w="108" w:type="dxa"/>
          <w:bottom w:w="0" w:type="dxa"/>
          <w:right w:w="108" w:type="dxa"/>
        </w:tblCellMar>
      </w:tblPr>
      <w:tblGrid>
        <w:gridCol w:w="1690"/>
        <w:gridCol w:w="8676"/>
        <w:gridCol w:w="4257"/>
        <w:gridCol w:w="803"/>
      </w:tblGrid>
      <w:tr w14:paraId="6E00D7B8">
        <w:tblPrEx>
          <w:tblCellMar>
            <w:top w:w="0" w:type="dxa"/>
            <w:left w:w="108" w:type="dxa"/>
            <w:bottom w:w="0" w:type="dxa"/>
            <w:right w:w="108" w:type="dxa"/>
          </w:tblCellMar>
        </w:tblPrEx>
        <w:trPr>
          <w:trHeight w:val="530"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E3905A">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rPr>
              <w:t>支持服务</w:t>
            </w:r>
          </w:p>
        </w:tc>
        <w:tc>
          <w:tcPr>
            <w:tcW w:w="281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25A7D0">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rPr>
              <w:t>服务内容</w:t>
            </w:r>
          </w:p>
        </w:tc>
        <w:tc>
          <w:tcPr>
            <w:tcW w:w="137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A3853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rPr>
              <w:t>打分说明</w:t>
            </w:r>
          </w:p>
        </w:tc>
        <w:tc>
          <w:tcPr>
            <w:tcW w:w="26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3B7B9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rPr>
              <w:t>打分</w:t>
            </w:r>
          </w:p>
        </w:tc>
      </w:tr>
      <w:tr w14:paraId="53D8EBFC">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8F7CBD0">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人员要求</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4EAE0D5">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rPr>
            </w:pP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⼈以上⼈员驻场服务</w:t>
            </w:r>
            <w:r>
              <w:rPr>
                <w:rFonts w:hint="eastAsia" w:ascii="仿宋" w:hAnsi="仿宋" w:eastAsia="仿宋" w:cs="仿宋"/>
                <w:color w:val="000000"/>
                <w:kern w:val="0"/>
                <w:sz w:val="24"/>
              </w:rPr>
              <w:t>；</w:t>
            </w:r>
            <w:r>
              <w:rPr>
                <w:rFonts w:hint="eastAsia" w:ascii="仿宋" w:hAnsi="仿宋" w:eastAsia="仿宋" w:cs="仿宋"/>
                <w:color w:val="000000"/>
                <w:kern w:val="0"/>
                <w:sz w:val="24"/>
                <w:lang w:val="en-US" w:eastAsia="zh-CN"/>
              </w:rPr>
              <w:t>4人以上</w:t>
            </w:r>
            <w:r>
              <w:rPr>
                <w:rFonts w:hint="eastAsia" w:ascii="仿宋" w:hAnsi="仿宋" w:eastAsia="仿宋" w:cs="仿宋"/>
                <w:color w:val="000000"/>
                <w:kern w:val="0"/>
                <w:sz w:val="24"/>
              </w:rPr>
              <w:t>备岗</w:t>
            </w:r>
            <w:r>
              <w:rPr>
                <w:rFonts w:hint="eastAsia" w:ascii="仿宋" w:hAnsi="仿宋" w:eastAsia="仿宋" w:cs="仿宋"/>
                <w:color w:val="000000"/>
                <w:kern w:val="0"/>
                <w:sz w:val="24"/>
                <w:lang w:val="en-US" w:eastAsia="zh-CN"/>
              </w:rPr>
              <w:t>支持；</w:t>
            </w:r>
          </w:p>
          <w:p w14:paraId="04040016">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计</w:t>
            </w:r>
            <w:r>
              <w:rPr>
                <w:rFonts w:hint="eastAsia" w:ascii="仿宋" w:hAnsi="仿宋" w:eastAsia="仿宋" w:cs="仿宋"/>
                <w:color w:val="000000"/>
                <w:kern w:val="0"/>
                <w:sz w:val="24"/>
                <w:szCs w:val="24"/>
              </w:rPr>
              <w:t>算机相关专业，大专以上学历，其中2人至少5年以上IT运维相关工作经验（5*8 ⼩时）；</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6ECD6C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提供驻点服务</w:t>
            </w:r>
            <w:r>
              <w:rPr>
                <w:rFonts w:hint="eastAsia" w:ascii="仿宋" w:hAnsi="仿宋" w:eastAsia="仿宋" w:cs="仿宋"/>
                <w:color w:val="000000"/>
                <w:kern w:val="0"/>
                <w:sz w:val="24"/>
              </w:rPr>
              <w:t>前</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人员需符合</w:t>
            </w:r>
            <w:r>
              <w:rPr>
                <w:rFonts w:hint="eastAsia" w:ascii="仿宋" w:hAnsi="仿宋" w:eastAsia="仿宋" w:cs="仿宋"/>
                <w:color w:val="000000"/>
                <w:kern w:val="0"/>
                <w:sz w:val="24"/>
                <w:szCs w:val="24"/>
              </w:rPr>
              <w:t>医院工作</w:t>
            </w:r>
            <w:r>
              <w:rPr>
                <w:rFonts w:hint="eastAsia" w:ascii="仿宋" w:hAnsi="仿宋" w:eastAsia="仿宋" w:cs="仿宋"/>
                <w:color w:val="000000"/>
                <w:kern w:val="0"/>
                <w:sz w:val="24"/>
              </w:rPr>
              <w:t>要求</w:t>
            </w:r>
            <w:r>
              <w:rPr>
                <w:rFonts w:hint="eastAsia" w:ascii="仿宋" w:hAnsi="仿宋" w:eastAsia="仿宋" w:cs="仿宋"/>
                <w:color w:val="000000"/>
                <w:kern w:val="0"/>
                <w:sz w:val="24"/>
                <w:szCs w:val="24"/>
              </w:rPr>
              <w:t>。</w:t>
            </w:r>
            <w:r>
              <w:rPr>
                <w:rFonts w:hint="eastAsia" w:ascii="仿宋" w:hAnsi="仿宋" w:eastAsia="仿宋" w:cs="仿宋"/>
                <w:color w:val="000000"/>
                <w:kern w:val="0"/>
                <w:sz w:val="24"/>
              </w:rPr>
              <w:t>面试不通过且一周内无法及时更换</w:t>
            </w:r>
            <w:r>
              <w:rPr>
                <w:rFonts w:hint="eastAsia" w:ascii="仿宋" w:hAnsi="仿宋" w:eastAsia="仿宋" w:cs="仿宋"/>
                <w:color w:val="000000"/>
                <w:kern w:val="0"/>
                <w:sz w:val="24"/>
                <w:szCs w:val="24"/>
              </w:rPr>
              <w:t>1次扣</w:t>
            </w:r>
            <w:r>
              <w:rPr>
                <w:rFonts w:hint="eastAsia" w:ascii="仿宋" w:hAnsi="仿宋" w:eastAsia="仿宋" w:cs="仿宋"/>
                <w:color w:val="000000"/>
                <w:kern w:val="0"/>
                <w:sz w:val="24"/>
              </w:rPr>
              <w:t>4</w:t>
            </w:r>
            <w:r>
              <w:rPr>
                <w:rFonts w:hint="eastAsia" w:ascii="仿宋" w:hAnsi="仿宋" w:eastAsia="仿宋" w:cs="仿宋"/>
                <w:color w:val="000000"/>
                <w:kern w:val="0"/>
                <w:sz w:val="24"/>
                <w:szCs w:val="24"/>
              </w:rPr>
              <w:t>分。（共</w:t>
            </w:r>
            <w:r>
              <w:rPr>
                <w:rFonts w:hint="eastAsia" w:ascii="仿宋" w:hAnsi="仿宋" w:eastAsia="仿宋" w:cs="仿宋"/>
                <w:color w:val="000000"/>
                <w:kern w:val="0"/>
                <w:sz w:val="24"/>
                <w:lang w:val="en-US" w:eastAsia="zh-CN"/>
              </w:rPr>
              <w:t>8</w:t>
            </w:r>
            <w:r>
              <w:rPr>
                <w:rFonts w:hint="eastAsia" w:ascii="仿宋" w:hAnsi="仿宋" w:eastAsia="仿宋" w:cs="仿宋"/>
                <w:color w:val="000000"/>
                <w:kern w:val="0"/>
                <w:sz w:val="24"/>
                <w:szCs w:val="24"/>
              </w:rPr>
              <w:t>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2B5547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rPr>
                <w:rFonts w:hint="default" w:ascii="仿宋" w:hAnsi="仿宋" w:eastAsia="仿宋" w:cs="仿宋"/>
                <w:color w:val="000000"/>
                <w:sz w:val="24"/>
                <w:szCs w:val="24"/>
                <w:lang w:val="en-US" w:eastAsia="zh-CN"/>
              </w:rPr>
            </w:pPr>
          </w:p>
        </w:tc>
      </w:tr>
      <w:tr w14:paraId="393B3CF3">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4724545">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日常现场故障处理及服务要求</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124AFB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处理信息化终端（电脑、外设等）的系统及软件现场故障；</w:t>
            </w:r>
          </w:p>
          <w:p w14:paraId="1287FB3F">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收集并反馈现场遇到的普遍性问题；</w:t>
            </w:r>
          </w:p>
          <w:p w14:paraId="10242BD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接到故障报修后，30分钟内服务响应，2 小时内到达现场（院内区域，跨院区4小时内到达现场）；</w:t>
            </w:r>
          </w:p>
          <w:p w14:paraId="3BECDB8B">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一般故障（如软件闪退、驱动异常）8 小时内解决，复杂问题24 小时内提供解决方案；</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3DC60A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 xml:space="preserve">发现1次响应不及时，扣1分； </w:t>
            </w:r>
          </w:p>
          <w:p w14:paraId="1BED7D37">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发现一次解决问题超时，一次扣1分；共3分</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（共9分）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1654B7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rPr>
                <w:rFonts w:hint="default" w:ascii="仿宋" w:hAnsi="仿宋" w:eastAsia="仿宋" w:cs="仿宋"/>
                <w:color w:val="000000"/>
                <w:sz w:val="24"/>
                <w:szCs w:val="24"/>
                <w:lang w:val="en-US" w:eastAsia="zh-CN"/>
              </w:rPr>
            </w:pPr>
          </w:p>
        </w:tc>
      </w:tr>
      <w:tr w14:paraId="734B9587">
        <w:tblPrEx>
          <w:tblCellMar>
            <w:top w:w="0" w:type="dxa"/>
            <w:left w:w="108" w:type="dxa"/>
            <w:bottom w:w="0" w:type="dxa"/>
            <w:right w:w="108" w:type="dxa"/>
          </w:tblCellMar>
        </w:tblPrEx>
        <w:trPr>
          <w:trHeight w:val="794" w:hRule="atLeast"/>
        </w:trPr>
        <w:tc>
          <w:tcPr>
            <w:tcW w:w="547" w:type="pct"/>
            <w:vMerge w:val="restart"/>
            <w:tcBorders>
              <w:top w:val="single" w:color="000000" w:sz="8" w:space="0"/>
              <w:left w:val="single" w:color="000000" w:sz="8" w:space="0"/>
              <w:right w:val="single" w:color="000000" w:sz="8" w:space="0"/>
            </w:tcBorders>
            <w:shd w:val="clear" w:color="auto" w:fill="auto"/>
            <w:vAlign w:val="center"/>
          </w:tcPr>
          <w:p w14:paraId="48DA3F0A">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lang w:val="en-US" w:eastAsia="en-US"/>
              </w:rPr>
            </w:pPr>
            <w:r>
              <w:rPr>
                <w:rFonts w:hint="eastAsia" w:ascii="仿宋" w:hAnsi="仿宋" w:eastAsia="仿宋" w:cs="仿宋"/>
                <w:color w:val="000000"/>
                <w:kern w:val="0"/>
                <w:sz w:val="24"/>
                <w:szCs w:val="24"/>
                <w:lang w:val="en-US" w:eastAsia="zh-CN"/>
              </w:rPr>
              <w:t>信息化终端综合治理管理</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C29F7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建立服务台并提供电话接听及各种来源的工单受理服务，及时有效的处理各种类型的报修；</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基于接口更新ITSM运维系统的科室/联系人/联系方式等基本信息，保障数据准确性；</w:t>
            </w:r>
          </w:p>
          <w:p w14:paraId="66AE67AF">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通过电话及远程方式及时有效的处理各种类型的报修；无法直接处理的工单，及时分派给各接口人，保证整体服务流程畅通；</w:t>
            </w:r>
          </w:p>
          <w:p w14:paraId="3461CA2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snapToGrid w:val="0"/>
                <w:color w:val="000000"/>
                <w:kern w:val="0"/>
                <w:sz w:val="24"/>
                <w:szCs w:val="24"/>
                <w:lang w:val="en-US" w:eastAsia="zh-CN"/>
              </w:rPr>
            </w:pPr>
            <w:r>
              <w:rPr>
                <w:rFonts w:hint="eastAsia" w:ascii="仿宋" w:hAnsi="仿宋" w:eastAsia="仿宋" w:cs="仿宋"/>
                <w:color w:val="000000"/>
                <w:kern w:val="0"/>
                <w:sz w:val="24"/>
                <w:szCs w:val="24"/>
              </w:rPr>
              <w:t>月度汇报总结，通过数据收集分析整理，每月汇总报告描述每月运维服务工作状态和趋势分析。</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C550119">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snapToGrid w:val="0"/>
                <w:color w:val="000000"/>
                <w:kern w:val="0"/>
                <w:sz w:val="24"/>
                <w:szCs w:val="24"/>
                <w:lang w:val="en-US" w:eastAsia="zh-CN"/>
              </w:rPr>
            </w:pPr>
            <w:r>
              <w:rPr>
                <w:rFonts w:hint="eastAsia" w:ascii="仿宋" w:hAnsi="仿宋" w:eastAsia="仿宋" w:cs="仿宋"/>
                <w:color w:val="000000"/>
                <w:kern w:val="0"/>
                <w:sz w:val="24"/>
                <w:szCs w:val="24"/>
              </w:rPr>
              <w:t>受理全院信息化故障报修，不得无故拒绝或恶意拖延，发现一次，扣</w:t>
            </w:r>
            <w:r>
              <w:rPr>
                <w:rFonts w:hint="eastAsia" w:ascii="仿宋" w:hAnsi="仿宋" w:eastAsia="仿宋" w:cs="仿宋"/>
                <w:color w:val="000000"/>
                <w:kern w:val="0"/>
                <w:sz w:val="24"/>
              </w:rPr>
              <w:t>1</w:t>
            </w:r>
            <w:r>
              <w:rPr>
                <w:rFonts w:hint="eastAsia" w:ascii="仿宋" w:hAnsi="仿宋" w:eastAsia="仿宋" w:cs="仿宋"/>
                <w:color w:val="000000"/>
                <w:kern w:val="0"/>
                <w:sz w:val="24"/>
                <w:szCs w:val="24"/>
              </w:rPr>
              <w:t>分。定期提交相应月报，缺少1次，扣</w:t>
            </w:r>
            <w:r>
              <w:rPr>
                <w:rFonts w:hint="eastAsia" w:ascii="仿宋" w:hAnsi="仿宋" w:eastAsia="仿宋" w:cs="仿宋"/>
                <w:color w:val="000000"/>
                <w:kern w:val="0"/>
                <w:sz w:val="24"/>
              </w:rPr>
              <w:t>1</w:t>
            </w:r>
            <w:r>
              <w:rPr>
                <w:rFonts w:hint="eastAsia" w:ascii="仿宋" w:hAnsi="仿宋" w:eastAsia="仿宋" w:cs="仿宋"/>
                <w:color w:val="000000"/>
                <w:kern w:val="0"/>
                <w:sz w:val="24"/>
                <w:szCs w:val="24"/>
              </w:rPr>
              <w:t>分。（共</w:t>
            </w:r>
            <w:r>
              <w:rPr>
                <w:rFonts w:hint="eastAsia" w:ascii="仿宋" w:hAnsi="仿宋" w:eastAsia="仿宋" w:cs="仿宋"/>
                <w:color w:val="000000"/>
                <w:kern w:val="0"/>
                <w:sz w:val="24"/>
                <w:lang w:val="en-US" w:eastAsia="zh-CN"/>
              </w:rPr>
              <w:t>15</w:t>
            </w:r>
            <w:r>
              <w:rPr>
                <w:rFonts w:hint="eastAsia" w:ascii="仿宋" w:hAnsi="仿宋" w:eastAsia="仿宋" w:cs="仿宋"/>
                <w:color w:val="000000"/>
                <w:kern w:val="0"/>
                <w:sz w:val="24"/>
                <w:szCs w:val="24"/>
              </w:rPr>
              <w:t>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78C692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rPr>
                <w:rFonts w:hint="default" w:ascii="仿宋" w:hAnsi="仿宋" w:eastAsia="仿宋" w:cs="仿宋"/>
                <w:snapToGrid w:val="0"/>
                <w:color w:val="000000"/>
                <w:sz w:val="24"/>
                <w:szCs w:val="24"/>
                <w:lang w:val="en-US" w:eastAsia="zh-CN" w:bidi="ar-SA"/>
              </w:rPr>
            </w:pPr>
          </w:p>
        </w:tc>
      </w:tr>
      <w:tr w14:paraId="38C807C6">
        <w:tblPrEx>
          <w:tblCellMar>
            <w:top w:w="0" w:type="dxa"/>
            <w:left w:w="108" w:type="dxa"/>
            <w:bottom w:w="0" w:type="dxa"/>
            <w:right w:w="108" w:type="dxa"/>
          </w:tblCellMar>
        </w:tblPrEx>
        <w:trPr>
          <w:trHeight w:val="794" w:hRule="atLeast"/>
        </w:trPr>
        <w:tc>
          <w:tcPr>
            <w:tcW w:w="547" w:type="pct"/>
            <w:vMerge w:val="continue"/>
            <w:tcBorders>
              <w:left w:val="single" w:color="000000" w:sz="8" w:space="0"/>
              <w:bottom w:val="single" w:color="000000" w:sz="8" w:space="0"/>
              <w:right w:val="single" w:color="000000" w:sz="8" w:space="0"/>
            </w:tcBorders>
            <w:shd w:val="clear" w:color="auto" w:fill="auto"/>
            <w:vAlign w:val="center"/>
          </w:tcPr>
          <w:p w14:paraId="1B399305">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lang w:val="en-US" w:eastAsia="en-US"/>
              </w:rPr>
            </w:pP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4ED63B0">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每日巡检医院统一运维管理平台，每季度进行 1 次平台性能优化；​</w:t>
            </w:r>
          </w:p>
          <w:p w14:paraId="338DBE1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 xml:space="preserve">医院统一运维管理平台故障（如无法登录、功能异常）2 小时内响应，4 小时内解决； </w:t>
            </w:r>
          </w:p>
          <w:p w14:paraId="7FD2952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snapToGrid w:val="0"/>
                <w:color w:val="000000"/>
                <w:kern w:val="0"/>
                <w:sz w:val="24"/>
                <w:szCs w:val="24"/>
                <w:lang w:val="en-US" w:eastAsia="zh-CN"/>
              </w:rPr>
            </w:pPr>
            <w:r>
              <w:rPr>
                <w:rFonts w:hint="eastAsia" w:ascii="仿宋" w:hAnsi="仿宋" w:eastAsia="仿宋" w:cs="仿宋"/>
                <w:color w:val="000000"/>
                <w:kern w:val="0"/>
                <w:sz w:val="24"/>
                <w:szCs w:val="24"/>
                <w:lang w:val="en-US" w:eastAsia="zh-CN"/>
              </w:rPr>
              <w:t>针对医院提出的医院统一运维管理平台功能定制化需求（如流程调整、功能新增）需在收到需求后30个工作日内完成开发、测试、上线运行。</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F6F3E9">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 xml:space="preserve">每日需对运维管理平台巡检，发现遗漏一次，扣1分； </w:t>
            </w:r>
          </w:p>
          <w:p w14:paraId="07681AD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 xml:space="preserve">季度性能调优少1次，扣2分； </w:t>
            </w:r>
          </w:p>
          <w:p w14:paraId="08153DE8">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snapToGrid w:val="0"/>
                <w:color w:val="000000"/>
                <w:kern w:val="0"/>
                <w:sz w:val="24"/>
                <w:szCs w:val="24"/>
                <w:lang w:val="en-US" w:eastAsia="en-US"/>
              </w:rPr>
            </w:pPr>
            <w:r>
              <w:rPr>
                <w:rFonts w:hint="eastAsia" w:ascii="仿宋" w:hAnsi="仿宋" w:eastAsia="仿宋" w:cs="仿宋"/>
                <w:color w:val="000000"/>
                <w:kern w:val="0"/>
                <w:sz w:val="24"/>
                <w:szCs w:val="24"/>
                <w:lang w:val="en-US" w:eastAsia="zh-CN"/>
              </w:rPr>
              <w:t>定制化需求未按要求完成，发生一次，扣10分。（共20分）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CD7053">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rPr>
                <w:rFonts w:hint="default" w:ascii="仿宋" w:hAnsi="仿宋" w:eastAsia="仿宋" w:cs="仿宋"/>
                <w:snapToGrid w:val="0"/>
                <w:color w:val="000000"/>
                <w:sz w:val="24"/>
                <w:szCs w:val="24"/>
                <w:lang w:val="en-US" w:eastAsia="zh-CN" w:bidi="ar-SA"/>
              </w:rPr>
            </w:pPr>
          </w:p>
        </w:tc>
      </w:tr>
      <w:tr w14:paraId="3D2C6817">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7640A4C">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snapToGrid w:val="0"/>
                <w:color w:val="000000"/>
                <w:kern w:val="0"/>
                <w:sz w:val="24"/>
                <w:szCs w:val="24"/>
                <w:lang w:val="en-US" w:eastAsia="zh-CN"/>
              </w:rPr>
            </w:pPr>
            <w:r>
              <w:rPr>
                <w:rFonts w:hint="eastAsia" w:ascii="仿宋" w:hAnsi="仿宋" w:eastAsia="仿宋" w:cs="仿宋"/>
                <w:color w:val="000000"/>
                <w:kern w:val="0"/>
                <w:sz w:val="24"/>
                <w:szCs w:val="24"/>
                <w:lang w:val="en-US" w:eastAsia="zh-CN"/>
              </w:rPr>
              <w:t>云桌面系统运维</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46CFDA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val="en-US" w:eastAsia="zh-CN"/>
              </w:rPr>
              <w:t>云桌面故障（如登录失败、系统卡顿）1 小时内响应，一般故障 4 小时内解决，复杂故障（如服务器集群异常）24 小时内提供应急方案并推进修复；</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360038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snapToGrid w:val="0"/>
                <w:color w:val="000000"/>
                <w:kern w:val="0"/>
                <w:sz w:val="24"/>
                <w:szCs w:val="24"/>
                <w:lang w:val="en-US" w:eastAsia="zh-CN"/>
              </w:rPr>
            </w:pPr>
            <w:r>
              <w:rPr>
                <w:rFonts w:hint="eastAsia" w:ascii="仿宋" w:hAnsi="仿宋" w:eastAsia="仿宋" w:cs="仿宋"/>
                <w:snapToGrid w:val="0"/>
                <w:color w:val="000000"/>
                <w:kern w:val="0"/>
                <w:sz w:val="24"/>
                <w:szCs w:val="24"/>
                <w:lang w:val="en-US" w:eastAsia="zh-CN"/>
              </w:rPr>
              <w:t>云桌面平台响应不及时或处理不及时，发现一次扣2分。共10分。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3D0586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rPr>
                <w:rFonts w:hint="default" w:ascii="仿宋" w:hAnsi="仿宋" w:eastAsia="仿宋" w:cs="仿宋"/>
                <w:snapToGrid w:val="0"/>
                <w:color w:val="000000"/>
                <w:sz w:val="24"/>
                <w:szCs w:val="24"/>
                <w:lang w:val="en-US" w:eastAsia="zh-CN" w:bidi="ar-SA"/>
              </w:rPr>
            </w:pPr>
          </w:p>
        </w:tc>
      </w:tr>
      <w:tr w14:paraId="3C0DBD3A">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92DC5AA">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会议支持</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FDEFAC">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重要会议（如院级办公会、学术研讨会）提前 24 小时对接需求，进行会场布置、设备调试（含音视频连通性、网络稳定性测试）；​</w:t>
            </w:r>
          </w:p>
          <w:p w14:paraId="006FF8D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一般会议提前 4 小时完成设备调试，会议期间全程在场保障，会后 1 小时内完成会场清理、设备收纳。​</w:t>
            </w:r>
          </w:p>
          <w:p w14:paraId="33B6C96C">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会议资料需按医院要求格式整理（如 PPT、PDF），提前 30 分钟拷贝至会议设备，确保可正常播放；会议设备调试需达到 “音视频清晰、无卡顿、无杂音” 标准，网络测试需确保会议平台连接稳定；​</w:t>
            </w:r>
          </w:p>
          <w:p w14:paraId="38230599">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建立《会议保障操作流程》，记录会议时间、地点、保障内容、设备使用情况。</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4D7451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会议保障工作，不及时或收到服务质量不良反馈，每次扣</w:t>
            </w: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分，（共</w:t>
            </w:r>
            <w:r>
              <w:rPr>
                <w:rFonts w:hint="eastAsia" w:ascii="仿宋" w:hAnsi="仿宋" w:eastAsia="仿宋" w:cs="仿宋"/>
                <w:color w:val="000000"/>
                <w:kern w:val="0"/>
                <w:sz w:val="24"/>
                <w:szCs w:val="24"/>
                <w:lang w:val="en-US" w:eastAsia="zh-CN"/>
              </w:rPr>
              <w:t>10</w:t>
            </w:r>
            <w:r>
              <w:rPr>
                <w:rFonts w:hint="eastAsia" w:ascii="仿宋" w:hAnsi="仿宋" w:eastAsia="仿宋" w:cs="仿宋"/>
                <w:color w:val="000000"/>
                <w:kern w:val="0"/>
                <w:sz w:val="24"/>
                <w:szCs w:val="24"/>
              </w:rPr>
              <w:t>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89FA52A">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rPr>
                <w:rFonts w:hint="default" w:ascii="仿宋" w:hAnsi="仿宋" w:eastAsia="仿宋" w:cs="仿宋"/>
                <w:color w:val="000000"/>
                <w:sz w:val="24"/>
                <w:szCs w:val="24"/>
                <w:lang w:val="en-US" w:eastAsia="zh-CN"/>
              </w:rPr>
            </w:pPr>
          </w:p>
        </w:tc>
      </w:tr>
      <w:tr w14:paraId="3E72BF30">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55BADC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 大屏管理</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59724E6">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LED 大屏信息更新需求（如会议通知、院务公告）1 个工作日内完成，故障报修 2 小时内到达现场处理。​</w:t>
            </w:r>
          </w:p>
          <w:p w14:paraId="56A6129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信息更新需按医院审批流程执行，内容需核对准确性，格式需统一；​</w:t>
            </w:r>
          </w:p>
          <w:p w14:paraId="36B0E056">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提供LED大屏操作文档需详细覆盖全彩 LED、条带 LED、会议摄像头、麦克风、无纸化会议系统、音响等设备，包含设备参数、操作步骤、常见故障处理方法，文档需发放至信息科及会议保障人员，每半年更新 1 次。</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DAF724">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 xml:space="preserve">及时完成LED屏更新及巡检管理工作，发现一次不及时或工作失误的，扣3分； </w:t>
            </w:r>
            <w:r>
              <w:rPr>
                <w:rFonts w:hint="eastAsia" w:ascii="仿宋" w:hAnsi="仿宋" w:eastAsia="仿宋" w:cs="仿宋"/>
                <w:color w:val="000000"/>
                <w:kern w:val="0"/>
                <w:sz w:val="24"/>
                <w:szCs w:val="24"/>
                <w:lang w:val="en-US" w:eastAsia="zh-CN"/>
              </w:rPr>
              <w:br w:type="textWrapping"/>
            </w:r>
            <w:r>
              <w:rPr>
                <w:rFonts w:hint="eastAsia" w:ascii="仿宋" w:hAnsi="仿宋" w:eastAsia="仿宋" w:cs="仿宋"/>
                <w:color w:val="000000"/>
                <w:kern w:val="0"/>
                <w:sz w:val="24"/>
                <w:szCs w:val="24"/>
                <w:lang w:val="en-US" w:eastAsia="zh-CN"/>
              </w:rPr>
              <w:t>提供完善的LED操作管理文档，文档不完善，内容不及时更新，一次扣3分。（共9分）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48E8AD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rPr>
                <w:rFonts w:hint="default" w:ascii="仿宋" w:hAnsi="仿宋" w:eastAsia="仿宋" w:cs="仿宋"/>
                <w:color w:val="000000"/>
                <w:sz w:val="24"/>
                <w:szCs w:val="24"/>
                <w:lang w:val="en-US" w:eastAsia="zh-CN"/>
              </w:rPr>
            </w:pPr>
          </w:p>
        </w:tc>
      </w:tr>
      <w:tr w14:paraId="7D6040FC">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D41D981">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日常业务服务需求</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EEFFB0">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每半年配合采购人完成 1 次资产盘点； 记录资产型号、序列号、使用人、存放地点、状态（在用 / 闲置 / 报废）；​</w:t>
            </w:r>
          </w:p>
          <w:p w14:paraId="49890C4B">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资产出入登记需实时录入 HRP 系统，同步更新《资产出入台账》，确保系统数据与实物一致；盘点后 10 个工作日内提交《资产盘点报告》，包含盘盈盘亏分析、报废资产清单。​</w:t>
            </w:r>
          </w:p>
          <w:p w14:paraId="25AC4077">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报销资料收集需审核完整性（含发票、审批单、采购合同等），确保符合医院财务规定，资料缺失需在15个工作日内反馈补充；​</w:t>
            </w:r>
          </w:p>
          <w:p w14:paraId="52988D85">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财务系统需及时提交报销申请，跟踪审批进度，每季度更新《报销进度台账》，与财务科对接时需准确反馈问题，确保报销流程不超医院规定时限（一般不超过 15 个工作日）。</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030AFE">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及时按医院要求，及时完成资产，报销等工作。发现一次不及时或不良反馈，扣3分。（共9分）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F5885A2">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rPr>
                <w:rFonts w:hint="default" w:ascii="仿宋" w:hAnsi="仿宋" w:eastAsia="仿宋" w:cs="仿宋"/>
                <w:color w:val="000000"/>
                <w:sz w:val="24"/>
                <w:szCs w:val="24"/>
                <w:lang w:val="en-US" w:eastAsia="zh-CN"/>
              </w:rPr>
            </w:pPr>
          </w:p>
        </w:tc>
      </w:tr>
      <w:tr w14:paraId="2A883CB8">
        <w:tblPrEx>
          <w:tblCellMar>
            <w:top w:w="0" w:type="dxa"/>
            <w:left w:w="108" w:type="dxa"/>
            <w:bottom w:w="0" w:type="dxa"/>
            <w:right w:w="108" w:type="dxa"/>
          </w:tblCellMar>
        </w:tblPrEx>
        <w:trPr>
          <w:trHeight w:val="794"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4FFBB60">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备岗</w:t>
            </w:r>
            <w:r>
              <w:rPr>
                <w:rFonts w:hint="eastAsia" w:ascii="仿宋" w:hAnsi="仿宋" w:eastAsia="仿宋" w:cs="仿宋"/>
                <w:color w:val="000000"/>
                <w:kern w:val="0"/>
                <w:sz w:val="24"/>
                <w:szCs w:val="24"/>
                <w:lang w:eastAsia="zh-CN"/>
              </w:rPr>
              <w:t>要求</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3FB1EA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医院需要备岗人员支持工作时，供应商应及时安排符合要求数量和质量的工程师到现场进行支持工作。</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BA84BD">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textAlignment w:val="center"/>
              <w:rPr>
                <w:rFonts w:hint="default"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人员安排不及时，或工程师数量，质量达不到医院要求的，扣5分，造成不良后果的，扣10分。（共10分）</w:t>
            </w: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4FD79A">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left"/>
              <w:rPr>
                <w:rFonts w:hint="default" w:ascii="仿宋" w:hAnsi="仿宋" w:eastAsia="仿宋" w:cs="仿宋"/>
                <w:color w:val="000000"/>
                <w:sz w:val="24"/>
                <w:szCs w:val="24"/>
                <w:lang w:val="en-US" w:eastAsia="zh-CN"/>
              </w:rPr>
            </w:pPr>
          </w:p>
        </w:tc>
      </w:tr>
      <w:tr w14:paraId="66376F90">
        <w:tblPrEx>
          <w:tblCellMar>
            <w:top w:w="0" w:type="dxa"/>
            <w:left w:w="108" w:type="dxa"/>
            <w:bottom w:w="0" w:type="dxa"/>
            <w:right w:w="108" w:type="dxa"/>
          </w:tblCellMar>
        </w:tblPrEx>
        <w:trPr>
          <w:trHeight w:val="449" w:hRule="atLeast"/>
        </w:trPr>
        <w:tc>
          <w:tcPr>
            <w:tcW w:w="3359"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6B212CB">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备注：单项累积扣分不得超过本项的最高分，满分为100分，80分以下为不合格。</w:t>
            </w:r>
          </w:p>
        </w:tc>
        <w:tc>
          <w:tcPr>
            <w:tcW w:w="137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87EDB5">
            <w:pPr>
              <w:keepNext w:val="0"/>
              <w:keepLines w:val="0"/>
              <w:pageBreakBefore w:val="0"/>
              <w:widowControl/>
              <w:kinsoku w:val="0"/>
              <w:wordWrap/>
              <w:overflowPunct/>
              <w:topLinePunct w:val="0"/>
              <w:autoSpaceDE w:val="0"/>
              <w:autoSpaceDN w:val="0"/>
              <w:bidi w:val="0"/>
              <w:adjustRightInd w:val="0"/>
              <w:snapToGrid w:val="0"/>
              <w:ind w:firstLine="0" w:firstLineChars="0"/>
              <w:jc w:val="left"/>
              <w:rPr>
                <w:rFonts w:hint="eastAsia" w:ascii="仿宋" w:hAnsi="仿宋" w:eastAsia="仿宋" w:cs="仿宋"/>
                <w:color w:val="000000"/>
                <w:sz w:val="24"/>
                <w:szCs w:val="24"/>
              </w:rPr>
            </w:pPr>
          </w:p>
        </w:tc>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1B70B41">
            <w:pPr>
              <w:keepNext w:val="0"/>
              <w:keepLines w:val="0"/>
              <w:pageBreakBefore w:val="0"/>
              <w:widowControl/>
              <w:kinsoku w:val="0"/>
              <w:wordWrap/>
              <w:overflowPunct/>
              <w:topLinePunct w:val="0"/>
              <w:autoSpaceDE w:val="0"/>
              <w:autoSpaceDN w:val="0"/>
              <w:bidi w:val="0"/>
              <w:adjustRightInd w:val="0"/>
              <w:snapToGrid w:val="0"/>
              <w:ind w:firstLine="0" w:firstLineChars="0"/>
              <w:jc w:val="left"/>
              <w:rPr>
                <w:rFonts w:hint="eastAsia" w:ascii="仿宋" w:hAnsi="仿宋" w:eastAsia="仿宋" w:cs="仿宋"/>
                <w:color w:val="000000"/>
                <w:sz w:val="24"/>
                <w:szCs w:val="24"/>
                <w:lang w:val="en-US" w:eastAsia="zh-CN"/>
              </w:rPr>
            </w:pPr>
          </w:p>
        </w:tc>
      </w:tr>
      <w:tr w14:paraId="281E0B33">
        <w:tblPrEx>
          <w:tblCellMar>
            <w:top w:w="0" w:type="dxa"/>
            <w:left w:w="108" w:type="dxa"/>
            <w:bottom w:w="0" w:type="dxa"/>
            <w:right w:w="108" w:type="dxa"/>
          </w:tblCellMar>
        </w:tblPrEx>
        <w:trPr>
          <w:trHeight w:val="566" w:hRule="atLeast"/>
        </w:trPr>
        <w:tc>
          <w:tcPr>
            <w:tcW w:w="54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BFD4E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服务时间</w:t>
            </w:r>
          </w:p>
        </w:tc>
        <w:tc>
          <w:tcPr>
            <w:tcW w:w="2812"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558BBB4">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     年 </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color w:val="000000"/>
                <w:kern w:val="0"/>
                <w:sz w:val="24"/>
                <w:szCs w:val="24"/>
              </w:rPr>
              <w:t xml:space="preserve"> 月 -   年  </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color w:val="000000"/>
                <w:kern w:val="0"/>
                <w:sz w:val="24"/>
                <w:szCs w:val="24"/>
              </w:rPr>
              <w:t xml:space="preserve">  月    </w:t>
            </w:r>
          </w:p>
        </w:tc>
        <w:tc>
          <w:tcPr>
            <w:tcW w:w="1640"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825AB01">
            <w:pPr>
              <w:keepNext w:val="0"/>
              <w:keepLines w:val="0"/>
              <w:pageBreakBefore w:val="0"/>
              <w:widowControl/>
              <w:kinsoku w:val="0"/>
              <w:wordWrap/>
              <w:overflowPunct/>
              <w:topLinePunct w:val="0"/>
              <w:autoSpaceDE w:val="0"/>
              <w:autoSpaceDN w:val="0"/>
              <w:bidi w:val="0"/>
              <w:adjustRightInd w:val="0"/>
              <w:snapToGrid w:val="0"/>
              <w:ind w:firstLine="0" w:firstLineChars="0"/>
              <w:jc w:val="left"/>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kern w:val="0"/>
                <w:sz w:val="24"/>
                <w:szCs w:val="24"/>
              </w:rPr>
              <w:t>总分：</w:t>
            </w:r>
            <w:r>
              <w:rPr>
                <w:rFonts w:hint="eastAsia" w:ascii="仿宋" w:hAnsi="仿宋" w:eastAsia="仿宋" w:cs="仿宋"/>
                <w:color w:val="000000"/>
                <w:kern w:val="0"/>
                <w:sz w:val="24"/>
                <w:szCs w:val="24"/>
                <w:lang w:val="en-US" w:eastAsia="zh-CN"/>
              </w:rPr>
              <w:t xml:space="preserve"> </w:t>
            </w:r>
          </w:p>
        </w:tc>
      </w:tr>
      <w:tr w14:paraId="5ADFFFE5">
        <w:tblPrEx>
          <w:tblCellMar>
            <w:top w:w="0" w:type="dxa"/>
            <w:left w:w="108" w:type="dxa"/>
            <w:bottom w:w="0" w:type="dxa"/>
            <w:right w:w="108" w:type="dxa"/>
          </w:tblCellMar>
        </w:tblPrEx>
        <w:trPr>
          <w:trHeight w:val="617" w:hRule="atLeast"/>
        </w:trPr>
        <w:tc>
          <w:tcPr>
            <w:tcW w:w="5000" w:type="pct"/>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23A0621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打分人：</w:t>
            </w:r>
          </w:p>
        </w:tc>
      </w:tr>
    </w:tbl>
    <w:p w14:paraId="2AE33F17">
      <w:pPr>
        <w:numPr>
          <w:ilvl w:val="-1"/>
          <w:numId w:val="0"/>
        </w:numPr>
        <w:ind w:left="0" w:leftChars="0" w:firstLine="0" w:firstLineChars="0"/>
        <w:jc w:val="both"/>
        <w:rPr>
          <w:rFonts w:ascii="Times New Roman" w:hAnsi="Times New Roman" w:cs="Times New Roman"/>
          <w:color w:val="auto"/>
          <w:sz w:val="24"/>
          <w:szCs w:val="24"/>
          <w:highlight w:val="none"/>
          <w:u w:val="none"/>
          <w:lang w:eastAsia="zh-CN"/>
        </w:rPr>
      </w:pPr>
    </w:p>
    <w:sectPr>
      <w:pgSz w:w="16839" w:h="11906" w:orient="landscape"/>
      <w:pgMar w:top="890" w:right="890" w:bottom="890" w:left="1287" w:header="0" w:footer="95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124D8">
    <w:pPr>
      <w:spacing w:line="176" w:lineRule="auto"/>
      <w:ind w:left="4565" w:firstLine="36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9A68794">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9A68794">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8ECDB">
    <w:pPr>
      <w:spacing w:line="176" w:lineRule="auto"/>
      <w:ind w:left="4664" w:firstLine="360"/>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22A187F">
                          <w:pPr>
                            <w:pStyle w:val="13"/>
                            <w:ind w:firstLine="36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naaT/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GdppP8kBAACSAwAADgAAAAAAAAABACAAAAAfAQAAZHJzL2Uyb0Rv&#10;Yy54bWxQSwUGAAAAAAYABgBZAQAAWgUAAAAA&#10;">
              <v:fill on="f" focussize="0,0"/>
              <v:stroke on="f"/>
              <v:imagedata o:title=""/>
              <o:lock v:ext="edit" aspectratio="f"/>
              <v:textbox inset="0mm,0mm,0mm,0mm" style="mso-fit-shape-to-text:t;">
                <w:txbxContent>
                  <w:p w14:paraId="622A187F">
                    <w:pPr>
                      <w:pStyle w:val="13"/>
                      <w:ind w:firstLine="36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lowerLetter"/>
      <w:lvlText w:val="%1."/>
      <w:lvlJc w:val="left"/>
      <w:pPr>
        <w:tabs>
          <w:tab w:val="left" w:pos="840"/>
        </w:tabs>
        <w:ind w:left="1265" w:hanging="425"/>
      </w:pPr>
      <w:rPr>
        <w:rFonts w:hint="default"/>
      </w:rPr>
    </w:lvl>
  </w:abstractNum>
  <w:abstractNum w:abstractNumId="1">
    <w:nsid w:val="00000001"/>
    <w:multiLevelType w:val="singleLevel"/>
    <w:tmpl w:val="00000001"/>
    <w:lvl w:ilvl="0" w:tentative="0">
      <w:start w:val="1"/>
      <w:numFmt w:val="chineseCounting"/>
      <w:suff w:val="nothing"/>
      <w:lvlText w:val="%1、"/>
      <w:lvlJc w:val="left"/>
      <w:pPr>
        <w:ind w:left="0" w:firstLine="420"/>
      </w:pPr>
      <w:rPr>
        <w:rFonts w:hint="eastAsia"/>
      </w:rPr>
    </w:lvl>
  </w:abstractNum>
  <w:abstractNum w:abstractNumId="2">
    <w:nsid w:val="00000002"/>
    <w:multiLevelType w:val="multilevel"/>
    <w:tmpl w:val="00000002"/>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3">
    <w:nsid w:val="00000003"/>
    <w:multiLevelType w:val="singleLevel"/>
    <w:tmpl w:val="00000003"/>
    <w:lvl w:ilvl="0" w:tentative="0">
      <w:start w:val="1"/>
      <w:numFmt w:val="decimal"/>
      <w:suff w:val="nothing"/>
      <w:lvlText w:val="%1．"/>
      <w:lvlJc w:val="left"/>
      <w:pPr>
        <w:ind w:left="0" w:firstLine="400"/>
      </w:pPr>
      <w:rPr>
        <w:rFonts w:hint="default"/>
      </w:rPr>
    </w:lvl>
  </w:abstractNum>
  <w:abstractNum w:abstractNumId="4">
    <w:nsid w:val="00000004"/>
    <w:multiLevelType w:val="singleLevel"/>
    <w:tmpl w:val="00000004"/>
    <w:lvl w:ilvl="0" w:tentative="0">
      <w:start w:val="1"/>
      <w:numFmt w:val="decimal"/>
      <w:suff w:val="nothing"/>
      <w:lvlText w:val="%1．"/>
      <w:lvlJc w:val="left"/>
      <w:pPr>
        <w:ind w:left="0" w:firstLine="400"/>
      </w:pPr>
      <w:rPr>
        <w:rFonts w:hint="default"/>
      </w:rPr>
    </w:lvl>
  </w:abstractNum>
  <w:abstractNum w:abstractNumId="5">
    <w:nsid w:val="00000005"/>
    <w:multiLevelType w:val="singleLevel"/>
    <w:tmpl w:val="00000005"/>
    <w:lvl w:ilvl="0" w:tentative="0">
      <w:start w:val="1"/>
      <w:numFmt w:val="lowerLetter"/>
      <w:lvlText w:val="%1."/>
      <w:lvlJc w:val="left"/>
      <w:pPr>
        <w:tabs>
          <w:tab w:val="left" w:pos="840"/>
        </w:tabs>
        <w:ind w:left="1265" w:hanging="425"/>
      </w:pPr>
      <w:rPr>
        <w:rFonts w:hint="default"/>
      </w:rPr>
    </w:lvl>
  </w:abstractNum>
  <w:abstractNum w:abstractNumId="6">
    <w:nsid w:val="00000006"/>
    <w:multiLevelType w:val="singleLevel"/>
    <w:tmpl w:val="00000006"/>
    <w:lvl w:ilvl="0" w:tentative="0">
      <w:start w:val="1"/>
      <w:numFmt w:val="decimal"/>
      <w:lvlText w:val="%1)"/>
      <w:lvlJc w:val="left"/>
      <w:pPr>
        <w:tabs>
          <w:tab w:val="left" w:pos="0"/>
        </w:tabs>
        <w:ind w:left="425" w:hanging="425"/>
      </w:pPr>
      <w:rPr>
        <w:rFonts w:hint="default"/>
      </w:rPr>
    </w:lvl>
  </w:abstractNum>
  <w:abstractNum w:abstractNumId="7">
    <w:nsid w:val="00000007"/>
    <w:multiLevelType w:val="singleLevel"/>
    <w:tmpl w:val="00000007"/>
    <w:lvl w:ilvl="0" w:tentative="0">
      <w:start w:val="1"/>
      <w:numFmt w:val="lowerLetter"/>
      <w:lvlText w:val="%1."/>
      <w:lvlJc w:val="left"/>
      <w:pPr>
        <w:tabs>
          <w:tab w:val="left" w:pos="840"/>
        </w:tabs>
        <w:ind w:left="1265" w:hanging="425"/>
      </w:pPr>
      <w:rPr>
        <w:rFonts w:hint="default"/>
      </w:rPr>
    </w:lvl>
  </w:abstractNum>
  <w:abstractNum w:abstractNumId="8">
    <w:nsid w:val="00000008"/>
    <w:multiLevelType w:val="singleLevel"/>
    <w:tmpl w:val="00000008"/>
    <w:lvl w:ilvl="0" w:tentative="0">
      <w:start w:val="1"/>
      <w:numFmt w:val="lowerLetter"/>
      <w:lvlText w:val="%1."/>
      <w:lvlJc w:val="left"/>
      <w:pPr>
        <w:tabs>
          <w:tab w:val="left" w:pos="840"/>
        </w:tabs>
        <w:ind w:left="1265" w:hanging="425"/>
      </w:pPr>
      <w:rPr>
        <w:rFonts w:hint="default"/>
      </w:rPr>
    </w:lvl>
  </w:abstractNum>
  <w:abstractNum w:abstractNumId="9">
    <w:nsid w:val="00000009"/>
    <w:multiLevelType w:val="singleLevel"/>
    <w:tmpl w:val="00000009"/>
    <w:lvl w:ilvl="0" w:tentative="0">
      <w:start w:val="1"/>
      <w:numFmt w:val="lowerLetter"/>
      <w:lvlText w:val="%1."/>
      <w:lvlJc w:val="left"/>
      <w:pPr>
        <w:tabs>
          <w:tab w:val="left" w:pos="840"/>
        </w:tabs>
        <w:ind w:left="1265" w:hanging="425"/>
      </w:pPr>
      <w:rPr>
        <w:rFonts w:hint="default"/>
      </w:rPr>
    </w:lvl>
  </w:abstractNum>
  <w:num w:numId="1">
    <w:abstractNumId w:val="2"/>
  </w:num>
  <w:num w:numId="2">
    <w:abstractNumId w:val="1"/>
  </w:num>
  <w:num w:numId="3">
    <w:abstractNumId w:val="4"/>
  </w:num>
  <w:num w:numId="4">
    <w:abstractNumId w:val="6"/>
  </w:num>
  <w:num w:numId="5">
    <w:abstractNumId w:val="8"/>
  </w:num>
  <w:num w:numId="6">
    <w:abstractNumId w:val="5"/>
  </w:num>
  <w:num w:numId="7">
    <w:abstractNumId w:val="9"/>
  </w:num>
  <w:num w:numId="8">
    <w:abstractNumId w:val="7"/>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BA41CC"/>
    <w:rsid w:val="09137027"/>
    <w:rsid w:val="202C5CD5"/>
    <w:rsid w:val="36A17CDC"/>
    <w:rsid w:val="400235E2"/>
    <w:rsid w:val="47CF0F0F"/>
    <w:rsid w:val="4E501189"/>
    <w:rsid w:val="6DE54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420" w:firstLineChars="200"/>
      <w:textAlignment w:val="baseline"/>
    </w:pPr>
    <w:rPr>
      <w:rFonts w:ascii="Arial" w:hAnsi="Arial" w:eastAsia="宋体" w:cs="Arial"/>
      <w:snapToGrid w:val="0"/>
      <w:color w:val="000000"/>
      <w:sz w:val="28"/>
      <w:szCs w:val="21"/>
      <w:lang w:val="en-US" w:eastAsia="en-US" w:bidi="ar-SA"/>
    </w:rPr>
  </w:style>
  <w:style w:type="paragraph" w:styleId="2">
    <w:name w:val="heading 1"/>
    <w:basedOn w:val="1"/>
    <w:next w:val="1"/>
    <w:qFormat/>
    <w:uiPriority w:val="0"/>
    <w:pPr>
      <w:keepNext/>
      <w:keepLines/>
      <w:numPr>
        <w:ilvl w:val="0"/>
        <w:numId w:val="1"/>
      </w:numPr>
      <w:spacing w:before="150" w:beforeLines="150"/>
      <w:ind w:left="432" w:hanging="432" w:firstLineChars="0"/>
      <w:outlineLvl w:val="0"/>
    </w:pPr>
    <w:rPr>
      <w:rFonts w:ascii="Times New Roman" w:hAnsi="Times New Roman"/>
      <w:b/>
      <w:kern w:val="44"/>
      <w:sz w:val="32"/>
    </w:rPr>
  </w:style>
  <w:style w:type="paragraph" w:styleId="3">
    <w:name w:val="heading 2"/>
    <w:basedOn w:val="1"/>
    <w:next w:val="1"/>
    <w:qFormat/>
    <w:uiPriority w:val="0"/>
    <w:pPr>
      <w:keepNext/>
      <w:keepLines/>
      <w:numPr>
        <w:ilvl w:val="1"/>
        <w:numId w:val="1"/>
      </w:numPr>
      <w:autoSpaceDE/>
      <w:autoSpaceDN/>
      <w:spacing w:before="200" w:beforeAutospacing="0" w:after="200" w:afterAutospacing="0" w:line="360" w:lineRule="auto"/>
      <w:ind w:left="573" w:firstLine="420" w:firstLineChars="200"/>
      <w:outlineLvl w:val="1"/>
    </w:pPr>
    <w:rPr>
      <w:rFonts w:ascii="Arial" w:hAnsi="Arial" w:eastAsia="黑体"/>
      <w:b/>
      <w:sz w:val="24"/>
    </w:rPr>
  </w:style>
  <w:style w:type="paragraph" w:styleId="4">
    <w:name w:val="heading 3"/>
    <w:basedOn w:val="1"/>
    <w:next w:val="1"/>
    <w:qFormat/>
    <w:uiPriority w:val="0"/>
    <w:pPr>
      <w:keepNext/>
      <w:keepLines/>
      <w:numPr>
        <w:ilvl w:val="2"/>
        <w:numId w:val="1"/>
      </w:numPr>
      <w:spacing w:before="260" w:beforeAutospacing="0" w:after="260" w:afterAutospacing="0" w:line="413" w:lineRule="auto"/>
      <w:ind w:left="720" w:hanging="720" w:firstLineChars="0"/>
      <w:outlineLvl w:val="2"/>
    </w:pPr>
    <w:rPr>
      <w:rFonts w:ascii="Arial" w:hAnsi="Arial"/>
      <w:b/>
      <w:sz w:val="28"/>
    </w:rPr>
  </w:style>
  <w:style w:type="paragraph" w:styleId="5">
    <w:name w:val="heading 4"/>
    <w:basedOn w:val="1"/>
    <w:next w:val="1"/>
    <w:qFormat/>
    <w:uiPriority w:val="0"/>
    <w:pPr>
      <w:keepNext/>
      <w:keepLines/>
      <w:numPr>
        <w:ilvl w:val="3"/>
        <w:numId w:val="1"/>
      </w:numPr>
      <w:spacing w:before="280" w:beforeAutospacing="0" w:after="290" w:afterAutospacing="0" w:line="372" w:lineRule="auto"/>
      <w:ind w:left="864" w:hanging="864" w:firstLineChars="0"/>
      <w:outlineLvl w:val="3"/>
    </w:pPr>
    <w:rPr>
      <w:rFonts w:ascii="Arial" w:hAnsi="Arial" w:eastAsia="黑体"/>
      <w:b/>
      <w:sz w:val="28"/>
    </w:rPr>
  </w:style>
  <w:style w:type="paragraph" w:styleId="6">
    <w:name w:val="heading 5"/>
    <w:basedOn w:val="1"/>
    <w:next w:val="1"/>
    <w:qFormat/>
    <w:uiPriority w:val="0"/>
    <w:pPr>
      <w:keepNext/>
      <w:keepLines/>
      <w:numPr>
        <w:ilvl w:val="4"/>
        <w:numId w:val="1"/>
      </w:numPr>
      <w:spacing w:before="280" w:beforeAutospacing="0" w:after="290" w:afterAutospacing="0" w:line="372" w:lineRule="auto"/>
      <w:ind w:left="1008" w:hanging="1008" w:firstLineChars="0"/>
      <w:outlineLvl w:val="4"/>
    </w:pPr>
    <w:rPr>
      <w:b/>
      <w:sz w:val="28"/>
    </w:rPr>
  </w:style>
  <w:style w:type="paragraph" w:styleId="7">
    <w:name w:val="heading 6"/>
    <w:basedOn w:val="1"/>
    <w:next w:val="1"/>
    <w:qFormat/>
    <w:uiPriority w:val="0"/>
    <w:pPr>
      <w:keepNext/>
      <w:keepLines/>
      <w:numPr>
        <w:ilvl w:val="5"/>
        <w:numId w:val="1"/>
      </w:numPr>
      <w:spacing w:before="240" w:beforeAutospacing="0" w:after="64" w:afterAutospacing="0" w:line="317" w:lineRule="auto"/>
      <w:ind w:left="1151" w:hanging="1151" w:firstLineChars="0"/>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beforeAutospacing="0" w:after="64" w:afterAutospacing="0" w:line="317" w:lineRule="auto"/>
      <w:ind w:left="1296" w:hanging="1296" w:firstLineChars="0"/>
      <w:outlineLvl w:val="6"/>
    </w:pPr>
    <w:rPr>
      <w:b/>
      <w:sz w:val="24"/>
    </w:rPr>
  </w:style>
  <w:style w:type="paragraph" w:styleId="9">
    <w:name w:val="heading 8"/>
    <w:basedOn w:val="1"/>
    <w:next w:val="1"/>
    <w:qFormat/>
    <w:uiPriority w:val="0"/>
    <w:pPr>
      <w:keepNext/>
      <w:keepLines/>
      <w:numPr>
        <w:ilvl w:val="7"/>
        <w:numId w:val="1"/>
      </w:numPr>
      <w:spacing w:before="240" w:beforeAutospacing="0" w:after="64" w:afterAutospacing="0" w:line="317" w:lineRule="auto"/>
      <w:ind w:left="1440" w:hanging="1440" w:firstLineChars="0"/>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beforeAutospacing="0" w:after="64" w:afterAutospacing="0" w:line="317" w:lineRule="auto"/>
      <w:ind w:left="1583" w:hanging="1583" w:firstLineChars="0"/>
      <w:outlineLvl w:val="8"/>
    </w:pPr>
    <w:rPr>
      <w:rFonts w:ascii="Arial" w:hAnsi="Arial" w:eastAsia="黑体"/>
      <w:sz w:val="21"/>
    </w:rPr>
  </w:style>
  <w:style w:type="character" w:default="1" w:styleId="17">
    <w:name w:val="Default Paragraph Font"/>
    <w:qFormat/>
    <w:uiPriority w:val="1"/>
  </w:style>
  <w:style w:type="table" w:default="1" w:styleId="15">
    <w:name w:val="Normal Table"/>
    <w:qFormat/>
    <w:uiPriority w:val="99"/>
    <w:tblPr>
      <w:tblCellMar>
        <w:top w:w="0" w:type="dxa"/>
        <w:left w:w="108" w:type="dxa"/>
        <w:bottom w:w="0" w:type="dxa"/>
        <w:right w:w="108" w:type="dxa"/>
      </w:tblCellMar>
    </w:tblPr>
  </w:style>
  <w:style w:type="paragraph" w:styleId="11">
    <w:name w:val="annotation text"/>
    <w:basedOn w:val="1"/>
    <w:qFormat/>
    <w:uiPriority w:val="0"/>
  </w:style>
  <w:style w:type="paragraph" w:styleId="12">
    <w:name w:val="Body Text"/>
    <w:basedOn w:val="1"/>
    <w:qFormat/>
    <w:uiPriority w:val="0"/>
    <w:rPr>
      <w:rFonts w:eastAsia="Arial"/>
      <w:sz w:val="21"/>
    </w:rPr>
  </w:style>
  <w:style w:type="paragraph" w:styleId="13">
    <w:name w:val="footer"/>
    <w:basedOn w:val="1"/>
    <w:qFormat/>
    <w:uiPriority w:val="0"/>
    <w:pPr>
      <w:tabs>
        <w:tab w:val="center" w:pos="4153"/>
        <w:tab w:val="right" w:pos="8306"/>
      </w:tabs>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annotation reference"/>
    <w:basedOn w:val="17"/>
    <w:qFormat/>
    <w:uiPriority w:val="0"/>
    <w:rPr>
      <w:sz w:val="21"/>
      <w:szCs w:val="21"/>
    </w:rPr>
  </w:style>
  <w:style w:type="table" w:customStyle="1" w:styleId="19">
    <w:name w:val="Table Normal"/>
    <w:qFormat/>
    <w:uiPriority w:val="0"/>
    <w:tblPr>
      <w:tblCellMar>
        <w:top w:w="0" w:type="dxa"/>
        <w:left w:w="0" w:type="dxa"/>
        <w:bottom w:w="0" w:type="dxa"/>
        <w:right w:w="0" w:type="dxa"/>
      </w:tblCellMar>
    </w:tblPr>
  </w:style>
  <w:style w:type="paragraph" w:customStyle="1" w:styleId="20">
    <w:name w:val="Table Text"/>
    <w:basedOn w:val="1"/>
    <w:qFormat/>
    <w:uiPriority w:val="0"/>
    <w:rPr>
      <w:rFonts w:ascii="仿宋" w:hAnsi="仿宋" w:eastAsia="仿宋" w:cs="仿宋"/>
      <w:szCs w:val="24"/>
    </w:rPr>
  </w:style>
  <w:style w:type="paragraph" w:styleId="21">
    <w:name w:val="List Paragraph"/>
    <w:basedOn w:val="1"/>
    <w:qFormat/>
    <w:uiPriority w:val="34"/>
    <w:pPr>
      <w:spacing w:line="240" w:lineRule="auto"/>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4700</Words>
  <Characters>4823</Characters>
  <Paragraphs>193</Paragraphs>
  <TotalTime>67</TotalTime>
  <ScaleCrop>false</ScaleCrop>
  <LinksUpToDate>false</LinksUpToDate>
  <CharactersWithSpaces>4970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2024-06-03T08:17:00Z</dcterms:created>
  <dc:creator>Administrator</dc:creator>
  <cp:lastModifiedBy>王晓烽</cp:lastModifiedBy>
  <cp:lastPrinted>2025-10-12T05:45:00Z</cp:lastPrinted>
  <dcterms:modified xsi:type="dcterms:W3CDTF">2025-11-18T02:05:45Z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2024-05-23T17:21:43Z</vt:filetime>
  </property>
  <property fmtid="{D5CDD505-2E9C-101B-9397-08002B2CF9AE}" pid="4" name="KSOProductBuildVer">
    <vt:lpwstr>2052-12.1.0.23542</vt:lpwstr>
  </property>
  <property fmtid="{D5CDD505-2E9C-101B-9397-08002B2CF9AE}" pid="5" name="ICV">
    <vt:lpwstr>BA3717AD40244E56B327B5DF325A9165_13</vt:lpwstr>
  </property>
  <property fmtid="{D5CDD505-2E9C-101B-9397-08002B2CF9AE}" pid="6" name="KSOTemplateDocerSaveRecord">
    <vt:lpwstr>eyJoZGlkIjoiMjVmNmZiY2M1ZGM0NTUyYjUyZGM2Njk3ZWNlNGY1ZjMiLCJ1c2VySWQiOiI3MDgwOTM3MTMifQ==</vt:lpwstr>
  </property>
</Properties>
</file>