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B2B1CC">
      <w:pPr>
        <w:spacing w:before="83" w:line="787" w:lineRule="exact"/>
        <w:ind w:firstLine="74"/>
      </w:pPr>
      <w:r>
        <w:rPr>
          <w:position w:val="-15"/>
          <w:lang w:eastAsia="zh-CN"/>
        </w:rPr>
        <w:drawing>
          <wp:inline distT="0" distB="0" distL="0" distR="0">
            <wp:extent cx="5741035" cy="499745"/>
            <wp:effectExtent l="0" t="0" r="12065" b="1460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
                    <a:stretch>
                      <a:fillRect/>
                    </a:stretch>
                  </pic:blipFill>
                  <pic:spPr>
                    <a:xfrm>
                      <a:off x="0" y="0"/>
                      <a:ext cx="5741035" cy="499872"/>
                    </a:xfrm>
                    <a:prstGeom prst="rect">
                      <a:avLst/>
                    </a:prstGeom>
                  </pic:spPr>
                </pic:pic>
              </a:graphicData>
            </a:graphic>
          </wp:inline>
        </w:drawing>
      </w:r>
    </w:p>
    <w:p w14:paraId="1705CE32">
      <w:pPr>
        <w:pStyle w:val="2"/>
        <w:spacing w:line="242" w:lineRule="auto"/>
      </w:pPr>
    </w:p>
    <w:p w14:paraId="14C61CF3">
      <w:pPr>
        <w:pStyle w:val="2"/>
        <w:spacing w:line="242" w:lineRule="auto"/>
      </w:pPr>
    </w:p>
    <w:p w14:paraId="3921627A">
      <w:pPr>
        <w:pStyle w:val="2"/>
        <w:spacing w:line="242" w:lineRule="auto"/>
      </w:pPr>
    </w:p>
    <w:p w14:paraId="6E21CA7B">
      <w:pPr>
        <w:pStyle w:val="2"/>
        <w:spacing w:line="243" w:lineRule="auto"/>
      </w:pPr>
    </w:p>
    <w:p w14:paraId="4CFE30AA">
      <w:pPr>
        <w:pStyle w:val="2"/>
        <w:spacing w:line="243" w:lineRule="auto"/>
      </w:pPr>
    </w:p>
    <w:p w14:paraId="3D5F9B51">
      <w:pPr>
        <w:pStyle w:val="2"/>
        <w:spacing w:line="243" w:lineRule="auto"/>
      </w:pPr>
    </w:p>
    <w:p w14:paraId="59874915">
      <w:pPr>
        <w:pStyle w:val="2"/>
        <w:spacing w:line="243" w:lineRule="auto"/>
      </w:pPr>
    </w:p>
    <w:p w14:paraId="7E2DB398">
      <w:pPr>
        <w:pStyle w:val="2"/>
        <w:spacing w:line="243" w:lineRule="auto"/>
      </w:pPr>
    </w:p>
    <w:p w14:paraId="1E276074">
      <w:pPr>
        <w:pStyle w:val="2"/>
        <w:spacing w:line="243" w:lineRule="auto"/>
      </w:pPr>
    </w:p>
    <w:p w14:paraId="6D90380A">
      <w:pPr>
        <w:pStyle w:val="2"/>
        <w:spacing w:line="243" w:lineRule="auto"/>
      </w:pPr>
    </w:p>
    <w:p w14:paraId="3A34EAF3">
      <w:pPr>
        <w:spacing w:before="140" w:line="224" w:lineRule="auto"/>
        <w:jc w:val="center"/>
        <w:outlineLvl w:val="0"/>
        <w:rPr>
          <w:rFonts w:ascii="宋体" w:hAnsi="宋体" w:eastAsia="宋体" w:cs="宋体"/>
          <w:sz w:val="52"/>
          <w:szCs w:val="52"/>
          <w:lang w:eastAsia="zh-CN"/>
        </w:rPr>
      </w:pPr>
      <w:r>
        <w:rPr>
          <w:rFonts w:ascii="宋体" w:hAnsi="宋体" w:eastAsia="宋体" w:cs="宋体"/>
          <w:b/>
          <w:bCs/>
          <w:spacing w:val="-1"/>
          <w:sz w:val="52"/>
          <w:szCs w:val="52"/>
          <w:lang w:eastAsia="zh-CN"/>
        </w:rPr>
        <w:t>202</w:t>
      </w:r>
      <w:r>
        <w:rPr>
          <w:rFonts w:hint="eastAsia" w:ascii="宋体" w:hAnsi="宋体" w:eastAsia="宋体" w:cs="宋体"/>
          <w:b/>
          <w:bCs/>
          <w:spacing w:val="-1"/>
          <w:sz w:val="52"/>
          <w:szCs w:val="52"/>
          <w:lang w:val="en-US" w:eastAsia="zh-CN"/>
        </w:rPr>
        <w:t>5-</w:t>
      </w:r>
      <w:r>
        <w:rPr>
          <w:rFonts w:ascii="宋体" w:hAnsi="宋体" w:eastAsia="宋体" w:cs="宋体"/>
          <w:b/>
          <w:bCs/>
          <w:spacing w:val="-1"/>
          <w:sz w:val="52"/>
          <w:szCs w:val="52"/>
          <w:lang w:eastAsia="zh-CN"/>
        </w:rPr>
        <w:t>202</w:t>
      </w:r>
      <w:r>
        <w:rPr>
          <w:rFonts w:hint="eastAsia" w:ascii="宋体" w:hAnsi="宋体" w:eastAsia="宋体" w:cs="宋体"/>
          <w:b/>
          <w:bCs/>
          <w:spacing w:val="-1"/>
          <w:sz w:val="52"/>
          <w:szCs w:val="52"/>
          <w:lang w:val="en-US" w:eastAsia="zh-CN"/>
        </w:rPr>
        <w:t>6</w:t>
      </w:r>
      <w:r>
        <w:rPr>
          <w:rFonts w:ascii="宋体" w:hAnsi="宋体" w:eastAsia="宋体" w:cs="宋体"/>
          <w:spacing w:val="-76"/>
          <w:sz w:val="52"/>
          <w:szCs w:val="52"/>
          <w:lang w:eastAsia="zh-CN"/>
        </w:rPr>
        <w:t xml:space="preserve"> </w:t>
      </w:r>
      <w:r>
        <w:rPr>
          <w:rFonts w:ascii="宋体" w:hAnsi="宋体" w:eastAsia="宋体" w:cs="宋体"/>
          <w:b/>
          <w:bCs/>
          <w:spacing w:val="-1"/>
          <w:sz w:val="52"/>
          <w:szCs w:val="52"/>
          <w:lang w:eastAsia="zh-CN"/>
        </w:rPr>
        <w:t>学年</w:t>
      </w:r>
    </w:p>
    <w:p w14:paraId="471ABA26">
      <w:pPr>
        <w:pStyle w:val="2"/>
        <w:spacing w:line="304" w:lineRule="auto"/>
        <w:jc w:val="center"/>
        <w:rPr>
          <w:sz w:val="52"/>
          <w:szCs w:val="52"/>
          <w:lang w:eastAsia="zh-CN"/>
        </w:rPr>
      </w:pPr>
    </w:p>
    <w:p w14:paraId="09719D6C">
      <w:pPr>
        <w:spacing w:before="140" w:line="224" w:lineRule="auto"/>
        <w:jc w:val="center"/>
        <w:outlineLvl w:val="0"/>
        <w:rPr>
          <w:rFonts w:ascii="宋体" w:hAnsi="宋体" w:eastAsia="宋体" w:cs="宋体"/>
          <w:b/>
          <w:bCs/>
          <w:spacing w:val="5"/>
          <w:sz w:val="52"/>
          <w:szCs w:val="52"/>
          <w:lang w:eastAsia="zh-CN"/>
        </w:rPr>
      </w:pPr>
      <w:r>
        <w:rPr>
          <w:rFonts w:hint="eastAsia" w:ascii="宋体" w:hAnsi="宋体" w:eastAsia="宋体" w:cs="宋体"/>
          <w:b/>
          <w:bCs/>
          <w:spacing w:val="5"/>
          <w:sz w:val="52"/>
          <w:szCs w:val="52"/>
          <w:lang w:eastAsia="zh-CN"/>
        </w:rPr>
        <w:t>校园信息化运维服务项目</w:t>
      </w:r>
    </w:p>
    <w:p w14:paraId="5A0FE8D8">
      <w:pPr>
        <w:spacing w:before="140" w:line="224" w:lineRule="auto"/>
        <w:jc w:val="center"/>
        <w:outlineLvl w:val="0"/>
        <w:rPr>
          <w:rFonts w:ascii="宋体" w:hAnsi="宋体" w:eastAsia="宋体" w:cs="宋体"/>
          <w:b/>
          <w:bCs/>
          <w:spacing w:val="5"/>
          <w:sz w:val="43"/>
          <w:szCs w:val="43"/>
          <w:lang w:eastAsia="zh-CN"/>
        </w:rPr>
      </w:pPr>
    </w:p>
    <w:p w14:paraId="5BCEAA35">
      <w:pPr>
        <w:spacing w:before="140" w:line="224" w:lineRule="auto"/>
        <w:jc w:val="center"/>
        <w:outlineLvl w:val="0"/>
        <w:rPr>
          <w:rFonts w:hint="eastAsia" w:ascii="宋体" w:hAnsi="宋体" w:eastAsia="宋体" w:cs="宋体"/>
          <w:b/>
          <w:bCs/>
          <w:spacing w:val="5"/>
          <w:sz w:val="48"/>
          <w:szCs w:val="48"/>
          <w:lang w:val="en-US" w:eastAsia="zh-CN"/>
        </w:rPr>
      </w:pPr>
    </w:p>
    <w:p w14:paraId="3F01E220">
      <w:pPr>
        <w:spacing w:before="140" w:line="224" w:lineRule="auto"/>
        <w:jc w:val="center"/>
        <w:outlineLvl w:val="0"/>
        <w:rPr>
          <w:rFonts w:hint="eastAsia" w:ascii="宋体" w:hAnsi="宋体" w:eastAsia="宋体" w:cs="宋体"/>
          <w:b/>
          <w:bCs/>
          <w:spacing w:val="5"/>
          <w:sz w:val="48"/>
          <w:szCs w:val="48"/>
          <w:lang w:val="en-US" w:eastAsia="zh-CN"/>
        </w:rPr>
      </w:pPr>
      <w:r>
        <w:rPr>
          <w:rFonts w:hint="eastAsia" w:ascii="宋体" w:hAnsi="宋体" w:eastAsia="宋体" w:cs="宋体"/>
          <w:b/>
          <w:bCs/>
          <w:spacing w:val="5"/>
          <w:sz w:val="48"/>
          <w:szCs w:val="48"/>
          <w:lang w:val="en-US" w:eastAsia="zh-CN"/>
        </w:rPr>
        <w:t>技</w:t>
      </w:r>
    </w:p>
    <w:p w14:paraId="3850AFD5">
      <w:pPr>
        <w:spacing w:before="140" w:line="224" w:lineRule="auto"/>
        <w:jc w:val="center"/>
        <w:outlineLvl w:val="0"/>
        <w:rPr>
          <w:rFonts w:hint="default" w:ascii="宋体" w:hAnsi="宋体" w:eastAsia="宋体" w:cs="宋体"/>
          <w:b/>
          <w:bCs/>
          <w:spacing w:val="5"/>
          <w:sz w:val="48"/>
          <w:szCs w:val="48"/>
          <w:lang w:val="en-US" w:eastAsia="zh-CN"/>
        </w:rPr>
      </w:pPr>
      <w:r>
        <w:rPr>
          <w:rFonts w:hint="eastAsia" w:ascii="宋体" w:hAnsi="宋体" w:eastAsia="宋体" w:cs="宋体"/>
          <w:b/>
          <w:bCs/>
          <w:spacing w:val="5"/>
          <w:sz w:val="48"/>
          <w:szCs w:val="48"/>
          <w:lang w:val="en-US" w:eastAsia="zh-CN"/>
        </w:rPr>
        <w:t>术</w:t>
      </w:r>
    </w:p>
    <w:p w14:paraId="446ED978">
      <w:pPr>
        <w:spacing w:before="140" w:line="224" w:lineRule="auto"/>
        <w:jc w:val="center"/>
        <w:outlineLvl w:val="0"/>
        <w:rPr>
          <w:rFonts w:hint="eastAsia" w:ascii="宋体" w:hAnsi="宋体" w:eastAsia="宋体" w:cs="宋体"/>
          <w:b/>
          <w:bCs/>
          <w:spacing w:val="5"/>
          <w:sz w:val="48"/>
          <w:szCs w:val="48"/>
          <w:lang w:val="en-US" w:eastAsia="zh-CN"/>
        </w:rPr>
      </w:pPr>
      <w:r>
        <w:rPr>
          <w:rFonts w:hint="eastAsia" w:ascii="宋体" w:hAnsi="宋体" w:eastAsia="宋体" w:cs="宋体"/>
          <w:b/>
          <w:bCs/>
          <w:spacing w:val="5"/>
          <w:sz w:val="48"/>
          <w:szCs w:val="48"/>
          <w:lang w:val="en-US" w:eastAsia="zh-CN"/>
        </w:rPr>
        <w:t>方</w:t>
      </w:r>
    </w:p>
    <w:p w14:paraId="28EE2805">
      <w:pPr>
        <w:spacing w:before="140" w:line="224" w:lineRule="auto"/>
        <w:jc w:val="center"/>
        <w:outlineLvl w:val="0"/>
        <w:rPr>
          <w:rFonts w:hint="default" w:ascii="宋体" w:hAnsi="宋体" w:eastAsia="宋体" w:cs="宋体"/>
          <w:b/>
          <w:bCs/>
          <w:spacing w:val="5"/>
          <w:sz w:val="48"/>
          <w:szCs w:val="48"/>
          <w:lang w:val="en-US" w:eastAsia="zh-CN"/>
        </w:rPr>
      </w:pPr>
      <w:r>
        <w:rPr>
          <w:rFonts w:hint="eastAsia" w:ascii="宋体" w:hAnsi="宋体" w:eastAsia="宋体" w:cs="宋体"/>
          <w:b/>
          <w:bCs/>
          <w:spacing w:val="5"/>
          <w:sz w:val="48"/>
          <w:szCs w:val="48"/>
          <w:lang w:val="en-US" w:eastAsia="zh-CN"/>
        </w:rPr>
        <w:t>案</w:t>
      </w:r>
    </w:p>
    <w:p w14:paraId="1CE979C1">
      <w:pPr>
        <w:pStyle w:val="2"/>
        <w:spacing w:line="358" w:lineRule="auto"/>
        <w:jc w:val="center"/>
        <w:rPr>
          <w:lang w:eastAsia="zh-CN"/>
        </w:rPr>
      </w:pPr>
    </w:p>
    <w:p w14:paraId="5C158FD8">
      <w:pPr>
        <w:pStyle w:val="2"/>
        <w:spacing w:line="241" w:lineRule="auto"/>
        <w:jc w:val="center"/>
        <w:rPr>
          <w:lang w:eastAsia="zh-CN"/>
        </w:rPr>
      </w:pPr>
    </w:p>
    <w:p w14:paraId="143A7FA6">
      <w:pPr>
        <w:pStyle w:val="2"/>
        <w:spacing w:line="241" w:lineRule="auto"/>
        <w:jc w:val="center"/>
        <w:rPr>
          <w:lang w:eastAsia="zh-CN"/>
        </w:rPr>
      </w:pPr>
    </w:p>
    <w:p w14:paraId="27E8A376">
      <w:pPr>
        <w:pStyle w:val="2"/>
        <w:spacing w:line="241" w:lineRule="auto"/>
        <w:jc w:val="center"/>
        <w:rPr>
          <w:lang w:eastAsia="zh-CN"/>
        </w:rPr>
      </w:pPr>
    </w:p>
    <w:p w14:paraId="76A56BC5">
      <w:pPr>
        <w:pStyle w:val="2"/>
        <w:spacing w:line="241" w:lineRule="auto"/>
        <w:jc w:val="center"/>
        <w:rPr>
          <w:lang w:eastAsia="zh-CN"/>
        </w:rPr>
      </w:pPr>
    </w:p>
    <w:p w14:paraId="193CED42">
      <w:pPr>
        <w:pStyle w:val="2"/>
        <w:spacing w:line="242" w:lineRule="auto"/>
        <w:jc w:val="center"/>
        <w:rPr>
          <w:lang w:eastAsia="zh-CN"/>
        </w:rPr>
      </w:pPr>
    </w:p>
    <w:p w14:paraId="3AD2DA4D">
      <w:pPr>
        <w:pStyle w:val="2"/>
        <w:spacing w:line="242" w:lineRule="auto"/>
        <w:jc w:val="center"/>
        <w:rPr>
          <w:lang w:eastAsia="zh-CN"/>
        </w:rPr>
      </w:pPr>
    </w:p>
    <w:p w14:paraId="37A3A70A">
      <w:pPr>
        <w:pStyle w:val="2"/>
        <w:spacing w:line="242" w:lineRule="auto"/>
        <w:jc w:val="center"/>
        <w:rPr>
          <w:lang w:eastAsia="zh-CN"/>
        </w:rPr>
      </w:pPr>
    </w:p>
    <w:p w14:paraId="160586D7">
      <w:pPr>
        <w:pStyle w:val="2"/>
        <w:spacing w:line="242" w:lineRule="auto"/>
        <w:jc w:val="center"/>
        <w:rPr>
          <w:lang w:eastAsia="zh-CN"/>
        </w:rPr>
      </w:pPr>
    </w:p>
    <w:p w14:paraId="26F026D6">
      <w:pPr>
        <w:pStyle w:val="2"/>
        <w:spacing w:line="242" w:lineRule="auto"/>
        <w:jc w:val="center"/>
        <w:rPr>
          <w:lang w:eastAsia="zh-CN"/>
        </w:rPr>
      </w:pPr>
    </w:p>
    <w:p w14:paraId="6491BF5D">
      <w:pPr>
        <w:pStyle w:val="2"/>
        <w:spacing w:line="242" w:lineRule="auto"/>
        <w:jc w:val="center"/>
        <w:rPr>
          <w:lang w:eastAsia="zh-CN"/>
        </w:rPr>
      </w:pPr>
    </w:p>
    <w:p w14:paraId="392DC52B">
      <w:pPr>
        <w:spacing w:before="91" w:line="399" w:lineRule="auto"/>
        <w:jc w:val="center"/>
        <w:rPr>
          <w:rFonts w:ascii="宋体" w:hAnsi="宋体" w:eastAsia="宋体" w:cs="宋体"/>
          <w:spacing w:val="8"/>
          <w:sz w:val="28"/>
          <w:szCs w:val="28"/>
          <w:lang w:eastAsia="zh-CN"/>
        </w:rPr>
      </w:pPr>
      <w:r>
        <w:rPr>
          <w:rFonts w:ascii="宋体" w:hAnsi="宋体" w:eastAsia="宋体" w:cs="宋体"/>
          <w:spacing w:val="-2"/>
          <w:sz w:val="28"/>
          <w:szCs w:val="28"/>
          <w:lang w:eastAsia="zh-CN"/>
        </w:rPr>
        <w:t>编制单位：信息化中心（武汉远程教育中心）</w:t>
      </w:r>
      <w:r>
        <w:rPr>
          <w:rFonts w:ascii="宋体" w:hAnsi="宋体" w:eastAsia="宋体" w:cs="宋体"/>
          <w:spacing w:val="8"/>
          <w:sz w:val="28"/>
          <w:szCs w:val="28"/>
          <w:lang w:eastAsia="zh-CN"/>
        </w:rPr>
        <w:t xml:space="preserve"> </w:t>
      </w:r>
    </w:p>
    <w:p w14:paraId="2FE9911E">
      <w:pPr>
        <w:spacing w:before="91" w:line="399" w:lineRule="auto"/>
        <w:jc w:val="center"/>
        <w:rPr>
          <w:rFonts w:hint="default" w:ascii="宋体" w:hAnsi="宋体" w:eastAsia="宋体" w:cs="宋体"/>
          <w:sz w:val="28"/>
          <w:szCs w:val="28"/>
          <w:lang w:val="en-US" w:eastAsia="zh-CN"/>
        </w:rPr>
      </w:pPr>
      <w:r>
        <w:rPr>
          <w:rFonts w:ascii="宋体" w:hAnsi="宋体" w:eastAsia="宋体" w:cs="宋体"/>
          <w:spacing w:val="-3"/>
          <w:sz w:val="28"/>
          <w:szCs w:val="28"/>
          <w:lang w:eastAsia="zh-CN"/>
        </w:rPr>
        <w:t>编制时间：202</w:t>
      </w:r>
      <w:r>
        <w:rPr>
          <w:rFonts w:hint="eastAsia" w:ascii="宋体" w:hAnsi="宋体" w:eastAsia="宋体" w:cs="宋体"/>
          <w:spacing w:val="-3"/>
          <w:sz w:val="28"/>
          <w:szCs w:val="28"/>
          <w:lang w:val="en-US" w:eastAsia="zh-CN"/>
        </w:rPr>
        <w:t>5</w:t>
      </w:r>
      <w:r>
        <w:rPr>
          <w:rFonts w:ascii="宋体" w:hAnsi="宋体" w:eastAsia="宋体" w:cs="宋体"/>
          <w:spacing w:val="-50"/>
          <w:sz w:val="28"/>
          <w:szCs w:val="28"/>
          <w:lang w:eastAsia="zh-CN"/>
        </w:rPr>
        <w:t xml:space="preserve"> </w:t>
      </w:r>
      <w:r>
        <w:rPr>
          <w:rFonts w:ascii="宋体" w:hAnsi="宋体" w:eastAsia="宋体" w:cs="宋体"/>
          <w:spacing w:val="-3"/>
          <w:sz w:val="28"/>
          <w:szCs w:val="28"/>
          <w:lang w:eastAsia="zh-CN"/>
        </w:rPr>
        <w:t>年</w:t>
      </w:r>
      <w:r>
        <w:rPr>
          <w:rFonts w:hint="eastAsia" w:ascii="宋体" w:hAnsi="宋体" w:eastAsia="宋体" w:cs="宋体"/>
          <w:spacing w:val="-3"/>
          <w:sz w:val="28"/>
          <w:szCs w:val="28"/>
          <w:lang w:val="en-US" w:eastAsia="zh-CN"/>
        </w:rPr>
        <w:t xml:space="preserve"> 9 月</w:t>
      </w:r>
    </w:p>
    <w:p w14:paraId="7F76401C">
      <w:pPr>
        <w:pStyle w:val="2"/>
        <w:snapToGrid/>
        <w:spacing w:line="262" w:lineRule="auto"/>
        <w:rPr>
          <w:lang w:eastAsia="zh-CN"/>
        </w:rPr>
      </w:pPr>
    </w:p>
    <w:p w14:paraId="0059AE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000000"/>
          <w:sz w:val="28"/>
          <w:szCs w:val="28"/>
          <w:lang w:eastAsia="zh-CN" w:bidi="ar-SA"/>
        </w:rPr>
      </w:pPr>
      <w:bookmarkStart w:id="0" w:name="_GoBack"/>
      <w:bookmarkEnd w:id="0"/>
      <w:r>
        <w:rPr>
          <w:rFonts w:hint="eastAsia" w:ascii="宋体" w:hAnsi="宋体" w:eastAsia="宋体" w:cs="宋体"/>
          <w:b/>
          <w:bCs/>
          <w:color w:val="000000"/>
          <w:sz w:val="28"/>
          <w:szCs w:val="28"/>
          <w:lang w:eastAsia="zh-CN" w:bidi="ar-SA"/>
        </w:rPr>
        <w:t>包二：</w:t>
      </w:r>
      <w:r>
        <w:rPr>
          <w:rFonts w:hint="eastAsia" w:ascii="宋体" w:hAnsi="宋体" w:eastAsia="宋体" w:cs="宋体"/>
          <w:b/>
          <w:bCs/>
          <w:color w:val="000000"/>
          <w:sz w:val="28"/>
          <w:szCs w:val="28"/>
          <w:lang w:val="en-US" w:eastAsia="zh-CN" w:bidi="ar-SA"/>
        </w:rPr>
        <w:t>2025-2026学年光谷校区</w:t>
      </w:r>
      <w:r>
        <w:rPr>
          <w:rFonts w:hint="eastAsia" w:ascii="宋体" w:hAnsi="宋体" w:eastAsia="宋体" w:cs="宋体"/>
          <w:b/>
          <w:bCs/>
          <w:color w:val="000000"/>
          <w:sz w:val="28"/>
          <w:szCs w:val="28"/>
          <w:lang w:eastAsia="zh-CN" w:bidi="ar-SA"/>
        </w:rPr>
        <w:t>基础网络运维服务</w:t>
      </w:r>
    </w:p>
    <w:p w14:paraId="6A2FD873">
      <w:pPr>
        <w:kinsoku w:val="0"/>
        <w:autoSpaceDE w:val="0"/>
        <w:autoSpaceDN w:val="0"/>
        <w:bidi w:val="0"/>
        <w:adjustRightInd w:val="0"/>
        <w:spacing w:line="360" w:lineRule="auto"/>
        <w:textAlignment w:val="baseline"/>
        <w:rPr>
          <w:rFonts w:ascii="宋体" w:hAnsi="宋体" w:eastAsia="宋体" w:cs="宋体"/>
          <w:b/>
          <w:bCs/>
          <w:color w:val="000000"/>
          <w:sz w:val="28"/>
          <w:szCs w:val="28"/>
          <w:lang w:bidi="ar-SA"/>
        </w:rPr>
      </w:pPr>
      <w:r>
        <w:rPr>
          <w:rFonts w:ascii="宋体" w:hAnsi="宋体" w:eastAsia="宋体" w:cs="宋体"/>
          <w:b/>
          <w:bCs/>
          <w:color w:val="000000"/>
          <w:sz w:val="28"/>
          <w:szCs w:val="28"/>
          <w:lang w:bidi="ar-SA"/>
        </w:rPr>
        <w:t>一、项目概况</w:t>
      </w:r>
    </w:p>
    <w:p w14:paraId="66D656C0">
      <w:pPr>
        <w:kinsoku w:val="0"/>
        <w:autoSpaceDE w:val="0"/>
        <w:autoSpaceDN w:val="0"/>
        <w:bidi w:val="0"/>
        <w:adjustRightInd w:val="0"/>
        <w:spacing w:line="360" w:lineRule="auto"/>
        <w:ind w:firstLine="480" w:firstLineChars="200"/>
        <w:textAlignment w:val="baseline"/>
        <w:rPr>
          <w:rFonts w:ascii="宋体" w:hAnsi="宋体" w:eastAsia="宋体" w:cs="宋体"/>
          <w:color w:val="000000"/>
          <w:sz w:val="24"/>
          <w:szCs w:val="24"/>
          <w:lang w:bidi="ar-SA"/>
        </w:rPr>
      </w:pPr>
      <w:r>
        <w:rPr>
          <w:rFonts w:ascii="宋体" w:hAnsi="宋体" w:eastAsia="宋体" w:cs="宋体"/>
          <w:color w:val="000000"/>
          <w:sz w:val="24"/>
          <w:szCs w:val="24"/>
          <w:lang w:bidi="ar-SA"/>
        </w:rPr>
        <w:t>（一）项目背景</w:t>
      </w:r>
    </w:p>
    <w:p w14:paraId="4C9FFEB9">
      <w:pPr>
        <w:kinsoku w:val="0"/>
        <w:autoSpaceDE w:val="0"/>
        <w:autoSpaceDN w:val="0"/>
        <w:bidi w:val="0"/>
        <w:adjustRightInd w:val="0"/>
        <w:spacing w:line="360" w:lineRule="auto"/>
        <w:ind w:firstLine="480" w:firstLineChars="200"/>
        <w:textAlignment w:val="baseline"/>
        <w:rPr>
          <w:rFonts w:ascii="宋体" w:hAnsi="宋体" w:eastAsia="宋体" w:cs="宋体"/>
          <w:color w:val="000000"/>
          <w:sz w:val="24"/>
          <w:szCs w:val="24"/>
          <w:lang w:bidi="ar-SA"/>
        </w:rPr>
      </w:pPr>
      <w:r>
        <w:rPr>
          <w:rFonts w:ascii="宋体" w:hAnsi="宋体" w:eastAsia="宋体" w:cs="宋体"/>
          <w:color w:val="000000"/>
          <w:sz w:val="24"/>
          <w:szCs w:val="24"/>
          <w:lang w:bidi="ar-SA"/>
        </w:rPr>
        <w:t>在科技飞速发展、数字浪潮汹涌澎湃的当下，校园网络就像学校的“神经网络”，紧密连接着教学、科研、管理等各个环节，其运行状况直接影响着学校的发展步伐。自 2019 年起，为让学校在这场数字化变革中抢占先机，全面提升信息化服务水平，学校管理层高瞻远瞩，做出了一个极具前瞻性的决策——引入第三方运维服务公司，为校园基础网络</w:t>
      </w:r>
      <w:r>
        <w:rPr>
          <w:rFonts w:hint="eastAsia" w:ascii="宋体" w:hAnsi="宋体" w:eastAsia="宋体" w:cs="宋体"/>
          <w:color w:val="000000"/>
          <w:sz w:val="24"/>
          <w:szCs w:val="24"/>
          <w:lang w:val="en-US" w:eastAsia="zh-CN" w:bidi="ar-SA"/>
        </w:rPr>
        <w:t>运行保障</w:t>
      </w:r>
      <w:r>
        <w:rPr>
          <w:rFonts w:ascii="宋体" w:hAnsi="宋体" w:eastAsia="宋体" w:cs="宋体"/>
          <w:color w:val="000000"/>
          <w:sz w:val="24"/>
          <w:szCs w:val="24"/>
          <w:lang w:bidi="ar-SA"/>
        </w:rPr>
        <w:t>注入专业的运维力量。</w:t>
      </w:r>
      <w:r>
        <w:rPr>
          <w:rFonts w:hint="eastAsia" w:ascii="宋体" w:hAnsi="宋体" w:eastAsia="宋体" w:cs="宋体"/>
          <w:color w:val="000000"/>
          <w:sz w:val="24"/>
          <w:szCs w:val="24"/>
          <w:lang w:val="en-US" w:eastAsia="zh-CN" w:bidi="ar-SA"/>
        </w:rPr>
        <w:t>多年来</w:t>
      </w:r>
      <w:r>
        <w:rPr>
          <w:rFonts w:ascii="宋体" w:hAnsi="宋体" w:eastAsia="宋体" w:cs="宋体"/>
          <w:color w:val="000000"/>
          <w:sz w:val="24"/>
          <w:szCs w:val="24"/>
          <w:lang w:bidi="ar-SA"/>
        </w:rPr>
        <w:t>，运维团队在信息化中心领导的精心指导下，超额完成各项运维任务，有效保障了校园基础网络的稳定运行，获得在校学生及教职工的一致好评。</w:t>
      </w:r>
    </w:p>
    <w:p w14:paraId="54355F74">
      <w:pPr>
        <w:kinsoku w:val="0"/>
        <w:autoSpaceDE w:val="0"/>
        <w:autoSpaceDN w:val="0"/>
        <w:bidi w:val="0"/>
        <w:adjustRightInd w:val="0"/>
        <w:spacing w:line="360" w:lineRule="auto"/>
        <w:ind w:firstLine="480" w:firstLineChars="200"/>
        <w:textAlignment w:val="baseline"/>
        <w:rPr>
          <w:rFonts w:ascii="宋体" w:hAnsi="宋体" w:eastAsia="宋体" w:cs="宋体"/>
          <w:color w:val="000000"/>
          <w:sz w:val="24"/>
          <w:szCs w:val="24"/>
          <w:lang w:bidi="ar-SA"/>
        </w:rPr>
      </w:pPr>
      <w:r>
        <w:rPr>
          <w:rFonts w:ascii="宋体" w:hAnsi="宋体" w:eastAsia="宋体" w:cs="宋体"/>
          <w:color w:val="000000"/>
          <w:sz w:val="24"/>
          <w:szCs w:val="24"/>
          <w:lang w:bidi="ar-SA"/>
        </w:rPr>
        <w:t>（二）主要用途</w:t>
      </w:r>
    </w:p>
    <w:p w14:paraId="0C27AC60">
      <w:pPr>
        <w:kinsoku w:val="0"/>
        <w:autoSpaceDE w:val="0"/>
        <w:autoSpaceDN w:val="0"/>
        <w:bidi w:val="0"/>
        <w:adjustRightInd w:val="0"/>
        <w:spacing w:line="360" w:lineRule="auto"/>
        <w:ind w:firstLine="480" w:firstLineChars="200"/>
        <w:textAlignment w:val="baseline"/>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为确保校园基础网络稳定、高效运行，保持高效专业的网络故障处理能力，学校计划继续聘请专业运维服务</w:t>
      </w:r>
      <w:r>
        <w:rPr>
          <w:rFonts w:hint="eastAsia" w:ascii="宋体" w:hAnsi="宋体" w:eastAsia="宋体" w:cs="宋体"/>
          <w:color w:val="000000"/>
          <w:sz w:val="24"/>
          <w:szCs w:val="24"/>
          <w:lang w:val="en-US" w:eastAsia="zh-CN" w:bidi="ar-SA"/>
        </w:rPr>
        <w:t>公司</w:t>
      </w:r>
      <w:r>
        <w:rPr>
          <w:rFonts w:hint="eastAsia" w:ascii="宋体" w:hAnsi="宋体" w:eastAsia="宋体" w:cs="宋体"/>
          <w:color w:val="000000"/>
          <w:sz w:val="24"/>
          <w:szCs w:val="24"/>
          <w:lang w:bidi="ar-SA"/>
        </w:rPr>
        <w:t>，为师生提供优质的基础网络运维服务。基于上一年度基础网络运维工作的总结，特制定2025-2026学年校园基础网络运维服务采购方案。</w:t>
      </w:r>
    </w:p>
    <w:p w14:paraId="5D93D5FF">
      <w:pPr>
        <w:kinsoku w:val="0"/>
        <w:autoSpaceDE w:val="0"/>
        <w:autoSpaceDN w:val="0"/>
        <w:bidi w:val="0"/>
        <w:adjustRightInd w:val="0"/>
        <w:spacing w:line="360" w:lineRule="auto"/>
        <w:ind w:firstLine="480" w:firstLineChars="200"/>
        <w:textAlignment w:val="baseline"/>
        <w:rPr>
          <w:rFonts w:ascii="宋体" w:hAnsi="宋体" w:eastAsia="宋体" w:cs="宋体"/>
          <w:color w:val="000000"/>
          <w:sz w:val="24"/>
          <w:szCs w:val="24"/>
          <w:lang w:bidi="ar-SA"/>
        </w:rPr>
      </w:pPr>
      <w:r>
        <w:rPr>
          <w:rFonts w:ascii="宋体" w:hAnsi="宋体" w:eastAsia="宋体" w:cs="宋体"/>
          <w:color w:val="000000"/>
          <w:sz w:val="24"/>
          <w:szCs w:val="24"/>
          <w:lang w:bidi="ar-SA"/>
        </w:rPr>
        <w:t>（三）总体要求</w:t>
      </w:r>
    </w:p>
    <w:p w14:paraId="5E37B0B6">
      <w:pPr>
        <w:kinsoku w:val="0"/>
        <w:autoSpaceDE w:val="0"/>
        <w:autoSpaceDN w:val="0"/>
        <w:bidi w:val="0"/>
        <w:adjustRightIn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宋体" w:hAnsi="宋体" w:eastAsia="宋体" w:cs="宋体"/>
          <w:color w:val="000000"/>
          <w:sz w:val="24"/>
          <w:szCs w:val="24"/>
          <w:lang w:bidi="ar-SA"/>
        </w:rPr>
        <w:t>项目实施需严格遵循国家相关政策与文件要求，契合学校信息化规划以及相关技术标准和规范。同时，要做好各类文档的管理工作</w:t>
      </w:r>
      <w:r>
        <w:rPr>
          <w:rFonts w:hint="eastAsia" w:ascii="宋体" w:hAnsi="宋体" w:eastAsia="宋体" w:cs="宋体"/>
          <w:color w:val="000000"/>
          <w:sz w:val="24"/>
          <w:szCs w:val="24"/>
          <w:lang w:eastAsia="zh-CN" w:bidi="ar-SA"/>
        </w:rPr>
        <w:t>，</w:t>
      </w:r>
      <w:r>
        <w:rPr>
          <w:rFonts w:ascii="宋体" w:hAnsi="宋体" w:eastAsia="宋体" w:cs="宋体"/>
          <w:color w:val="000000"/>
          <w:sz w:val="24"/>
          <w:szCs w:val="24"/>
          <w:lang w:bidi="ar-SA"/>
        </w:rPr>
        <w:t>妥善留存归档。</w:t>
      </w:r>
    </w:p>
    <w:p w14:paraId="0BC5809B">
      <w:pPr>
        <w:spacing w:line="360" w:lineRule="auto"/>
        <w:rPr>
          <w:rFonts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eastAsia="zh-CN"/>
        </w:rPr>
        <w:t>二、技术要求</w:t>
      </w:r>
    </w:p>
    <w:p w14:paraId="34F0CA01">
      <w:pPr>
        <w:numPr>
          <w:ilvl w:val="0"/>
          <w:numId w:val="4"/>
        </w:numPr>
        <w:spacing w:line="360" w:lineRule="auto"/>
        <w:ind w:left="0" w:leftChars="0" w:firstLine="220" w:firstLineChars="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服务</w:t>
      </w:r>
      <w:r>
        <w:rPr>
          <w:rFonts w:hint="eastAsia" w:asciiTheme="minorEastAsia" w:hAnsiTheme="minorEastAsia" w:eastAsiaTheme="minorEastAsia" w:cstheme="minorEastAsia"/>
          <w:sz w:val="24"/>
          <w:szCs w:val="24"/>
          <w:lang w:val="en-US" w:eastAsia="zh-CN"/>
        </w:rPr>
        <w:t>内容</w:t>
      </w:r>
    </w:p>
    <w:p w14:paraId="5CA9C414">
      <w:pPr>
        <w:spacing w:line="360" w:lineRule="auto"/>
        <w:ind w:firstLine="482" w:firstLineChars="200"/>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1、服务期限：壹学年（202</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—202</w:t>
      </w: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学年）</w:t>
      </w:r>
    </w:p>
    <w:p w14:paraId="054D9DA9">
      <w:pPr>
        <w:spacing w:line="360" w:lineRule="auto"/>
        <w:ind w:firstLine="482" w:firstLineChars="200"/>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2、服务区域：</w:t>
      </w:r>
    </w:p>
    <w:p w14:paraId="1BF22DD7">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sz w:val="24"/>
          <w:szCs w:val="24"/>
          <w:lang w:val="en-US" w:eastAsia="zh-CN"/>
        </w:rPr>
        <w:t>武汉软件工程职业学院 武汉开放大学</w:t>
      </w:r>
      <w:r>
        <w:rPr>
          <w:rFonts w:hint="eastAsia" w:asciiTheme="minorEastAsia" w:hAnsiTheme="minorEastAsia" w:eastAsiaTheme="minorEastAsia" w:cstheme="minorEastAsia"/>
          <w:sz w:val="24"/>
          <w:szCs w:val="24"/>
          <w:lang w:eastAsia="zh-CN"/>
        </w:rPr>
        <w:t>光谷东校区：</w:t>
      </w:r>
    </w:p>
    <w:p w14:paraId="34AB4657">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武汉软件工程职业学院 武汉开放大学</w:t>
      </w:r>
      <w:r>
        <w:rPr>
          <w:rFonts w:hint="eastAsia" w:asciiTheme="minorEastAsia" w:hAnsiTheme="minorEastAsia" w:eastAsiaTheme="minorEastAsia" w:cstheme="minorEastAsia"/>
          <w:sz w:val="24"/>
          <w:szCs w:val="24"/>
          <w:lang w:eastAsia="zh-CN"/>
        </w:rPr>
        <w:t>光谷西校区：</w:t>
      </w:r>
    </w:p>
    <w:p w14:paraId="6E9864FD">
      <w:pPr>
        <w:spacing w:line="360" w:lineRule="auto"/>
        <w:ind w:firstLine="480" w:firstLineChars="200"/>
        <w:rPr>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武汉软件工程职业学院 武汉开放大学光谷北校区：</w:t>
      </w:r>
    </w:p>
    <w:p w14:paraId="21528517">
      <w:pPr>
        <w:keepNext w:val="0"/>
        <w:keepLines w:val="0"/>
        <w:pageBreakBefore w:val="0"/>
        <w:widowControl/>
        <w:numPr>
          <w:ilvl w:val="0"/>
          <w:numId w:val="0"/>
        </w:numPr>
        <w:kinsoku w:val="0"/>
        <w:wordWrap/>
        <w:overflowPunct/>
        <w:topLinePunct w:val="0"/>
        <w:autoSpaceDE w:val="0"/>
        <w:autoSpaceDN w:val="0"/>
        <w:bidi w:val="0"/>
        <w:adjustRightInd w:val="0"/>
        <w:snapToGrid/>
        <w:spacing w:before="65" w:line="360" w:lineRule="auto"/>
        <w:ind w:firstLine="510" w:firstLineChars="200"/>
        <w:textAlignment w:val="baseline"/>
        <w:rPr>
          <w:rFonts w:asciiTheme="minorEastAsia" w:hAnsiTheme="minorEastAsia" w:eastAsiaTheme="minorEastAsia" w:cstheme="minorEastAsia"/>
          <w:b/>
          <w:bCs/>
          <w:spacing w:val="7"/>
          <w:sz w:val="24"/>
          <w:szCs w:val="24"/>
        </w:rPr>
      </w:pPr>
      <w:r>
        <w:rPr>
          <w:rFonts w:hint="eastAsia" w:asciiTheme="minorEastAsia" w:hAnsiTheme="minorEastAsia" w:eastAsiaTheme="minorEastAsia" w:cstheme="minorEastAsia"/>
          <w:b/>
          <w:bCs/>
          <w:spacing w:val="7"/>
          <w:sz w:val="24"/>
          <w:szCs w:val="24"/>
          <w:lang w:val="en-US" w:eastAsia="zh-CN"/>
        </w:rPr>
        <w:t>3、</w:t>
      </w:r>
      <w:r>
        <w:rPr>
          <w:rFonts w:hint="eastAsia" w:asciiTheme="minorEastAsia" w:hAnsiTheme="minorEastAsia" w:eastAsiaTheme="minorEastAsia" w:cstheme="minorEastAsia"/>
          <w:b/>
          <w:bCs/>
          <w:spacing w:val="7"/>
          <w:sz w:val="24"/>
          <w:szCs w:val="24"/>
        </w:rPr>
        <w:t>主要运维网络设备</w:t>
      </w:r>
    </w:p>
    <w:p w14:paraId="556E1C93">
      <w:pPr>
        <w:keepNext w:val="0"/>
        <w:keepLines w:val="0"/>
        <w:pageBreakBefore w:val="0"/>
        <w:widowControl/>
        <w:kinsoku w:val="0"/>
        <w:wordWrap/>
        <w:overflowPunct/>
        <w:topLinePunct w:val="0"/>
        <w:autoSpaceDE w:val="0"/>
        <w:autoSpaceDN w:val="0"/>
        <w:bidi w:val="0"/>
        <w:adjustRightInd w:val="0"/>
        <w:snapToGrid/>
        <w:spacing w:before="65" w:line="360" w:lineRule="auto"/>
        <w:ind w:firstLine="420" w:firstLineChars="0"/>
        <w:textAlignment w:val="baseline"/>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各种交换机</w:t>
      </w:r>
      <w:r>
        <w:rPr>
          <w:rFonts w:hint="eastAsia" w:asciiTheme="minorEastAsia" w:hAnsiTheme="minorEastAsia" w:eastAsiaTheme="minorEastAsia" w:cstheme="minorEastAsia"/>
          <w:spacing w:val="-2"/>
          <w:sz w:val="24"/>
          <w:szCs w:val="24"/>
          <w:lang w:val="en-US" w:eastAsia="zh-CN"/>
        </w:rPr>
        <w:t>约：1600台</w:t>
      </w:r>
      <w:r>
        <w:rPr>
          <w:rFonts w:hint="eastAsia" w:asciiTheme="minorEastAsia" w:hAnsiTheme="minorEastAsia" w:eastAsiaTheme="minorEastAsia" w:cstheme="minorEastAsia"/>
          <w:spacing w:val="-2"/>
          <w:sz w:val="24"/>
          <w:szCs w:val="24"/>
          <w:lang w:eastAsia="zh-CN"/>
        </w:rPr>
        <w:t>、无线AP</w:t>
      </w:r>
      <w:r>
        <w:rPr>
          <w:rFonts w:hint="eastAsia" w:asciiTheme="minorEastAsia" w:hAnsiTheme="minorEastAsia" w:eastAsiaTheme="minorEastAsia" w:cstheme="minorEastAsia"/>
          <w:spacing w:val="-2"/>
          <w:sz w:val="24"/>
          <w:szCs w:val="24"/>
          <w:lang w:val="en-US" w:eastAsia="zh-CN"/>
        </w:rPr>
        <w:t>约：6000个</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z w:val="24"/>
          <w:szCs w:val="24"/>
          <w:lang w:eastAsia="zh-CN"/>
        </w:rPr>
        <w:t>校区内</w:t>
      </w:r>
      <w:r>
        <w:rPr>
          <w:rFonts w:hint="eastAsia" w:asciiTheme="minorEastAsia" w:hAnsiTheme="minorEastAsia" w:eastAsiaTheme="minorEastAsia" w:cstheme="minorEastAsia"/>
          <w:spacing w:val="-2"/>
          <w:sz w:val="24"/>
          <w:szCs w:val="24"/>
          <w:lang w:eastAsia="zh-CN"/>
        </w:rPr>
        <w:t>光纤链路</w:t>
      </w:r>
    </w:p>
    <w:tbl>
      <w:tblPr>
        <w:tblStyle w:val="16"/>
        <w:tblW w:w="8685" w:type="dxa"/>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50"/>
        <w:gridCol w:w="1635"/>
        <w:gridCol w:w="2925"/>
        <w:gridCol w:w="885"/>
        <w:gridCol w:w="1590"/>
      </w:tblGrid>
      <w:tr w14:paraId="0733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1650" w:type="dxa"/>
            <w:shd w:val="clear" w:color="auto" w:fill="F1F1F1"/>
            <w:vAlign w:val="center"/>
          </w:tcPr>
          <w:p w14:paraId="5CB9511C">
            <w:pPr>
              <w:snapToGrid/>
              <w:spacing w:before="132" w:line="228" w:lineRule="auto"/>
              <w:jc w:val="center"/>
              <w:rPr>
                <w:rFonts w:hint="eastAsia" w:asciiTheme="minorEastAsia" w:hAnsiTheme="minorEastAsia" w:eastAsiaTheme="minorEastAsia" w:cstheme="minorEastAsia"/>
                <w:b/>
                <w:bCs/>
                <w:spacing w:val="6"/>
                <w:sz w:val="24"/>
                <w:szCs w:val="24"/>
              </w:rPr>
            </w:pPr>
            <w:r>
              <w:rPr>
                <w:rFonts w:hint="eastAsia" w:ascii="宋体" w:hAnsi="宋体" w:eastAsia="宋体" w:cs="宋体"/>
                <w:b/>
                <w:bCs/>
                <w:spacing w:val="6"/>
                <w:sz w:val="24"/>
                <w:szCs w:val="24"/>
              </w:rPr>
              <w:t>校区</w:t>
            </w:r>
          </w:p>
        </w:tc>
        <w:tc>
          <w:tcPr>
            <w:tcW w:w="1635" w:type="dxa"/>
            <w:shd w:val="clear" w:color="auto" w:fill="F1F1F1"/>
          </w:tcPr>
          <w:p w14:paraId="2EE22AB5">
            <w:pPr>
              <w:snapToGrid/>
              <w:spacing w:before="132" w:line="228"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产品名称</w:t>
            </w:r>
          </w:p>
        </w:tc>
        <w:tc>
          <w:tcPr>
            <w:tcW w:w="2925" w:type="dxa"/>
            <w:shd w:val="clear" w:color="auto" w:fill="F1F1F1"/>
            <w:vAlign w:val="center"/>
          </w:tcPr>
          <w:p w14:paraId="54941D3E">
            <w:pPr>
              <w:snapToGrid/>
              <w:spacing w:before="132" w:line="228"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产品型号</w:t>
            </w:r>
          </w:p>
        </w:tc>
        <w:tc>
          <w:tcPr>
            <w:tcW w:w="885" w:type="dxa"/>
            <w:shd w:val="clear" w:color="auto" w:fill="F1F1F1"/>
          </w:tcPr>
          <w:p w14:paraId="765517CE">
            <w:pPr>
              <w:snapToGrid/>
              <w:spacing w:before="132" w:line="228" w:lineRule="auto"/>
              <w:jc w:val="center"/>
              <w:rPr>
                <w:rFonts w:hint="eastAsia" w:asciiTheme="minorEastAsia" w:hAnsiTheme="minorEastAsia" w:eastAsiaTheme="minorEastAsia" w:cstheme="minorEastAsia"/>
                <w:b/>
                <w:bCs/>
                <w:spacing w:val="6"/>
                <w:sz w:val="24"/>
                <w:szCs w:val="24"/>
                <w:lang w:val="en-US" w:eastAsia="zh-CN"/>
              </w:rPr>
            </w:pPr>
            <w:r>
              <w:rPr>
                <w:rFonts w:hint="eastAsia" w:asciiTheme="minorEastAsia" w:hAnsiTheme="minorEastAsia" w:eastAsiaTheme="minorEastAsia" w:cstheme="minorEastAsia"/>
                <w:b/>
                <w:bCs/>
                <w:spacing w:val="6"/>
                <w:sz w:val="24"/>
                <w:szCs w:val="24"/>
                <w:lang w:val="en-US" w:eastAsia="zh-CN"/>
              </w:rPr>
              <w:t>单位</w:t>
            </w:r>
          </w:p>
        </w:tc>
        <w:tc>
          <w:tcPr>
            <w:tcW w:w="1590" w:type="dxa"/>
            <w:shd w:val="clear" w:color="auto" w:fill="F1F1F1"/>
          </w:tcPr>
          <w:p w14:paraId="037764F0">
            <w:pPr>
              <w:snapToGrid/>
              <w:spacing w:before="132" w:line="228"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数量</w:t>
            </w:r>
          </w:p>
        </w:tc>
      </w:tr>
      <w:tr w14:paraId="0B14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1650" w:type="dxa"/>
            <w:vMerge w:val="restart"/>
            <w:vAlign w:val="center"/>
          </w:tcPr>
          <w:p w14:paraId="291107B4">
            <w:pPr>
              <w:snapToGrid/>
              <w:spacing w:before="143" w:line="219" w:lineRule="auto"/>
              <w:ind w:left="110" w:leftChars="0"/>
              <w:jc w:val="center"/>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光谷东校区</w:t>
            </w:r>
          </w:p>
        </w:tc>
        <w:tc>
          <w:tcPr>
            <w:tcW w:w="1635" w:type="dxa"/>
            <w:vAlign w:val="center"/>
          </w:tcPr>
          <w:p w14:paraId="76F0B3C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接入</w:t>
            </w:r>
            <w:r>
              <w:rPr>
                <w:rFonts w:hint="eastAsia" w:asciiTheme="minorEastAsia" w:hAnsiTheme="minorEastAsia" w:eastAsiaTheme="minorEastAsia" w:cstheme="minorEastAsia"/>
                <w:sz w:val="24"/>
                <w:szCs w:val="24"/>
              </w:rPr>
              <w:t>交换机</w:t>
            </w:r>
          </w:p>
        </w:tc>
        <w:tc>
          <w:tcPr>
            <w:tcW w:w="2925" w:type="dxa"/>
            <w:vAlign w:val="center"/>
          </w:tcPr>
          <w:p w14:paraId="67EF84C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华为，锐捷，华三，烽火</w:t>
            </w:r>
          </w:p>
        </w:tc>
        <w:tc>
          <w:tcPr>
            <w:tcW w:w="885" w:type="dxa"/>
            <w:vAlign w:val="center"/>
          </w:tcPr>
          <w:p w14:paraId="0F085BB6">
            <w:pPr>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c>
          <w:tcPr>
            <w:tcW w:w="1590" w:type="dxa"/>
            <w:vAlign w:val="center"/>
          </w:tcPr>
          <w:p w14:paraId="0B9D7A3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 </w:t>
            </w:r>
            <w:r>
              <w:rPr>
                <w:rFonts w:hint="eastAsia" w:asciiTheme="minorEastAsia" w:hAnsiTheme="minorEastAsia" w:eastAsiaTheme="minorEastAsia" w:cstheme="minorEastAsia"/>
                <w:sz w:val="24"/>
                <w:szCs w:val="24"/>
                <w:lang w:val="en-US" w:eastAsia="zh-CN"/>
              </w:rPr>
              <w:t>1000</w:t>
            </w:r>
          </w:p>
        </w:tc>
      </w:tr>
      <w:tr w14:paraId="68BC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650" w:type="dxa"/>
            <w:vMerge w:val="continue"/>
            <w:vAlign w:val="center"/>
          </w:tcPr>
          <w:p w14:paraId="17E169A7">
            <w:pPr>
              <w:snapToGrid/>
              <w:spacing w:before="145" w:line="220" w:lineRule="auto"/>
              <w:ind w:left="111" w:leftChars="0"/>
              <w:jc w:val="center"/>
              <w:rPr>
                <w:rFonts w:hint="eastAsia" w:asciiTheme="minorEastAsia" w:hAnsiTheme="minorEastAsia" w:eastAsiaTheme="minorEastAsia" w:cstheme="minorEastAsia"/>
                <w:spacing w:val="-2"/>
                <w:sz w:val="24"/>
                <w:szCs w:val="24"/>
              </w:rPr>
            </w:pPr>
          </w:p>
        </w:tc>
        <w:tc>
          <w:tcPr>
            <w:tcW w:w="1635" w:type="dxa"/>
            <w:vAlign w:val="center"/>
          </w:tcPr>
          <w:p w14:paraId="6E50FFB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无线网 AP</w:t>
            </w:r>
          </w:p>
        </w:tc>
        <w:tc>
          <w:tcPr>
            <w:tcW w:w="2925" w:type="dxa"/>
            <w:vAlign w:val="center"/>
          </w:tcPr>
          <w:p w14:paraId="35AACD1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锐捷，华三, 华为</w:t>
            </w:r>
          </w:p>
        </w:tc>
        <w:tc>
          <w:tcPr>
            <w:tcW w:w="885" w:type="dxa"/>
            <w:vAlign w:val="center"/>
          </w:tcPr>
          <w:p w14:paraId="307F0CEB">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1590" w:type="dxa"/>
            <w:vAlign w:val="center"/>
          </w:tcPr>
          <w:p w14:paraId="1D3FD22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约 5</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00</w:t>
            </w:r>
          </w:p>
        </w:tc>
      </w:tr>
      <w:tr w14:paraId="186D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trPr>
        <w:tc>
          <w:tcPr>
            <w:tcW w:w="1650" w:type="dxa"/>
            <w:vMerge w:val="continue"/>
            <w:vAlign w:val="center"/>
          </w:tcPr>
          <w:p w14:paraId="13B1EC9B">
            <w:pPr>
              <w:snapToGrid/>
              <w:spacing w:before="145" w:line="219" w:lineRule="auto"/>
              <w:ind w:left="113" w:leftChars="0"/>
              <w:jc w:val="center"/>
              <w:rPr>
                <w:rFonts w:hint="eastAsia" w:asciiTheme="minorEastAsia" w:hAnsiTheme="minorEastAsia" w:eastAsiaTheme="minorEastAsia" w:cstheme="minorEastAsia"/>
                <w:spacing w:val="-2"/>
                <w:sz w:val="24"/>
                <w:szCs w:val="24"/>
                <w:lang w:val="en-US" w:eastAsia="zh-CN"/>
              </w:rPr>
            </w:pPr>
          </w:p>
        </w:tc>
        <w:tc>
          <w:tcPr>
            <w:tcW w:w="1635" w:type="dxa"/>
            <w:vAlign w:val="center"/>
          </w:tcPr>
          <w:p w14:paraId="5A6D41E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接入线路</w:t>
            </w:r>
          </w:p>
        </w:tc>
        <w:tc>
          <w:tcPr>
            <w:tcW w:w="2925" w:type="dxa"/>
            <w:vAlign w:val="center"/>
          </w:tcPr>
          <w:p w14:paraId="7035A1C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终端到接入设备</w:t>
            </w:r>
          </w:p>
        </w:tc>
        <w:tc>
          <w:tcPr>
            <w:tcW w:w="885" w:type="dxa"/>
            <w:vAlign w:val="center"/>
          </w:tcPr>
          <w:p w14:paraId="2AF6E487">
            <w:pPr>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米</w:t>
            </w:r>
          </w:p>
        </w:tc>
        <w:tc>
          <w:tcPr>
            <w:tcW w:w="1590" w:type="dxa"/>
            <w:vAlign w:val="center"/>
          </w:tcPr>
          <w:p w14:paraId="7335837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校区内</w:t>
            </w:r>
          </w:p>
        </w:tc>
      </w:tr>
      <w:tr w14:paraId="6368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trPr>
        <w:tc>
          <w:tcPr>
            <w:tcW w:w="1650" w:type="dxa"/>
            <w:vMerge w:val="continue"/>
            <w:vAlign w:val="center"/>
          </w:tcPr>
          <w:p w14:paraId="65B4305E">
            <w:pPr>
              <w:snapToGrid/>
              <w:spacing w:before="147" w:line="221" w:lineRule="auto"/>
              <w:ind w:left="115" w:leftChars="0"/>
              <w:jc w:val="center"/>
              <w:rPr>
                <w:rFonts w:hint="eastAsia" w:asciiTheme="minorEastAsia" w:hAnsiTheme="minorEastAsia" w:eastAsiaTheme="minorEastAsia" w:cstheme="minorEastAsia"/>
                <w:b w:val="0"/>
                <w:bCs w:val="0"/>
                <w:spacing w:val="-8"/>
                <w:sz w:val="24"/>
                <w:szCs w:val="24"/>
                <w:lang w:val="en-US" w:eastAsia="zh-CN"/>
              </w:rPr>
            </w:pPr>
          </w:p>
        </w:tc>
        <w:tc>
          <w:tcPr>
            <w:tcW w:w="1635" w:type="dxa"/>
            <w:vAlign w:val="center"/>
          </w:tcPr>
          <w:p w14:paraId="48F3A652">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合</w:t>
            </w:r>
            <w:r>
              <w:rPr>
                <w:rFonts w:hint="eastAsia" w:asciiTheme="minorEastAsia" w:hAnsiTheme="minorEastAsia" w:eastAsiaTheme="minorEastAsia" w:cstheme="minorEastAsia"/>
                <w:b/>
                <w:bCs/>
                <w:sz w:val="24"/>
                <w:szCs w:val="24"/>
              </w:rPr>
              <w:t>计</w:t>
            </w:r>
          </w:p>
        </w:tc>
        <w:tc>
          <w:tcPr>
            <w:tcW w:w="2925" w:type="dxa"/>
            <w:vAlign w:val="center"/>
          </w:tcPr>
          <w:p w14:paraId="67795060">
            <w:pPr>
              <w:jc w:val="center"/>
              <w:rPr>
                <w:rFonts w:hint="eastAsia" w:asciiTheme="minorEastAsia" w:hAnsiTheme="minorEastAsia" w:eastAsiaTheme="minorEastAsia" w:cstheme="minorEastAsia"/>
                <w:b/>
                <w:bCs/>
                <w:sz w:val="24"/>
                <w:szCs w:val="24"/>
              </w:rPr>
            </w:pPr>
          </w:p>
        </w:tc>
        <w:tc>
          <w:tcPr>
            <w:tcW w:w="885" w:type="dxa"/>
            <w:vAlign w:val="center"/>
          </w:tcPr>
          <w:p w14:paraId="53295BF5">
            <w:pPr>
              <w:jc w:val="center"/>
              <w:rPr>
                <w:rFonts w:hint="eastAsia" w:asciiTheme="minorEastAsia" w:hAnsiTheme="minorEastAsia" w:eastAsiaTheme="minorEastAsia" w:cstheme="minorEastAsia"/>
                <w:b/>
                <w:bCs/>
                <w:sz w:val="24"/>
                <w:szCs w:val="24"/>
              </w:rPr>
            </w:pPr>
          </w:p>
        </w:tc>
        <w:tc>
          <w:tcPr>
            <w:tcW w:w="1590" w:type="dxa"/>
            <w:vAlign w:val="center"/>
          </w:tcPr>
          <w:p w14:paraId="0DF00CE0">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约 </w:t>
            </w:r>
            <w:r>
              <w:rPr>
                <w:rFonts w:hint="eastAsia" w:asciiTheme="minorEastAsia" w:hAnsiTheme="minorEastAsia" w:eastAsiaTheme="minorEastAsia" w:cstheme="minorEastAsia"/>
                <w:b/>
                <w:bCs/>
                <w:sz w:val="24"/>
                <w:szCs w:val="24"/>
                <w:lang w:val="en-US" w:eastAsia="zh-CN"/>
              </w:rPr>
              <w:t>6500</w:t>
            </w:r>
          </w:p>
        </w:tc>
      </w:tr>
      <w:tr w14:paraId="5BFD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9" w:hRule="atLeast"/>
        </w:trPr>
        <w:tc>
          <w:tcPr>
            <w:tcW w:w="1650" w:type="dxa"/>
            <w:vMerge w:val="restart"/>
            <w:vAlign w:val="center"/>
          </w:tcPr>
          <w:p w14:paraId="1C44F41F">
            <w:pPr>
              <w:snapToGrid/>
              <w:spacing w:before="145" w:line="219" w:lineRule="auto"/>
              <w:ind w:left="110" w:leftChars="0"/>
              <w:jc w:val="center"/>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光谷西校区</w:t>
            </w:r>
          </w:p>
        </w:tc>
        <w:tc>
          <w:tcPr>
            <w:tcW w:w="1635" w:type="dxa"/>
            <w:vAlign w:val="center"/>
          </w:tcPr>
          <w:p w14:paraId="2A83B540">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接入</w:t>
            </w:r>
            <w:r>
              <w:rPr>
                <w:rFonts w:hint="eastAsia" w:asciiTheme="minorEastAsia" w:hAnsiTheme="minorEastAsia" w:eastAsiaTheme="minorEastAsia" w:cstheme="minorEastAsia"/>
                <w:sz w:val="24"/>
                <w:szCs w:val="24"/>
              </w:rPr>
              <w:t>交换机</w:t>
            </w:r>
          </w:p>
        </w:tc>
        <w:tc>
          <w:tcPr>
            <w:tcW w:w="2925" w:type="dxa"/>
            <w:vAlign w:val="center"/>
          </w:tcPr>
          <w:p w14:paraId="715E573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锐捷/华为/交换机</w:t>
            </w:r>
          </w:p>
        </w:tc>
        <w:tc>
          <w:tcPr>
            <w:tcW w:w="885" w:type="dxa"/>
            <w:vAlign w:val="center"/>
          </w:tcPr>
          <w:p w14:paraId="3AAE8EA7">
            <w:pPr>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c>
          <w:tcPr>
            <w:tcW w:w="1590" w:type="dxa"/>
            <w:vAlign w:val="center"/>
          </w:tcPr>
          <w:p w14:paraId="6E54D64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 </w:t>
            </w:r>
            <w:r>
              <w:rPr>
                <w:rFonts w:hint="eastAsia" w:asciiTheme="minorEastAsia" w:hAnsiTheme="minorEastAsia" w:eastAsiaTheme="minorEastAsia" w:cstheme="minorEastAsia"/>
                <w:sz w:val="24"/>
                <w:szCs w:val="24"/>
                <w:lang w:val="en-US" w:eastAsia="zh-CN"/>
              </w:rPr>
              <w:t>500</w:t>
            </w:r>
          </w:p>
        </w:tc>
      </w:tr>
      <w:tr w14:paraId="7C52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650" w:type="dxa"/>
            <w:vMerge w:val="continue"/>
            <w:vAlign w:val="center"/>
          </w:tcPr>
          <w:p w14:paraId="1B27F705">
            <w:pPr>
              <w:snapToGrid/>
              <w:spacing w:before="145" w:line="219" w:lineRule="auto"/>
              <w:ind w:left="110" w:leftChars="0"/>
              <w:jc w:val="center"/>
              <w:rPr>
                <w:rFonts w:hint="eastAsia" w:asciiTheme="minorEastAsia" w:hAnsiTheme="minorEastAsia" w:eastAsiaTheme="minorEastAsia" w:cstheme="minorEastAsia"/>
                <w:sz w:val="24"/>
                <w:szCs w:val="24"/>
              </w:rPr>
            </w:pPr>
          </w:p>
        </w:tc>
        <w:tc>
          <w:tcPr>
            <w:tcW w:w="1635" w:type="dxa"/>
            <w:vAlign w:val="center"/>
          </w:tcPr>
          <w:p w14:paraId="3EACE29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无线网 AP</w:t>
            </w:r>
          </w:p>
        </w:tc>
        <w:tc>
          <w:tcPr>
            <w:tcW w:w="2925" w:type="dxa"/>
            <w:vAlign w:val="center"/>
          </w:tcPr>
          <w:p w14:paraId="68EF2D3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信锐室内室外</w:t>
            </w:r>
            <w:r>
              <w:rPr>
                <w:rFonts w:hint="eastAsia" w:asciiTheme="minorEastAsia" w:hAnsiTheme="minorEastAsia" w:eastAsiaTheme="minorEastAsia" w:cstheme="minorEastAsia"/>
                <w:sz w:val="24"/>
                <w:szCs w:val="24"/>
                <w:lang w:val="en-US" w:eastAsia="zh-CN"/>
              </w:rPr>
              <w:t>AP</w:t>
            </w:r>
          </w:p>
        </w:tc>
        <w:tc>
          <w:tcPr>
            <w:tcW w:w="885" w:type="dxa"/>
            <w:vAlign w:val="center"/>
          </w:tcPr>
          <w:p w14:paraId="26BA154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1590" w:type="dxa"/>
            <w:vAlign w:val="center"/>
          </w:tcPr>
          <w:p w14:paraId="3618825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约 4</w:t>
            </w:r>
            <w:r>
              <w:rPr>
                <w:rFonts w:hint="eastAsia" w:asciiTheme="minorEastAsia" w:hAnsiTheme="minorEastAsia" w:eastAsiaTheme="minorEastAsia" w:cstheme="minorEastAsia"/>
                <w:sz w:val="24"/>
                <w:szCs w:val="24"/>
                <w:lang w:val="en-US" w:eastAsia="zh-CN"/>
              </w:rPr>
              <w:t>50</w:t>
            </w:r>
          </w:p>
        </w:tc>
      </w:tr>
      <w:tr w14:paraId="5122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650" w:type="dxa"/>
            <w:vMerge w:val="continue"/>
            <w:vAlign w:val="center"/>
          </w:tcPr>
          <w:p w14:paraId="48FDE7C7">
            <w:pPr>
              <w:snapToGrid/>
              <w:spacing w:before="145" w:line="219" w:lineRule="auto"/>
              <w:ind w:left="110" w:leftChars="0"/>
              <w:jc w:val="center"/>
              <w:rPr>
                <w:rFonts w:hint="eastAsia" w:asciiTheme="minorEastAsia" w:hAnsiTheme="minorEastAsia" w:eastAsiaTheme="minorEastAsia" w:cstheme="minorEastAsia"/>
                <w:spacing w:val="-2"/>
                <w:sz w:val="24"/>
                <w:szCs w:val="24"/>
                <w:lang w:val="en-US" w:eastAsia="zh-CN"/>
              </w:rPr>
            </w:pPr>
          </w:p>
        </w:tc>
        <w:tc>
          <w:tcPr>
            <w:tcW w:w="1635" w:type="dxa"/>
            <w:vAlign w:val="center"/>
          </w:tcPr>
          <w:p w14:paraId="46DF760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接入线路</w:t>
            </w:r>
          </w:p>
        </w:tc>
        <w:tc>
          <w:tcPr>
            <w:tcW w:w="2925" w:type="dxa"/>
            <w:vAlign w:val="center"/>
          </w:tcPr>
          <w:p w14:paraId="2CB7EFD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终端到接入设备</w:t>
            </w:r>
          </w:p>
        </w:tc>
        <w:tc>
          <w:tcPr>
            <w:tcW w:w="885" w:type="dxa"/>
            <w:vAlign w:val="center"/>
          </w:tcPr>
          <w:p w14:paraId="0D815DC0">
            <w:pPr>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米</w:t>
            </w:r>
          </w:p>
        </w:tc>
        <w:tc>
          <w:tcPr>
            <w:tcW w:w="1590" w:type="dxa"/>
            <w:vAlign w:val="center"/>
          </w:tcPr>
          <w:p w14:paraId="64AD8A2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校区内</w:t>
            </w:r>
          </w:p>
        </w:tc>
      </w:tr>
      <w:tr w14:paraId="0C377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650" w:type="dxa"/>
            <w:vMerge w:val="continue"/>
            <w:vAlign w:val="center"/>
          </w:tcPr>
          <w:p w14:paraId="1323128E">
            <w:pPr>
              <w:snapToGrid/>
              <w:spacing w:before="145" w:line="219" w:lineRule="auto"/>
              <w:ind w:left="110" w:leftChars="0"/>
              <w:jc w:val="center"/>
              <w:rPr>
                <w:rFonts w:hint="eastAsia" w:asciiTheme="minorEastAsia" w:hAnsiTheme="minorEastAsia" w:eastAsiaTheme="minorEastAsia" w:cstheme="minorEastAsia"/>
                <w:sz w:val="24"/>
                <w:szCs w:val="24"/>
                <w:lang w:val="en-US" w:eastAsia="zh-CN"/>
              </w:rPr>
            </w:pPr>
          </w:p>
        </w:tc>
        <w:tc>
          <w:tcPr>
            <w:tcW w:w="1635" w:type="dxa"/>
            <w:vAlign w:val="center"/>
          </w:tcPr>
          <w:p w14:paraId="47CBE53A">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合</w:t>
            </w:r>
            <w:r>
              <w:rPr>
                <w:rFonts w:hint="eastAsia" w:asciiTheme="minorEastAsia" w:hAnsiTheme="minorEastAsia" w:eastAsiaTheme="minorEastAsia" w:cstheme="minorEastAsia"/>
                <w:b/>
                <w:bCs/>
                <w:sz w:val="24"/>
                <w:szCs w:val="24"/>
              </w:rPr>
              <w:t>计</w:t>
            </w:r>
          </w:p>
        </w:tc>
        <w:tc>
          <w:tcPr>
            <w:tcW w:w="2925" w:type="dxa"/>
            <w:vAlign w:val="center"/>
          </w:tcPr>
          <w:p w14:paraId="5F2CC788">
            <w:pPr>
              <w:jc w:val="center"/>
              <w:rPr>
                <w:rFonts w:hint="eastAsia" w:asciiTheme="minorEastAsia" w:hAnsiTheme="minorEastAsia" w:eastAsiaTheme="minorEastAsia" w:cstheme="minorEastAsia"/>
                <w:b/>
                <w:bCs/>
                <w:sz w:val="24"/>
                <w:szCs w:val="24"/>
                <w:lang w:eastAsia="zh-CN"/>
              </w:rPr>
            </w:pPr>
          </w:p>
        </w:tc>
        <w:tc>
          <w:tcPr>
            <w:tcW w:w="885" w:type="dxa"/>
            <w:vAlign w:val="center"/>
          </w:tcPr>
          <w:p w14:paraId="27B70082">
            <w:pPr>
              <w:jc w:val="center"/>
              <w:rPr>
                <w:rFonts w:hint="eastAsia" w:asciiTheme="minorEastAsia" w:hAnsiTheme="minorEastAsia" w:eastAsiaTheme="minorEastAsia" w:cstheme="minorEastAsia"/>
                <w:b/>
                <w:bCs/>
                <w:sz w:val="24"/>
                <w:szCs w:val="24"/>
                <w:lang w:eastAsia="zh-CN"/>
              </w:rPr>
            </w:pPr>
          </w:p>
        </w:tc>
        <w:tc>
          <w:tcPr>
            <w:tcW w:w="1590" w:type="dxa"/>
            <w:vAlign w:val="center"/>
          </w:tcPr>
          <w:p w14:paraId="4E9DD8CF">
            <w:pPr>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约</w:t>
            </w:r>
            <w:r>
              <w:rPr>
                <w:rFonts w:hint="eastAsia" w:asciiTheme="minorEastAsia" w:hAnsiTheme="minorEastAsia" w:eastAsiaTheme="minorEastAsia" w:cstheme="minorEastAsia"/>
                <w:b/>
                <w:bCs/>
                <w:sz w:val="24"/>
                <w:szCs w:val="24"/>
                <w:lang w:val="en-US" w:eastAsia="zh-CN"/>
              </w:rPr>
              <w:t>950</w:t>
            </w:r>
          </w:p>
        </w:tc>
      </w:tr>
      <w:tr w14:paraId="58C6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1650" w:type="dxa"/>
            <w:vMerge w:val="restart"/>
            <w:vAlign w:val="center"/>
          </w:tcPr>
          <w:p w14:paraId="1E6E6B87">
            <w:pPr>
              <w:snapToGrid/>
              <w:spacing w:before="145" w:line="219" w:lineRule="auto"/>
              <w:ind w:left="110" w:leftChars="0"/>
              <w:jc w:val="center"/>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光谷北校区</w:t>
            </w:r>
          </w:p>
        </w:tc>
        <w:tc>
          <w:tcPr>
            <w:tcW w:w="1635" w:type="dxa"/>
            <w:vAlign w:val="center"/>
          </w:tcPr>
          <w:p w14:paraId="509A8431">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接入</w:t>
            </w:r>
            <w:r>
              <w:rPr>
                <w:rFonts w:hint="eastAsia" w:asciiTheme="minorEastAsia" w:hAnsiTheme="minorEastAsia" w:eastAsiaTheme="minorEastAsia" w:cstheme="minorEastAsia"/>
                <w:sz w:val="24"/>
                <w:szCs w:val="24"/>
              </w:rPr>
              <w:t>交换机</w:t>
            </w:r>
          </w:p>
        </w:tc>
        <w:tc>
          <w:tcPr>
            <w:tcW w:w="2925" w:type="dxa"/>
            <w:vAlign w:val="center"/>
          </w:tcPr>
          <w:p w14:paraId="2C62A2C7">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锐捷/华为</w:t>
            </w:r>
          </w:p>
        </w:tc>
        <w:tc>
          <w:tcPr>
            <w:tcW w:w="885" w:type="dxa"/>
            <w:shd w:val="clear" w:color="auto" w:fill="auto"/>
            <w:vAlign w:val="center"/>
          </w:tcPr>
          <w:p w14:paraId="336DD58D">
            <w:pPr>
              <w:jc w:val="center"/>
              <w:rPr>
                <w:rFonts w:hint="eastAsia" w:asciiTheme="minorEastAsia" w:hAnsiTheme="minorEastAsia" w:eastAsiaTheme="minorEastAsia" w:cstheme="minorEastAsia"/>
                <w:snapToGrid w:val="0"/>
                <w:color w:val="000000"/>
                <w:sz w:val="24"/>
                <w:szCs w:val="24"/>
                <w:lang w:val="en-US" w:eastAsia="zh-CN" w:bidi="ar-SA"/>
              </w:rPr>
            </w:pPr>
            <w:r>
              <w:rPr>
                <w:rFonts w:hint="eastAsia" w:asciiTheme="minorEastAsia" w:hAnsiTheme="minorEastAsia" w:eastAsiaTheme="minorEastAsia" w:cstheme="minorEastAsia"/>
                <w:sz w:val="24"/>
                <w:szCs w:val="24"/>
                <w:lang w:val="en-US" w:eastAsia="zh-CN"/>
              </w:rPr>
              <w:t>台</w:t>
            </w:r>
          </w:p>
        </w:tc>
        <w:tc>
          <w:tcPr>
            <w:tcW w:w="1590" w:type="dxa"/>
            <w:vAlign w:val="center"/>
          </w:tcPr>
          <w:p w14:paraId="40C1643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约100</w:t>
            </w:r>
          </w:p>
        </w:tc>
      </w:tr>
      <w:tr w14:paraId="3E7F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3" w:hRule="atLeast"/>
        </w:trPr>
        <w:tc>
          <w:tcPr>
            <w:tcW w:w="1650" w:type="dxa"/>
            <w:vMerge w:val="continue"/>
            <w:vAlign w:val="center"/>
          </w:tcPr>
          <w:p w14:paraId="431CBACD">
            <w:pPr>
              <w:snapToGrid/>
              <w:spacing w:before="145" w:line="219" w:lineRule="auto"/>
              <w:ind w:left="110" w:leftChars="0"/>
              <w:jc w:val="center"/>
              <w:rPr>
                <w:rFonts w:hint="eastAsia" w:asciiTheme="minorEastAsia" w:hAnsiTheme="minorEastAsia" w:eastAsiaTheme="minorEastAsia" w:cstheme="minorEastAsia"/>
                <w:sz w:val="24"/>
                <w:szCs w:val="24"/>
              </w:rPr>
            </w:pPr>
          </w:p>
        </w:tc>
        <w:tc>
          <w:tcPr>
            <w:tcW w:w="1635" w:type="dxa"/>
            <w:vAlign w:val="center"/>
          </w:tcPr>
          <w:p w14:paraId="072D8416">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无线网 AP</w:t>
            </w:r>
          </w:p>
        </w:tc>
        <w:tc>
          <w:tcPr>
            <w:tcW w:w="2925" w:type="dxa"/>
            <w:vAlign w:val="center"/>
          </w:tcPr>
          <w:p w14:paraId="1F46F412">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华三</w:t>
            </w:r>
          </w:p>
        </w:tc>
        <w:tc>
          <w:tcPr>
            <w:tcW w:w="885" w:type="dxa"/>
            <w:shd w:val="clear" w:color="auto" w:fill="auto"/>
            <w:vAlign w:val="center"/>
          </w:tcPr>
          <w:p w14:paraId="148D5FC1">
            <w:pPr>
              <w:jc w:val="center"/>
              <w:rPr>
                <w:rFonts w:hint="eastAsia" w:asciiTheme="minorEastAsia" w:hAnsiTheme="minorEastAsia" w:eastAsiaTheme="minorEastAsia" w:cstheme="minorEastAsia"/>
                <w:snapToGrid w:val="0"/>
                <w:color w:val="000000"/>
                <w:sz w:val="24"/>
                <w:szCs w:val="24"/>
                <w:lang w:val="en-US" w:eastAsia="zh-CN" w:bidi="ar-SA"/>
              </w:rPr>
            </w:pPr>
            <w:r>
              <w:rPr>
                <w:rFonts w:hint="eastAsia" w:asciiTheme="minorEastAsia" w:hAnsiTheme="minorEastAsia" w:eastAsiaTheme="minorEastAsia" w:cstheme="minorEastAsia"/>
                <w:sz w:val="24"/>
                <w:szCs w:val="24"/>
                <w:lang w:val="en-US" w:eastAsia="zh-CN"/>
              </w:rPr>
              <w:t>个</w:t>
            </w:r>
          </w:p>
        </w:tc>
        <w:tc>
          <w:tcPr>
            <w:tcW w:w="1590" w:type="dxa"/>
            <w:vAlign w:val="center"/>
          </w:tcPr>
          <w:p w14:paraId="2989CDF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约50</w:t>
            </w:r>
          </w:p>
        </w:tc>
      </w:tr>
      <w:tr w14:paraId="56DB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650" w:type="dxa"/>
            <w:vMerge w:val="continue"/>
            <w:vAlign w:val="center"/>
          </w:tcPr>
          <w:p w14:paraId="3A8A514F">
            <w:pPr>
              <w:snapToGrid/>
              <w:spacing w:before="145" w:line="219" w:lineRule="auto"/>
              <w:ind w:left="110" w:leftChars="0"/>
              <w:jc w:val="center"/>
              <w:rPr>
                <w:rFonts w:hint="eastAsia" w:asciiTheme="minorEastAsia" w:hAnsiTheme="minorEastAsia" w:eastAsiaTheme="minorEastAsia" w:cstheme="minorEastAsia"/>
                <w:spacing w:val="-2"/>
                <w:sz w:val="24"/>
                <w:szCs w:val="24"/>
                <w:lang w:val="en-US" w:eastAsia="zh-CN"/>
              </w:rPr>
            </w:pPr>
          </w:p>
        </w:tc>
        <w:tc>
          <w:tcPr>
            <w:tcW w:w="1635" w:type="dxa"/>
            <w:vAlign w:val="center"/>
          </w:tcPr>
          <w:p w14:paraId="56FC029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接入线路</w:t>
            </w:r>
          </w:p>
        </w:tc>
        <w:tc>
          <w:tcPr>
            <w:tcW w:w="2925" w:type="dxa"/>
            <w:vAlign w:val="center"/>
          </w:tcPr>
          <w:p w14:paraId="08A81F43">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终端到接入设备</w:t>
            </w:r>
          </w:p>
        </w:tc>
        <w:tc>
          <w:tcPr>
            <w:tcW w:w="885" w:type="dxa"/>
            <w:shd w:val="clear" w:color="auto" w:fill="auto"/>
            <w:vAlign w:val="center"/>
          </w:tcPr>
          <w:p w14:paraId="486246BE">
            <w:pPr>
              <w:jc w:val="center"/>
              <w:rPr>
                <w:rFonts w:hint="eastAsia" w:asciiTheme="minorEastAsia" w:hAnsiTheme="minorEastAsia" w:eastAsiaTheme="minorEastAsia" w:cstheme="minorEastAsia"/>
                <w:snapToGrid w:val="0"/>
                <w:color w:val="000000"/>
                <w:sz w:val="24"/>
                <w:szCs w:val="24"/>
                <w:lang w:val="en-US" w:eastAsia="zh-CN" w:bidi="ar-SA"/>
              </w:rPr>
            </w:pPr>
            <w:r>
              <w:rPr>
                <w:rFonts w:hint="eastAsia" w:asciiTheme="minorEastAsia" w:hAnsiTheme="minorEastAsia" w:eastAsiaTheme="minorEastAsia" w:cstheme="minorEastAsia"/>
                <w:sz w:val="24"/>
                <w:szCs w:val="24"/>
                <w:lang w:val="en-US" w:eastAsia="zh-CN"/>
              </w:rPr>
              <w:t>米</w:t>
            </w:r>
          </w:p>
        </w:tc>
        <w:tc>
          <w:tcPr>
            <w:tcW w:w="1590" w:type="dxa"/>
            <w:vAlign w:val="center"/>
          </w:tcPr>
          <w:p w14:paraId="2CDE8CA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校区内</w:t>
            </w:r>
          </w:p>
        </w:tc>
      </w:tr>
      <w:tr w14:paraId="0BF2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650" w:type="dxa"/>
            <w:vMerge w:val="continue"/>
            <w:vAlign w:val="center"/>
          </w:tcPr>
          <w:p w14:paraId="0C9C2B68">
            <w:pPr>
              <w:snapToGrid/>
              <w:spacing w:before="145" w:line="219" w:lineRule="auto"/>
              <w:ind w:left="110" w:leftChars="0"/>
              <w:jc w:val="center"/>
              <w:rPr>
                <w:rFonts w:hint="eastAsia" w:asciiTheme="minorEastAsia" w:hAnsiTheme="minorEastAsia" w:eastAsiaTheme="minorEastAsia" w:cstheme="minorEastAsia"/>
                <w:sz w:val="24"/>
                <w:szCs w:val="24"/>
                <w:lang w:val="en-US" w:eastAsia="zh-CN"/>
              </w:rPr>
            </w:pPr>
          </w:p>
        </w:tc>
        <w:tc>
          <w:tcPr>
            <w:tcW w:w="1635" w:type="dxa"/>
            <w:vAlign w:val="center"/>
          </w:tcPr>
          <w:p w14:paraId="5081B9CD">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合</w:t>
            </w:r>
            <w:r>
              <w:rPr>
                <w:rFonts w:hint="eastAsia" w:asciiTheme="minorEastAsia" w:hAnsiTheme="minorEastAsia" w:eastAsiaTheme="minorEastAsia" w:cstheme="minorEastAsia"/>
                <w:b/>
                <w:bCs/>
                <w:sz w:val="24"/>
                <w:szCs w:val="24"/>
              </w:rPr>
              <w:t>计</w:t>
            </w:r>
          </w:p>
        </w:tc>
        <w:tc>
          <w:tcPr>
            <w:tcW w:w="2925" w:type="dxa"/>
            <w:vAlign w:val="center"/>
          </w:tcPr>
          <w:p w14:paraId="3BFEEFEA">
            <w:pPr>
              <w:jc w:val="center"/>
              <w:rPr>
                <w:rFonts w:hint="eastAsia" w:asciiTheme="minorEastAsia" w:hAnsiTheme="minorEastAsia" w:eastAsiaTheme="minorEastAsia" w:cstheme="minorEastAsia"/>
                <w:b/>
                <w:bCs/>
                <w:sz w:val="24"/>
                <w:szCs w:val="24"/>
                <w:lang w:eastAsia="zh-CN"/>
              </w:rPr>
            </w:pPr>
          </w:p>
        </w:tc>
        <w:tc>
          <w:tcPr>
            <w:tcW w:w="885" w:type="dxa"/>
            <w:vAlign w:val="center"/>
          </w:tcPr>
          <w:p w14:paraId="204FE5E9">
            <w:pPr>
              <w:jc w:val="center"/>
              <w:rPr>
                <w:rFonts w:hint="eastAsia" w:asciiTheme="minorEastAsia" w:hAnsiTheme="minorEastAsia" w:eastAsiaTheme="minorEastAsia" w:cstheme="minorEastAsia"/>
                <w:b/>
                <w:bCs/>
                <w:sz w:val="24"/>
                <w:szCs w:val="24"/>
                <w:lang w:eastAsia="zh-CN"/>
              </w:rPr>
            </w:pPr>
          </w:p>
        </w:tc>
        <w:tc>
          <w:tcPr>
            <w:tcW w:w="1590" w:type="dxa"/>
            <w:vAlign w:val="center"/>
          </w:tcPr>
          <w:p w14:paraId="4DD3076C">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约150</w:t>
            </w:r>
          </w:p>
        </w:tc>
      </w:tr>
    </w:tbl>
    <w:p w14:paraId="56D414D2">
      <w:pPr>
        <w:pStyle w:val="2"/>
        <w:snapToGrid/>
      </w:pPr>
    </w:p>
    <w:p w14:paraId="57B9FB95"/>
    <w:p w14:paraId="7822161E">
      <w:pPr>
        <w:snapToGrid/>
        <w:spacing w:before="137" w:line="227" w:lineRule="auto"/>
        <w:ind w:firstLine="259" w:firstLineChars="100"/>
        <w:rPr>
          <w:rFonts w:hint="default" w:ascii="宋体" w:hAnsi="宋体" w:eastAsia="宋体" w:cs="宋体"/>
          <w:b/>
          <w:bCs/>
          <w:sz w:val="20"/>
          <w:szCs w:val="20"/>
          <w:lang w:val="en-US" w:eastAsia="zh-CN"/>
        </w:rPr>
      </w:pPr>
      <w:r>
        <w:rPr>
          <w:rFonts w:hint="eastAsia" w:asciiTheme="minorEastAsia" w:hAnsiTheme="minorEastAsia" w:eastAsiaTheme="minorEastAsia" w:cstheme="minorEastAsia"/>
          <w:b/>
          <w:bCs/>
          <w:spacing w:val="9"/>
          <w:sz w:val="24"/>
          <w:szCs w:val="24"/>
          <w:lang w:eastAsia="zh-CN"/>
        </w:rPr>
        <w:t>4、弱电间，机房、独立机柜</w:t>
      </w:r>
      <w:r>
        <w:rPr>
          <w:rFonts w:hint="eastAsia" w:asciiTheme="minorEastAsia" w:hAnsiTheme="minorEastAsia" w:eastAsiaTheme="minorEastAsia" w:cstheme="minorEastAsia"/>
          <w:b/>
          <w:bCs/>
          <w:spacing w:val="9"/>
          <w:sz w:val="24"/>
          <w:szCs w:val="24"/>
          <w:lang w:val="en-US" w:eastAsia="zh-CN"/>
        </w:rPr>
        <w:t>共170个</w:t>
      </w:r>
      <w:r>
        <w:rPr>
          <w:rFonts w:hint="eastAsia" w:asciiTheme="minorEastAsia" w:hAnsiTheme="minorEastAsia" w:eastAsiaTheme="minorEastAsia" w:cstheme="minorEastAsia"/>
          <w:b/>
          <w:bCs/>
          <w:spacing w:val="9"/>
          <w:sz w:val="24"/>
          <w:szCs w:val="24"/>
          <w:lang w:eastAsia="zh-CN"/>
        </w:rPr>
        <w:t>和信息化终端</w:t>
      </w:r>
      <w:r>
        <w:rPr>
          <w:rFonts w:hint="eastAsia" w:asciiTheme="minorEastAsia" w:hAnsiTheme="minorEastAsia" w:eastAsiaTheme="minorEastAsia" w:cstheme="minorEastAsia"/>
          <w:b/>
          <w:bCs/>
          <w:spacing w:val="9"/>
          <w:sz w:val="24"/>
          <w:szCs w:val="24"/>
          <w:lang w:val="en-US" w:eastAsia="zh-CN"/>
        </w:rPr>
        <w:t>共27251个</w:t>
      </w:r>
    </w:p>
    <w:p w14:paraId="42F41B0A">
      <w:pPr>
        <w:snapToGrid/>
        <w:spacing w:line="93" w:lineRule="exact"/>
        <w:rPr>
          <w:lang w:eastAsia="zh-CN"/>
        </w:rPr>
      </w:pPr>
    </w:p>
    <w:tbl>
      <w:tblPr>
        <w:tblStyle w:val="16"/>
        <w:tblW w:w="8682"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2"/>
        <w:gridCol w:w="1313"/>
        <w:gridCol w:w="4319"/>
        <w:gridCol w:w="1378"/>
      </w:tblGrid>
      <w:tr w14:paraId="25F7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1672" w:type="dxa"/>
            <w:shd w:val="clear" w:color="auto" w:fill="F1F1F1"/>
            <w:vAlign w:val="center"/>
          </w:tcPr>
          <w:p w14:paraId="38616982">
            <w:pPr>
              <w:snapToGrid/>
              <w:spacing w:before="135" w:line="228"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校区</w:t>
            </w:r>
          </w:p>
        </w:tc>
        <w:tc>
          <w:tcPr>
            <w:tcW w:w="1313" w:type="dxa"/>
            <w:shd w:val="clear" w:color="auto" w:fill="F1F1F1"/>
            <w:vAlign w:val="center"/>
          </w:tcPr>
          <w:p w14:paraId="03E131C2">
            <w:pPr>
              <w:snapToGrid/>
              <w:spacing w:before="135" w:line="229"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序号</w:t>
            </w:r>
          </w:p>
        </w:tc>
        <w:tc>
          <w:tcPr>
            <w:tcW w:w="4319" w:type="dxa"/>
            <w:shd w:val="clear" w:color="auto" w:fill="F1F1F1"/>
            <w:vAlign w:val="center"/>
          </w:tcPr>
          <w:p w14:paraId="338FB47C">
            <w:pPr>
              <w:snapToGrid/>
              <w:spacing w:before="134" w:line="228"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所属楼栋</w:t>
            </w:r>
          </w:p>
        </w:tc>
        <w:tc>
          <w:tcPr>
            <w:tcW w:w="1378" w:type="dxa"/>
            <w:shd w:val="clear" w:color="auto" w:fill="F1F1F1"/>
            <w:vAlign w:val="center"/>
          </w:tcPr>
          <w:p w14:paraId="039B412B">
            <w:pPr>
              <w:snapToGrid/>
              <w:spacing w:before="134" w:line="228"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pacing w:val="3"/>
                <w:sz w:val="24"/>
                <w:szCs w:val="24"/>
              </w:rPr>
              <w:t>数量</w:t>
            </w:r>
            <w:r>
              <w:rPr>
                <w:rFonts w:hint="eastAsia" w:asciiTheme="minorEastAsia" w:hAnsiTheme="minorEastAsia" w:eastAsiaTheme="minorEastAsia" w:cstheme="minorEastAsia"/>
                <w:b/>
                <w:bCs/>
                <w:spacing w:val="3"/>
                <w:sz w:val="24"/>
                <w:szCs w:val="24"/>
                <w:lang w:val="en-US" w:eastAsia="zh-CN"/>
              </w:rPr>
              <w:t>(个)</w:t>
            </w:r>
          </w:p>
        </w:tc>
      </w:tr>
      <w:tr w14:paraId="501C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1672" w:type="dxa"/>
            <w:vMerge w:val="restart"/>
            <w:vAlign w:val="center"/>
          </w:tcPr>
          <w:p w14:paraId="55E5938F">
            <w:pPr>
              <w:pStyle w:val="17"/>
              <w:snapToGrid/>
              <w:spacing w:line="249"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光谷东校</w:t>
            </w:r>
            <w:r>
              <w:rPr>
                <w:rFonts w:hint="eastAsia" w:asciiTheme="minorEastAsia" w:hAnsiTheme="minorEastAsia" w:eastAsiaTheme="minorEastAsia" w:cstheme="minorEastAsia"/>
                <w:sz w:val="24"/>
                <w:szCs w:val="24"/>
              </w:rPr>
              <w:t>区</w:t>
            </w:r>
          </w:p>
        </w:tc>
        <w:tc>
          <w:tcPr>
            <w:tcW w:w="1313" w:type="dxa"/>
          </w:tcPr>
          <w:p w14:paraId="73EB986D">
            <w:pPr>
              <w:snapToGrid/>
              <w:spacing w:before="173" w:line="184" w:lineRule="auto"/>
              <w:ind w:left="11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319" w:type="dxa"/>
          </w:tcPr>
          <w:p w14:paraId="4736C38F">
            <w:pPr>
              <w:snapToGrid/>
              <w:spacing w:before="146" w:line="219" w:lineRule="auto"/>
              <w:ind w:left="11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办公教学楼弱电间独立机柜</w:t>
            </w:r>
          </w:p>
        </w:tc>
        <w:tc>
          <w:tcPr>
            <w:tcW w:w="1378" w:type="dxa"/>
          </w:tcPr>
          <w:p w14:paraId="65D6D02C">
            <w:pPr>
              <w:snapToGrid/>
              <w:spacing w:before="173" w:line="184" w:lineRule="auto"/>
              <w:ind w:left="13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10"/>
                <w:sz w:val="24"/>
                <w:szCs w:val="24"/>
                <w:lang w:val="en-US" w:eastAsia="zh-CN"/>
              </w:rPr>
              <w:t>90</w:t>
            </w:r>
          </w:p>
        </w:tc>
      </w:tr>
      <w:tr w14:paraId="58A5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72" w:type="dxa"/>
            <w:vMerge w:val="continue"/>
          </w:tcPr>
          <w:p w14:paraId="46702DFE">
            <w:pPr>
              <w:pStyle w:val="17"/>
              <w:snapToGrid/>
              <w:rPr>
                <w:rFonts w:asciiTheme="minorEastAsia" w:hAnsiTheme="minorEastAsia" w:eastAsiaTheme="minorEastAsia" w:cstheme="minorEastAsia"/>
                <w:sz w:val="24"/>
                <w:szCs w:val="24"/>
              </w:rPr>
            </w:pPr>
          </w:p>
        </w:tc>
        <w:tc>
          <w:tcPr>
            <w:tcW w:w="1313" w:type="dxa"/>
          </w:tcPr>
          <w:p w14:paraId="01DFA0C3">
            <w:pPr>
              <w:snapToGrid/>
              <w:spacing w:before="177" w:line="183" w:lineRule="auto"/>
              <w:ind w:left="102"/>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p>
        </w:tc>
        <w:tc>
          <w:tcPr>
            <w:tcW w:w="4319" w:type="dxa"/>
          </w:tcPr>
          <w:p w14:paraId="48C48AE3">
            <w:pPr>
              <w:snapToGrid/>
              <w:spacing w:before="149" w:line="219" w:lineRule="auto"/>
              <w:ind w:left="1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信息化终端</w:t>
            </w:r>
          </w:p>
        </w:tc>
        <w:tc>
          <w:tcPr>
            <w:tcW w:w="1378" w:type="dxa"/>
          </w:tcPr>
          <w:p w14:paraId="74C78157">
            <w:pPr>
              <w:snapToGrid/>
              <w:spacing w:before="177" w:line="183" w:lineRule="auto"/>
              <w:ind w:left="11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22279</w:t>
            </w:r>
          </w:p>
        </w:tc>
      </w:tr>
      <w:tr w14:paraId="3F06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72" w:type="dxa"/>
            <w:vMerge w:val="continue"/>
          </w:tcPr>
          <w:p w14:paraId="0D8B799A">
            <w:pPr>
              <w:pStyle w:val="17"/>
              <w:snapToGrid/>
              <w:rPr>
                <w:rFonts w:asciiTheme="minorEastAsia" w:hAnsiTheme="minorEastAsia" w:eastAsiaTheme="minorEastAsia" w:cstheme="minorEastAsia"/>
                <w:sz w:val="24"/>
                <w:szCs w:val="24"/>
              </w:rPr>
            </w:pPr>
          </w:p>
        </w:tc>
        <w:tc>
          <w:tcPr>
            <w:tcW w:w="1313" w:type="dxa"/>
          </w:tcPr>
          <w:p w14:paraId="14BEB785">
            <w:pPr>
              <w:snapToGrid/>
              <w:spacing w:before="148" w:line="221" w:lineRule="auto"/>
              <w:ind w:left="107"/>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8"/>
                <w:sz w:val="24"/>
                <w:szCs w:val="24"/>
                <w:lang w:val="en-US" w:eastAsia="zh-CN"/>
              </w:rPr>
              <w:t>合</w:t>
            </w:r>
            <w:r>
              <w:rPr>
                <w:rFonts w:hint="eastAsia" w:asciiTheme="minorEastAsia" w:hAnsiTheme="minorEastAsia" w:eastAsiaTheme="minorEastAsia" w:cstheme="minorEastAsia"/>
                <w:b/>
                <w:bCs/>
                <w:spacing w:val="-8"/>
                <w:sz w:val="24"/>
                <w:szCs w:val="24"/>
              </w:rPr>
              <w:t>计</w:t>
            </w:r>
          </w:p>
        </w:tc>
        <w:tc>
          <w:tcPr>
            <w:tcW w:w="4319" w:type="dxa"/>
          </w:tcPr>
          <w:p w14:paraId="30EF9721">
            <w:pPr>
              <w:pStyle w:val="17"/>
              <w:snapToGrid/>
              <w:jc w:val="center"/>
              <w:rPr>
                <w:rFonts w:asciiTheme="minorEastAsia" w:hAnsiTheme="minorEastAsia" w:eastAsiaTheme="minorEastAsia" w:cstheme="minorEastAsia"/>
                <w:b/>
                <w:bCs/>
                <w:sz w:val="24"/>
                <w:szCs w:val="24"/>
              </w:rPr>
            </w:pPr>
          </w:p>
        </w:tc>
        <w:tc>
          <w:tcPr>
            <w:tcW w:w="1378" w:type="dxa"/>
          </w:tcPr>
          <w:p w14:paraId="5312B20B">
            <w:pPr>
              <w:snapToGrid/>
              <w:spacing w:before="176" w:line="183" w:lineRule="auto"/>
              <w:ind w:left="118"/>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3"/>
                <w:sz w:val="24"/>
                <w:szCs w:val="24"/>
              </w:rPr>
              <w:t>22369</w:t>
            </w:r>
          </w:p>
        </w:tc>
      </w:tr>
      <w:tr w14:paraId="5970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1672" w:type="dxa"/>
            <w:vMerge w:val="restart"/>
            <w:vAlign w:val="center"/>
          </w:tcPr>
          <w:p w14:paraId="06A99C04">
            <w:pPr>
              <w:snapToGrid/>
              <w:spacing w:before="61" w:line="20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光谷西校区</w:t>
            </w:r>
          </w:p>
        </w:tc>
        <w:tc>
          <w:tcPr>
            <w:tcW w:w="1313" w:type="dxa"/>
          </w:tcPr>
          <w:p w14:paraId="6EEB04BA">
            <w:pPr>
              <w:snapToGrid/>
              <w:spacing w:before="175" w:line="184" w:lineRule="auto"/>
              <w:ind w:left="120"/>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w:t>
            </w:r>
          </w:p>
        </w:tc>
        <w:tc>
          <w:tcPr>
            <w:tcW w:w="4319" w:type="dxa"/>
          </w:tcPr>
          <w:p w14:paraId="6B814945">
            <w:pPr>
              <w:snapToGrid/>
              <w:spacing w:before="148" w:line="219" w:lineRule="auto"/>
              <w:ind w:left="112"/>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4"/>
                <w:sz w:val="24"/>
                <w:szCs w:val="24"/>
                <w:lang w:val="en-US" w:eastAsia="zh-CN"/>
              </w:rPr>
              <w:t>办公教学楼弱电间独立机柜</w:t>
            </w:r>
          </w:p>
        </w:tc>
        <w:tc>
          <w:tcPr>
            <w:tcW w:w="1378" w:type="dxa"/>
          </w:tcPr>
          <w:p w14:paraId="0F863848">
            <w:pPr>
              <w:snapToGrid/>
              <w:spacing w:before="176" w:line="183" w:lineRule="auto"/>
              <w:ind w:left="118"/>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4"/>
                <w:sz w:val="24"/>
                <w:szCs w:val="24"/>
                <w:lang w:val="en-US" w:eastAsia="zh-CN"/>
              </w:rPr>
              <w:t>50</w:t>
            </w:r>
          </w:p>
        </w:tc>
      </w:tr>
      <w:tr w14:paraId="5822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72" w:type="dxa"/>
            <w:vMerge w:val="continue"/>
          </w:tcPr>
          <w:p w14:paraId="347FB9B2">
            <w:pPr>
              <w:pStyle w:val="17"/>
              <w:snapToGrid/>
              <w:rPr>
                <w:rFonts w:asciiTheme="minorEastAsia" w:hAnsiTheme="minorEastAsia" w:eastAsiaTheme="minorEastAsia" w:cstheme="minorEastAsia"/>
                <w:sz w:val="24"/>
                <w:szCs w:val="24"/>
              </w:rPr>
            </w:pPr>
          </w:p>
        </w:tc>
        <w:tc>
          <w:tcPr>
            <w:tcW w:w="1313" w:type="dxa"/>
          </w:tcPr>
          <w:p w14:paraId="414756AE">
            <w:pPr>
              <w:snapToGrid/>
              <w:spacing w:before="178" w:line="182" w:lineRule="auto"/>
              <w:ind w:left="111"/>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2</w:t>
            </w:r>
          </w:p>
        </w:tc>
        <w:tc>
          <w:tcPr>
            <w:tcW w:w="4319" w:type="dxa"/>
          </w:tcPr>
          <w:p w14:paraId="26416B5A">
            <w:pPr>
              <w:snapToGrid/>
              <w:spacing w:before="149" w:line="219" w:lineRule="auto"/>
              <w:ind w:left="1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信息化终端</w:t>
            </w:r>
          </w:p>
        </w:tc>
        <w:tc>
          <w:tcPr>
            <w:tcW w:w="1378" w:type="dxa"/>
          </w:tcPr>
          <w:p w14:paraId="0BE22CE0">
            <w:pPr>
              <w:snapToGrid/>
              <w:spacing w:before="177" w:line="183" w:lineRule="auto"/>
              <w:ind w:left="11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2832</w:t>
            </w:r>
          </w:p>
        </w:tc>
      </w:tr>
      <w:tr w14:paraId="616D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1672" w:type="dxa"/>
            <w:vMerge w:val="continue"/>
          </w:tcPr>
          <w:p w14:paraId="7E3EE84D">
            <w:pPr>
              <w:pStyle w:val="17"/>
              <w:snapToGrid/>
              <w:rPr>
                <w:rFonts w:asciiTheme="minorEastAsia" w:hAnsiTheme="minorEastAsia" w:eastAsiaTheme="minorEastAsia" w:cstheme="minorEastAsia"/>
                <w:sz w:val="24"/>
                <w:szCs w:val="24"/>
              </w:rPr>
            </w:pPr>
          </w:p>
        </w:tc>
        <w:tc>
          <w:tcPr>
            <w:tcW w:w="1313" w:type="dxa"/>
          </w:tcPr>
          <w:p w14:paraId="7DF83C7C">
            <w:pPr>
              <w:snapToGrid/>
              <w:spacing w:before="148" w:line="221" w:lineRule="auto"/>
              <w:ind w:left="112"/>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8"/>
                <w:sz w:val="24"/>
                <w:szCs w:val="24"/>
                <w:lang w:val="en-US" w:eastAsia="zh-CN"/>
              </w:rPr>
              <w:t>合</w:t>
            </w:r>
            <w:r>
              <w:rPr>
                <w:rFonts w:hint="eastAsia" w:asciiTheme="minorEastAsia" w:hAnsiTheme="minorEastAsia" w:eastAsiaTheme="minorEastAsia" w:cstheme="minorEastAsia"/>
                <w:b/>
                <w:bCs/>
                <w:spacing w:val="-8"/>
                <w:sz w:val="24"/>
                <w:szCs w:val="24"/>
              </w:rPr>
              <w:t>计</w:t>
            </w:r>
          </w:p>
        </w:tc>
        <w:tc>
          <w:tcPr>
            <w:tcW w:w="4319" w:type="dxa"/>
          </w:tcPr>
          <w:p w14:paraId="33327646">
            <w:pPr>
              <w:pStyle w:val="17"/>
              <w:snapToGrid/>
              <w:jc w:val="center"/>
              <w:rPr>
                <w:rFonts w:asciiTheme="minorEastAsia" w:hAnsiTheme="minorEastAsia" w:eastAsiaTheme="minorEastAsia" w:cstheme="minorEastAsia"/>
                <w:b/>
                <w:bCs/>
                <w:sz w:val="24"/>
                <w:szCs w:val="24"/>
              </w:rPr>
            </w:pPr>
          </w:p>
        </w:tc>
        <w:tc>
          <w:tcPr>
            <w:tcW w:w="1378" w:type="dxa"/>
          </w:tcPr>
          <w:p w14:paraId="175510AA">
            <w:pPr>
              <w:snapToGrid/>
              <w:spacing w:before="177" w:line="183" w:lineRule="auto"/>
              <w:ind w:left="118"/>
              <w:jc w:val="cente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pacing w:val="-4"/>
                <w:sz w:val="24"/>
                <w:szCs w:val="24"/>
                <w:lang w:val="en-US" w:eastAsia="zh-CN"/>
              </w:rPr>
              <w:t>2882</w:t>
            </w:r>
          </w:p>
        </w:tc>
      </w:tr>
      <w:tr w14:paraId="597CC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1672" w:type="dxa"/>
            <w:vMerge w:val="restart"/>
            <w:vAlign w:val="center"/>
          </w:tcPr>
          <w:p w14:paraId="5AB50547">
            <w:pPr>
              <w:pStyle w:val="17"/>
              <w:snapToGrid/>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光谷</w:t>
            </w:r>
            <w:r>
              <w:rPr>
                <w:rFonts w:hint="eastAsia" w:asciiTheme="minorEastAsia" w:hAnsiTheme="minorEastAsia" w:eastAsiaTheme="minorEastAsia" w:cstheme="minorEastAsia"/>
                <w:sz w:val="24"/>
                <w:szCs w:val="24"/>
                <w:lang w:val="en-US" w:eastAsia="zh-CN"/>
              </w:rPr>
              <w:t>北</w:t>
            </w:r>
            <w:r>
              <w:rPr>
                <w:rFonts w:hint="eastAsia" w:asciiTheme="minorEastAsia" w:hAnsiTheme="minorEastAsia" w:eastAsiaTheme="minorEastAsia" w:cstheme="minorEastAsia"/>
                <w:sz w:val="24"/>
                <w:szCs w:val="24"/>
              </w:rPr>
              <w:t>校区</w:t>
            </w:r>
          </w:p>
        </w:tc>
        <w:tc>
          <w:tcPr>
            <w:tcW w:w="1313" w:type="dxa"/>
          </w:tcPr>
          <w:p w14:paraId="57745123">
            <w:pPr>
              <w:snapToGrid/>
              <w:spacing w:before="148" w:line="221" w:lineRule="auto"/>
              <w:ind w:left="112"/>
              <w:jc w:val="center"/>
              <w:rPr>
                <w:rFonts w:hint="default" w:asciiTheme="minorEastAsia" w:hAnsiTheme="minorEastAsia" w:eastAsiaTheme="minorEastAsia" w:cstheme="minorEastAsia"/>
                <w:b w:val="0"/>
                <w:bCs w:val="0"/>
                <w:spacing w:val="-8"/>
                <w:sz w:val="24"/>
                <w:szCs w:val="24"/>
                <w:lang w:val="en-US" w:eastAsia="zh-CN"/>
              </w:rPr>
            </w:pPr>
            <w:r>
              <w:rPr>
                <w:rFonts w:hint="eastAsia" w:asciiTheme="minorEastAsia" w:hAnsiTheme="minorEastAsia" w:eastAsiaTheme="minorEastAsia" w:cstheme="minorEastAsia"/>
                <w:b w:val="0"/>
                <w:bCs w:val="0"/>
                <w:spacing w:val="-8"/>
                <w:sz w:val="24"/>
                <w:szCs w:val="24"/>
                <w:lang w:val="en-US" w:eastAsia="zh-CN"/>
              </w:rPr>
              <w:t>1</w:t>
            </w:r>
          </w:p>
        </w:tc>
        <w:tc>
          <w:tcPr>
            <w:tcW w:w="4319" w:type="dxa"/>
            <w:shd w:val="clear" w:color="auto" w:fill="auto"/>
            <w:vAlign w:val="top"/>
          </w:tcPr>
          <w:p w14:paraId="1EA0E3DF">
            <w:pPr>
              <w:snapToGrid/>
              <w:spacing w:before="146" w:line="219" w:lineRule="auto"/>
              <w:ind w:left="114" w:leftChars="0"/>
              <w:jc w:val="center"/>
              <w:rPr>
                <w:rFonts w:asciiTheme="minorEastAsia" w:hAnsiTheme="minorEastAsia" w:eastAsiaTheme="minorEastAsia" w:cstheme="minorEastAsia"/>
                <w:snapToGrid w:val="0"/>
                <w:color w:val="000000"/>
                <w:sz w:val="24"/>
                <w:szCs w:val="24"/>
                <w:lang w:val="en-US" w:eastAsia="en-US" w:bidi="ar-SA"/>
              </w:rPr>
            </w:pPr>
            <w:r>
              <w:rPr>
                <w:rFonts w:hint="eastAsia" w:asciiTheme="minorEastAsia" w:hAnsiTheme="minorEastAsia" w:eastAsiaTheme="minorEastAsia" w:cstheme="minorEastAsia"/>
                <w:spacing w:val="-4"/>
                <w:sz w:val="24"/>
                <w:szCs w:val="24"/>
                <w:lang w:val="en-US" w:eastAsia="zh-CN"/>
              </w:rPr>
              <w:t>办公教学楼弱电间独立机柜</w:t>
            </w:r>
          </w:p>
        </w:tc>
        <w:tc>
          <w:tcPr>
            <w:tcW w:w="1378" w:type="dxa"/>
          </w:tcPr>
          <w:p w14:paraId="5AB005FB">
            <w:pPr>
              <w:snapToGrid/>
              <w:spacing w:before="177" w:line="183" w:lineRule="auto"/>
              <w:ind w:left="118"/>
              <w:jc w:val="center"/>
              <w:rPr>
                <w:rFonts w:hint="default" w:asciiTheme="minorEastAsia" w:hAnsiTheme="minorEastAsia" w:eastAsiaTheme="minorEastAsia" w:cstheme="minorEastAsia"/>
                <w:b w:val="0"/>
                <w:bCs w:val="0"/>
                <w:spacing w:val="-4"/>
                <w:sz w:val="24"/>
                <w:szCs w:val="24"/>
                <w:lang w:val="en-US" w:eastAsia="zh-CN"/>
              </w:rPr>
            </w:pPr>
            <w:r>
              <w:rPr>
                <w:rFonts w:hint="eastAsia" w:asciiTheme="minorEastAsia" w:hAnsiTheme="minorEastAsia" w:eastAsiaTheme="minorEastAsia" w:cstheme="minorEastAsia"/>
                <w:b w:val="0"/>
                <w:bCs w:val="0"/>
                <w:spacing w:val="-4"/>
                <w:sz w:val="24"/>
                <w:szCs w:val="24"/>
                <w:lang w:val="en-US" w:eastAsia="zh-CN"/>
              </w:rPr>
              <w:t>30</w:t>
            </w:r>
          </w:p>
        </w:tc>
      </w:tr>
      <w:tr w14:paraId="334C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1672" w:type="dxa"/>
            <w:vMerge w:val="continue"/>
            <w:vAlign w:val="center"/>
          </w:tcPr>
          <w:p w14:paraId="6E4A07B0">
            <w:pPr>
              <w:pStyle w:val="17"/>
              <w:snapToGrid/>
              <w:jc w:val="center"/>
              <w:rPr>
                <w:rFonts w:asciiTheme="minorEastAsia" w:hAnsiTheme="minorEastAsia" w:eastAsiaTheme="minorEastAsia" w:cstheme="minorEastAsia"/>
                <w:sz w:val="24"/>
                <w:szCs w:val="24"/>
              </w:rPr>
            </w:pPr>
          </w:p>
        </w:tc>
        <w:tc>
          <w:tcPr>
            <w:tcW w:w="1313" w:type="dxa"/>
          </w:tcPr>
          <w:p w14:paraId="3DB8C94F">
            <w:pPr>
              <w:snapToGrid/>
              <w:spacing w:before="148" w:line="221" w:lineRule="auto"/>
              <w:ind w:left="112"/>
              <w:jc w:val="center"/>
              <w:rPr>
                <w:rFonts w:hint="default" w:asciiTheme="minorEastAsia" w:hAnsiTheme="minorEastAsia" w:eastAsiaTheme="minorEastAsia" w:cstheme="minorEastAsia"/>
                <w:b w:val="0"/>
                <w:bCs w:val="0"/>
                <w:spacing w:val="-8"/>
                <w:sz w:val="24"/>
                <w:szCs w:val="24"/>
                <w:lang w:val="en-US" w:eastAsia="zh-CN"/>
              </w:rPr>
            </w:pPr>
            <w:r>
              <w:rPr>
                <w:rFonts w:hint="eastAsia" w:asciiTheme="minorEastAsia" w:hAnsiTheme="minorEastAsia" w:eastAsiaTheme="minorEastAsia" w:cstheme="minorEastAsia"/>
                <w:b w:val="0"/>
                <w:bCs w:val="0"/>
                <w:spacing w:val="-8"/>
                <w:sz w:val="24"/>
                <w:szCs w:val="24"/>
                <w:lang w:val="en-US" w:eastAsia="zh-CN"/>
              </w:rPr>
              <w:t>2</w:t>
            </w:r>
          </w:p>
        </w:tc>
        <w:tc>
          <w:tcPr>
            <w:tcW w:w="4319" w:type="dxa"/>
            <w:shd w:val="clear" w:color="auto" w:fill="auto"/>
            <w:vAlign w:val="top"/>
          </w:tcPr>
          <w:p w14:paraId="38CF638F">
            <w:pPr>
              <w:snapToGrid/>
              <w:spacing w:before="149" w:line="219" w:lineRule="auto"/>
              <w:ind w:left="110" w:leftChars="0"/>
              <w:jc w:val="center"/>
              <w:rPr>
                <w:rFonts w:asciiTheme="minorEastAsia" w:hAnsiTheme="minorEastAsia" w:eastAsiaTheme="minorEastAsia" w:cstheme="minorEastAsia"/>
                <w:snapToGrid w:val="0"/>
                <w:color w:val="000000"/>
                <w:sz w:val="24"/>
                <w:szCs w:val="24"/>
                <w:lang w:val="en-US" w:eastAsia="en-US" w:bidi="ar-SA"/>
              </w:rPr>
            </w:pPr>
            <w:r>
              <w:rPr>
                <w:rFonts w:hint="eastAsia" w:asciiTheme="minorEastAsia" w:hAnsiTheme="minorEastAsia" w:eastAsiaTheme="minorEastAsia" w:cstheme="minorEastAsia"/>
                <w:spacing w:val="-2"/>
                <w:sz w:val="24"/>
                <w:szCs w:val="24"/>
              </w:rPr>
              <w:t>信息化终端</w:t>
            </w:r>
          </w:p>
        </w:tc>
        <w:tc>
          <w:tcPr>
            <w:tcW w:w="1378" w:type="dxa"/>
          </w:tcPr>
          <w:p w14:paraId="6E4AE883">
            <w:pPr>
              <w:snapToGrid/>
              <w:spacing w:before="177" w:line="183" w:lineRule="auto"/>
              <w:ind w:left="118"/>
              <w:jc w:val="center"/>
              <w:rPr>
                <w:rFonts w:hint="default" w:asciiTheme="minorEastAsia" w:hAnsiTheme="minorEastAsia" w:eastAsiaTheme="minorEastAsia" w:cstheme="minorEastAsia"/>
                <w:b w:val="0"/>
                <w:bCs w:val="0"/>
                <w:spacing w:val="-4"/>
                <w:sz w:val="24"/>
                <w:szCs w:val="24"/>
                <w:lang w:val="en-US" w:eastAsia="zh-CN"/>
              </w:rPr>
            </w:pPr>
            <w:r>
              <w:rPr>
                <w:rFonts w:hint="eastAsia" w:asciiTheme="minorEastAsia" w:hAnsiTheme="minorEastAsia" w:eastAsiaTheme="minorEastAsia" w:cstheme="minorEastAsia"/>
                <w:b w:val="0"/>
                <w:bCs w:val="0"/>
                <w:spacing w:val="-4"/>
                <w:sz w:val="24"/>
                <w:szCs w:val="24"/>
                <w:lang w:val="en-US" w:eastAsia="zh-CN"/>
              </w:rPr>
              <w:t>2000</w:t>
            </w:r>
          </w:p>
        </w:tc>
      </w:tr>
      <w:tr w14:paraId="5D4F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1672" w:type="dxa"/>
            <w:vMerge w:val="continue"/>
            <w:vAlign w:val="center"/>
          </w:tcPr>
          <w:p w14:paraId="3DC7278C">
            <w:pPr>
              <w:pStyle w:val="17"/>
              <w:snapToGrid/>
              <w:jc w:val="center"/>
              <w:rPr>
                <w:rFonts w:asciiTheme="minorEastAsia" w:hAnsiTheme="minorEastAsia" w:eastAsiaTheme="minorEastAsia" w:cstheme="minorEastAsia"/>
                <w:sz w:val="24"/>
                <w:szCs w:val="24"/>
              </w:rPr>
            </w:pPr>
          </w:p>
        </w:tc>
        <w:tc>
          <w:tcPr>
            <w:tcW w:w="1313" w:type="dxa"/>
          </w:tcPr>
          <w:p w14:paraId="3A96ED3E">
            <w:pPr>
              <w:snapToGrid/>
              <w:spacing w:before="148" w:line="221" w:lineRule="auto"/>
              <w:ind w:left="112"/>
              <w:jc w:val="center"/>
              <w:rPr>
                <w:rFonts w:hint="eastAsia"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合</w:t>
            </w:r>
            <w:r>
              <w:rPr>
                <w:rFonts w:hint="eastAsia" w:asciiTheme="minorEastAsia" w:hAnsiTheme="minorEastAsia" w:eastAsiaTheme="minorEastAsia" w:cstheme="minorEastAsia"/>
                <w:b/>
                <w:bCs/>
                <w:spacing w:val="-8"/>
                <w:sz w:val="24"/>
                <w:szCs w:val="24"/>
              </w:rPr>
              <w:t>计</w:t>
            </w:r>
          </w:p>
        </w:tc>
        <w:tc>
          <w:tcPr>
            <w:tcW w:w="4319" w:type="dxa"/>
            <w:shd w:val="clear" w:color="auto" w:fill="auto"/>
            <w:vAlign w:val="top"/>
          </w:tcPr>
          <w:p w14:paraId="74A05D10">
            <w:pPr>
              <w:pStyle w:val="17"/>
              <w:snapToGrid/>
              <w:jc w:val="center"/>
              <w:rPr>
                <w:rFonts w:asciiTheme="minorEastAsia" w:hAnsiTheme="minorEastAsia" w:eastAsiaTheme="minorEastAsia" w:cstheme="minorEastAsia"/>
                <w:b/>
                <w:bCs/>
                <w:snapToGrid w:val="0"/>
                <w:color w:val="000000"/>
                <w:sz w:val="24"/>
                <w:szCs w:val="24"/>
                <w:lang w:val="en-US" w:eastAsia="en-US" w:bidi="ar-SA"/>
              </w:rPr>
            </w:pPr>
          </w:p>
        </w:tc>
        <w:tc>
          <w:tcPr>
            <w:tcW w:w="1378" w:type="dxa"/>
          </w:tcPr>
          <w:p w14:paraId="642A48C6">
            <w:pPr>
              <w:snapToGrid/>
              <w:spacing w:before="177" w:line="183" w:lineRule="auto"/>
              <w:ind w:left="118"/>
              <w:jc w:val="center"/>
              <w:rPr>
                <w:rFonts w:hint="default" w:asciiTheme="minorEastAsia" w:hAnsiTheme="minorEastAsia" w:eastAsiaTheme="minorEastAsia" w:cstheme="minorEastAsia"/>
                <w:b/>
                <w:bCs/>
                <w:spacing w:val="-4"/>
                <w:sz w:val="24"/>
                <w:szCs w:val="24"/>
                <w:lang w:val="en-US" w:eastAsia="zh-CN"/>
              </w:rPr>
            </w:pPr>
            <w:r>
              <w:rPr>
                <w:rFonts w:hint="eastAsia" w:asciiTheme="minorEastAsia" w:hAnsiTheme="minorEastAsia" w:eastAsiaTheme="minorEastAsia" w:cstheme="minorEastAsia"/>
                <w:b/>
                <w:bCs/>
                <w:spacing w:val="-4"/>
                <w:sz w:val="24"/>
                <w:szCs w:val="24"/>
                <w:lang w:val="en-US" w:eastAsia="zh-CN"/>
              </w:rPr>
              <w:t>2030</w:t>
            </w:r>
          </w:p>
        </w:tc>
      </w:tr>
    </w:tbl>
    <w:p w14:paraId="59302ECC">
      <w:pPr>
        <w:pStyle w:val="2"/>
        <w:snapToGrid/>
        <w:spacing w:line="265" w:lineRule="auto"/>
      </w:pPr>
    </w:p>
    <w:p w14:paraId="7C7CE060">
      <w:pPr>
        <w:snapToGrid/>
        <w:spacing w:before="137" w:line="227" w:lineRule="auto"/>
        <w:ind w:firstLine="259" w:firstLineChars="100"/>
        <w:rPr>
          <w:rFonts w:hint="eastAsia" w:asciiTheme="minorEastAsia" w:hAnsiTheme="minorEastAsia" w:eastAsiaTheme="minorEastAsia" w:cstheme="minorEastAsia"/>
          <w:b/>
          <w:bCs/>
          <w:spacing w:val="9"/>
          <w:sz w:val="24"/>
          <w:szCs w:val="24"/>
          <w:lang w:val="en-US" w:eastAsia="zh-CN"/>
        </w:rPr>
      </w:pPr>
      <w:r>
        <w:rPr>
          <w:rFonts w:hint="eastAsia" w:asciiTheme="minorEastAsia" w:hAnsiTheme="minorEastAsia" w:eastAsiaTheme="minorEastAsia" w:cstheme="minorEastAsia"/>
          <w:b/>
          <w:bCs/>
          <w:spacing w:val="9"/>
          <w:sz w:val="24"/>
          <w:szCs w:val="24"/>
          <w:lang w:val="en-US" w:eastAsia="zh-CN"/>
        </w:rPr>
        <w:t>5、电话网关360个：</w:t>
      </w:r>
    </w:p>
    <w:tbl>
      <w:tblPr>
        <w:tblStyle w:val="13"/>
        <w:tblW w:w="8683"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7"/>
        <w:gridCol w:w="1058"/>
        <w:gridCol w:w="2020"/>
        <w:gridCol w:w="1080"/>
        <w:gridCol w:w="2838"/>
      </w:tblGrid>
      <w:tr w14:paraId="3006E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687" w:type="dxa"/>
            <w:tcBorders>
              <w:top w:val="single" w:color="auto" w:sz="4" w:space="0"/>
              <w:left w:val="single" w:color="000000" w:sz="4" w:space="0"/>
              <w:bottom w:val="single" w:color="000000" w:sz="4" w:space="0"/>
              <w:right w:val="single" w:color="000000" w:sz="4" w:space="0"/>
            </w:tcBorders>
            <w:shd w:val="clear" w:color="auto" w:fill="F1F1F1" w:themeFill="background1" w:themeFillShade="F2"/>
            <w:vAlign w:val="center"/>
          </w:tcPr>
          <w:p w14:paraId="580C9E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校区</w:t>
            </w:r>
          </w:p>
        </w:tc>
        <w:tc>
          <w:tcPr>
            <w:tcW w:w="1058" w:type="dxa"/>
            <w:tcBorders>
              <w:top w:val="single" w:color="auto" w:sz="4" w:space="0"/>
              <w:left w:val="single" w:color="000000" w:sz="4" w:space="0"/>
              <w:bottom w:val="single" w:color="000000" w:sz="4" w:space="0"/>
              <w:right w:val="single" w:color="000000" w:sz="4" w:space="0"/>
            </w:tcBorders>
            <w:shd w:val="clear" w:color="auto" w:fill="F1F1F1" w:themeFill="background1" w:themeFillShade="F2"/>
            <w:vAlign w:val="center"/>
          </w:tcPr>
          <w:p w14:paraId="77BC05B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序号</w:t>
            </w:r>
          </w:p>
        </w:tc>
        <w:tc>
          <w:tcPr>
            <w:tcW w:w="2020" w:type="dxa"/>
            <w:tcBorders>
              <w:top w:val="single" w:color="auto" w:sz="4" w:space="0"/>
              <w:left w:val="single" w:color="000000" w:sz="4" w:space="0"/>
              <w:bottom w:val="single" w:color="000000" w:sz="4" w:space="0"/>
              <w:right w:val="single" w:color="000000" w:sz="4" w:space="0"/>
            </w:tcBorders>
            <w:shd w:val="clear" w:color="auto" w:fill="F1F1F1" w:themeFill="background1" w:themeFillShade="F2"/>
            <w:vAlign w:val="center"/>
          </w:tcPr>
          <w:p w14:paraId="0F0F7D5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所属楼栋</w:t>
            </w:r>
          </w:p>
        </w:tc>
        <w:tc>
          <w:tcPr>
            <w:tcW w:w="1080" w:type="dxa"/>
            <w:tcBorders>
              <w:top w:val="single" w:color="auto" w:sz="4" w:space="0"/>
              <w:left w:val="single" w:color="000000" w:sz="4" w:space="0"/>
              <w:bottom w:val="single" w:color="000000" w:sz="4" w:space="0"/>
              <w:right w:val="single" w:color="000000" w:sz="4" w:space="0"/>
            </w:tcBorders>
            <w:shd w:val="clear" w:color="auto" w:fill="F1F1F1" w:themeFill="background1" w:themeFillShade="F2"/>
            <w:vAlign w:val="center"/>
          </w:tcPr>
          <w:p w14:paraId="654E314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数量  （个）</w:t>
            </w:r>
          </w:p>
        </w:tc>
        <w:tc>
          <w:tcPr>
            <w:tcW w:w="2838" w:type="dxa"/>
            <w:tcBorders>
              <w:top w:val="single" w:color="auto"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136D7F0E">
            <w:pPr>
              <w:keepNext w:val="0"/>
              <w:keepLines w:val="0"/>
              <w:widowControl/>
              <w:suppressLineNumbers w:val="0"/>
              <w:jc w:val="center"/>
              <w:textAlignment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i w:val="0"/>
                <w:iCs w:val="0"/>
                <w:snapToGrid w:val="0"/>
                <w:color w:val="000000"/>
                <w:kern w:val="0"/>
                <w:sz w:val="24"/>
                <w:szCs w:val="24"/>
                <w:u w:val="none"/>
                <w:lang w:val="en-US" w:eastAsia="zh-CN" w:bidi="ar"/>
              </w:rPr>
              <w:t>备注</w:t>
            </w:r>
          </w:p>
        </w:tc>
      </w:tr>
      <w:tr w14:paraId="6570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107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光谷东校区</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5C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w:t>
            </w:r>
          </w:p>
        </w:tc>
        <w:tc>
          <w:tcPr>
            <w:tcW w:w="2020" w:type="dxa"/>
            <w:vMerge w:val="restart"/>
            <w:tcBorders>
              <w:top w:val="single" w:color="000000" w:sz="4" w:space="0"/>
              <w:left w:val="single" w:color="000000" w:sz="4" w:space="0"/>
              <w:right w:val="single" w:color="000000" w:sz="4" w:space="0"/>
            </w:tcBorders>
            <w:shd w:val="clear" w:color="auto" w:fill="auto"/>
            <w:vAlign w:val="center"/>
          </w:tcPr>
          <w:p w14:paraId="518925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13栋办公教学楼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1D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160</w:t>
            </w:r>
          </w:p>
        </w:tc>
        <w:tc>
          <w:tcPr>
            <w:tcW w:w="2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98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11个*（A8-C)16口·网关</w:t>
            </w:r>
          </w:p>
        </w:tc>
      </w:tr>
      <w:tr w14:paraId="32EC3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335BF">
            <w:pPr>
              <w:jc w:val="center"/>
              <w:rPr>
                <w:rFonts w:hint="eastAsia" w:asciiTheme="minorEastAsia" w:hAnsiTheme="minorEastAsia" w:eastAsiaTheme="minorEastAsia" w:cstheme="minorEastAsia"/>
                <w:i w:val="0"/>
                <w:iCs w:val="0"/>
                <w:color w:val="000000"/>
                <w:sz w:val="24"/>
                <w:szCs w:val="24"/>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0C62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2</w:t>
            </w:r>
          </w:p>
        </w:tc>
        <w:tc>
          <w:tcPr>
            <w:tcW w:w="2020" w:type="dxa"/>
            <w:vMerge w:val="continue"/>
            <w:tcBorders>
              <w:left w:val="single" w:color="000000" w:sz="4" w:space="0"/>
              <w:bottom w:val="single" w:color="000000" w:sz="4" w:space="0"/>
              <w:right w:val="single" w:color="000000" w:sz="4" w:space="0"/>
            </w:tcBorders>
            <w:shd w:val="clear" w:color="auto" w:fill="auto"/>
            <w:vAlign w:val="center"/>
          </w:tcPr>
          <w:p w14:paraId="749A0FFA">
            <w:pPr>
              <w:jc w:val="center"/>
              <w:rPr>
                <w:rFonts w:hint="eastAsia" w:asciiTheme="minorEastAsia" w:hAnsiTheme="minorEastAsia" w:eastAsiaTheme="minorEastAsia" w:cstheme="minorEastAsia"/>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890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4"/>
                <w:szCs w:val="24"/>
                <w:u w:val="none"/>
                <w:lang w:val="en-US"/>
              </w:rPr>
            </w:pPr>
            <w:r>
              <w:rPr>
                <w:rFonts w:hint="eastAsia" w:asciiTheme="minorEastAsia" w:hAnsiTheme="minorEastAsia" w:eastAsiaTheme="minorEastAsia" w:cstheme="minorEastAsia"/>
                <w:b w:val="0"/>
                <w:bCs w:val="0"/>
                <w:i w:val="0"/>
                <w:iCs w:val="0"/>
                <w:snapToGrid w:val="0"/>
                <w:color w:val="000000"/>
                <w:kern w:val="0"/>
                <w:sz w:val="24"/>
                <w:szCs w:val="24"/>
                <w:u w:val="none"/>
                <w:lang w:val="en-US" w:eastAsia="zh-CN" w:bidi="ar"/>
              </w:rPr>
              <w:t>1批</w:t>
            </w:r>
          </w:p>
        </w:tc>
        <w:tc>
          <w:tcPr>
            <w:tcW w:w="2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69B5">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从终端到网关线路</w:t>
            </w:r>
          </w:p>
        </w:tc>
      </w:tr>
      <w:tr w14:paraId="32261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58F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光谷西校区</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87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w:t>
            </w:r>
          </w:p>
        </w:tc>
        <w:tc>
          <w:tcPr>
            <w:tcW w:w="2020" w:type="dxa"/>
            <w:vMerge w:val="restart"/>
            <w:tcBorders>
              <w:top w:val="single" w:color="000000" w:sz="4" w:space="0"/>
              <w:left w:val="single" w:color="000000" w:sz="4" w:space="0"/>
              <w:right w:val="single" w:color="000000" w:sz="4" w:space="0"/>
            </w:tcBorders>
            <w:shd w:val="clear" w:color="auto" w:fill="auto"/>
            <w:vAlign w:val="center"/>
          </w:tcPr>
          <w:p w14:paraId="5CB794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3栋办公教学楼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17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100</w:t>
            </w:r>
          </w:p>
        </w:tc>
        <w:tc>
          <w:tcPr>
            <w:tcW w:w="2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32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7*（A8-C)16口·网关</w:t>
            </w:r>
          </w:p>
        </w:tc>
      </w:tr>
      <w:tr w14:paraId="37BA4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1D91D">
            <w:pPr>
              <w:jc w:val="center"/>
              <w:rPr>
                <w:rFonts w:hint="eastAsia" w:asciiTheme="minorEastAsia" w:hAnsiTheme="minorEastAsia" w:eastAsiaTheme="minorEastAsia" w:cstheme="minorEastAsia"/>
                <w:i w:val="0"/>
                <w:iCs w:val="0"/>
                <w:color w:val="000000"/>
                <w:sz w:val="24"/>
                <w:szCs w:val="24"/>
                <w:u w:val="none"/>
              </w:rPr>
            </w:pPr>
          </w:p>
        </w:tc>
        <w:tc>
          <w:tcPr>
            <w:tcW w:w="1058" w:type="dxa"/>
            <w:tcBorders>
              <w:top w:val="single" w:color="000000" w:sz="4" w:space="0"/>
              <w:left w:val="single" w:color="000000" w:sz="4" w:space="0"/>
              <w:bottom w:val="single" w:color="auto" w:sz="4" w:space="0"/>
              <w:right w:val="single" w:color="000000" w:sz="4" w:space="0"/>
            </w:tcBorders>
            <w:shd w:val="clear" w:color="auto" w:fill="auto"/>
            <w:vAlign w:val="center"/>
          </w:tcPr>
          <w:p w14:paraId="31AC86E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2</w:t>
            </w:r>
          </w:p>
        </w:tc>
        <w:tc>
          <w:tcPr>
            <w:tcW w:w="2020" w:type="dxa"/>
            <w:vMerge w:val="continue"/>
            <w:tcBorders>
              <w:left w:val="single" w:color="000000" w:sz="4" w:space="0"/>
              <w:bottom w:val="single" w:color="auto" w:sz="4" w:space="0"/>
              <w:right w:val="single" w:color="000000" w:sz="4" w:space="0"/>
            </w:tcBorders>
            <w:shd w:val="clear" w:color="auto" w:fill="auto"/>
            <w:vAlign w:val="center"/>
          </w:tcPr>
          <w:p w14:paraId="68574CCD">
            <w:pPr>
              <w:jc w:val="center"/>
              <w:rPr>
                <w:rFonts w:hint="eastAsia" w:asciiTheme="minorEastAsia" w:hAnsiTheme="minorEastAsia" w:eastAsiaTheme="minorEastAsia" w:cstheme="minorEastAsia"/>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648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lang w:val="en-US"/>
              </w:rPr>
            </w:pPr>
            <w:r>
              <w:rPr>
                <w:rFonts w:hint="eastAsia" w:asciiTheme="minorEastAsia" w:hAnsiTheme="minorEastAsia" w:eastAsiaTheme="minorEastAsia" w:cstheme="minorEastAsia"/>
                <w:b w:val="0"/>
                <w:bCs w:val="0"/>
                <w:i w:val="0"/>
                <w:iCs w:val="0"/>
                <w:snapToGrid w:val="0"/>
                <w:color w:val="000000"/>
                <w:kern w:val="0"/>
                <w:sz w:val="24"/>
                <w:szCs w:val="24"/>
                <w:u w:val="none"/>
                <w:lang w:val="en-US" w:eastAsia="zh-CN" w:bidi="ar"/>
              </w:rPr>
              <w:t>1批</w:t>
            </w:r>
          </w:p>
        </w:tc>
        <w:tc>
          <w:tcPr>
            <w:tcW w:w="2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1F6C">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lang w:val="en-US" w:eastAsia="zh-CN"/>
              </w:rPr>
              <w:t>从终端到网关线路</w:t>
            </w:r>
          </w:p>
        </w:tc>
      </w:tr>
      <w:tr w14:paraId="505AD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restart"/>
            <w:tcBorders>
              <w:top w:val="single" w:color="000000" w:sz="4" w:space="0"/>
              <w:left w:val="single" w:color="000000" w:sz="4" w:space="0"/>
              <w:right w:val="single" w:color="auto" w:sz="4" w:space="0"/>
            </w:tcBorders>
            <w:shd w:val="clear" w:color="auto" w:fill="auto"/>
            <w:vAlign w:val="center"/>
          </w:tcPr>
          <w:p w14:paraId="239886A9">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sz w:val="24"/>
                <w:szCs w:val="24"/>
              </w:rPr>
              <w:t>光谷</w:t>
            </w:r>
            <w:r>
              <w:rPr>
                <w:rFonts w:hint="eastAsia" w:asciiTheme="minorEastAsia" w:hAnsiTheme="minorEastAsia" w:eastAsiaTheme="minorEastAsia" w:cstheme="minorEastAsia"/>
                <w:sz w:val="24"/>
                <w:szCs w:val="24"/>
                <w:lang w:val="en-US" w:eastAsia="zh-CN"/>
              </w:rPr>
              <w:t>北</w:t>
            </w:r>
            <w:r>
              <w:rPr>
                <w:rFonts w:hint="eastAsia" w:asciiTheme="minorEastAsia" w:hAnsiTheme="minorEastAsia" w:eastAsiaTheme="minorEastAsia" w:cstheme="minorEastAsia"/>
                <w:sz w:val="24"/>
                <w:szCs w:val="24"/>
              </w:rPr>
              <w:t>校区</w:t>
            </w:r>
          </w:p>
        </w:tc>
        <w:tc>
          <w:tcPr>
            <w:tcW w:w="1058" w:type="dxa"/>
            <w:tcBorders>
              <w:top w:val="single" w:color="auto" w:sz="4" w:space="0"/>
              <w:left w:val="single" w:color="auto" w:sz="4" w:space="0"/>
              <w:bottom w:val="single" w:color="auto" w:sz="4" w:space="0"/>
              <w:right w:val="single" w:color="auto" w:sz="4" w:space="0"/>
            </w:tcBorders>
            <w:shd w:val="clear" w:color="auto" w:fill="auto"/>
            <w:vAlign w:val="center"/>
          </w:tcPr>
          <w:p w14:paraId="33891D5F">
            <w:pPr>
              <w:keepNext w:val="0"/>
              <w:keepLines w:val="0"/>
              <w:widowControl/>
              <w:suppressLineNumbers w:val="0"/>
              <w:jc w:val="center"/>
              <w:textAlignment w:val="cente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w:t>
            </w:r>
          </w:p>
        </w:tc>
        <w:tc>
          <w:tcPr>
            <w:tcW w:w="20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01973A8">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3栋办公教学楼</w:t>
            </w:r>
          </w:p>
          <w:p w14:paraId="698321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（裙楼）</w:t>
            </w: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4F5B751A">
            <w:pPr>
              <w:keepNext w:val="0"/>
              <w:keepLines w:val="0"/>
              <w:widowControl/>
              <w:suppressLineNumbers w:val="0"/>
              <w:jc w:val="center"/>
              <w:textAlignment w:val="cente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100</w:t>
            </w:r>
          </w:p>
        </w:tc>
        <w:tc>
          <w:tcPr>
            <w:tcW w:w="2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8E6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7个*（A8-C)16口·网关</w:t>
            </w:r>
          </w:p>
        </w:tc>
      </w:tr>
      <w:tr w14:paraId="1878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687" w:type="dxa"/>
            <w:vMerge w:val="continue"/>
            <w:tcBorders>
              <w:left w:val="single" w:color="000000" w:sz="4" w:space="0"/>
              <w:bottom w:val="single" w:color="auto" w:sz="4" w:space="0"/>
              <w:right w:val="single" w:color="000000" w:sz="4" w:space="0"/>
            </w:tcBorders>
            <w:shd w:val="clear" w:color="auto" w:fill="auto"/>
            <w:vAlign w:val="center"/>
          </w:tcPr>
          <w:p w14:paraId="4A31E306">
            <w:pPr>
              <w:jc w:val="center"/>
              <w:rPr>
                <w:rFonts w:hint="eastAsia" w:asciiTheme="minorEastAsia" w:hAnsiTheme="minorEastAsia" w:eastAsiaTheme="minorEastAsia" w:cstheme="minorEastAsia"/>
                <w:i w:val="0"/>
                <w:iCs w:val="0"/>
                <w:color w:val="000000"/>
                <w:sz w:val="24"/>
                <w:szCs w:val="24"/>
                <w:u w:val="none"/>
              </w:rPr>
            </w:pPr>
          </w:p>
        </w:tc>
        <w:tc>
          <w:tcPr>
            <w:tcW w:w="1058" w:type="dxa"/>
            <w:tcBorders>
              <w:top w:val="single" w:color="auto" w:sz="4" w:space="0"/>
              <w:left w:val="single" w:color="000000" w:sz="4" w:space="0"/>
              <w:bottom w:val="single" w:color="auto" w:sz="4" w:space="0"/>
              <w:right w:val="single" w:color="000000" w:sz="4" w:space="0"/>
            </w:tcBorders>
            <w:shd w:val="clear" w:color="auto" w:fill="auto"/>
            <w:vAlign w:val="center"/>
          </w:tcPr>
          <w:p w14:paraId="38E24ED6">
            <w:pPr>
              <w:keepNext w:val="0"/>
              <w:keepLines w:val="0"/>
              <w:widowControl/>
              <w:suppressLineNumbers w:val="0"/>
              <w:jc w:val="center"/>
              <w:textAlignment w:val="cente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2</w:t>
            </w:r>
          </w:p>
        </w:tc>
        <w:tc>
          <w:tcPr>
            <w:tcW w:w="202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F8C8244">
            <w:pPr>
              <w:jc w:val="center"/>
              <w:rPr>
                <w:rFonts w:hint="eastAsia" w:asciiTheme="minorEastAsia" w:hAnsiTheme="minorEastAsia" w:eastAsiaTheme="minorEastAsia" w:cstheme="minorEastAsia"/>
                <w:i w:val="0"/>
                <w:iCs w:val="0"/>
                <w:color w:val="000000"/>
                <w:sz w:val="24"/>
                <w:szCs w:val="24"/>
                <w:u w:val="none"/>
              </w:rPr>
            </w:pPr>
          </w:p>
        </w:tc>
        <w:tc>
          <w:tcPr>
            <w:tcW w:w="1080" w:type="dxa"/>
            <w:tcBorders>
              <w:top w:val="single" w:color="000000" w:sz="4" w:space="0"/>
              <w:left w:val="single" w:color="auto" w:sz="4" w:space="0"/>
              <w:bottom w:val="single" w:color="auto" w:sz="4" w:space="0"/>
              <w:right w:val="single" w:color="000000" w:sz="4" w:space="0"/>
            </w:tcBorders>
            <w:shd w:val="clear" w:color="auto" w:fill="auto"/>
            <w:vAlign w:val="center"/>
          </w:tcPr>
          <w:p w14:paraId="3EE9CC5D">
            <w:pPr>
              <w:keepNext w:val="0"/>
              <w:keepLines w:val="0"/>
              <w:widowControl/>
              <w:suppressLineNumbers w:val="0"/>
              <w:jc w:val="center"/>
              <w:textAlignment w:val="cente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b w:val="0"/>
                <w:bCs w:val="0"/>
                <w:i w:val="0"/>
                <w:iCs w:val="0"/>
                <w:snapToGrid w:val="0"/>
                <w:color w:val="000000"/>
                <w:kern w:val="0"/>
                <w:sz w:val="24"/>
                <w:szCs w:val="24"/>
                <w:u w:val="none"/>
                <w:lang w:val="en-US" w:eastAsia="zh-CN" w:bidi="ar"/>
              </w:rPr>
              <w:t>1批</w:t>
            </w:r>
          </w:p>
        </w:tc>
        <w:tc>
          <w:tcPr>
            <w:tcW w:w="283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EF299E0">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从终端到网关线路</w:t>
            </w:r>
          </w:p>
        </w:tc>
      </w:tr>
      <w:tr w14:paraId="74E32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7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F0BE9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合计：</w:t>
            </w:r>
          </w:p>
        </w:tc>
        <w:tc>
          <w:tcPr>
            <w:tcW w:w="391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DE229">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snapToGrid w:val="0"/>
                <w:color w:val="000000"/>
                <w:kern w:val="0"/>
                <w:sz w:val="24"/>
                <w:szCs w:val="24"/>
                <w:u w:val="none"/>
                <w:lang w:val="en-US" w:eastAsia="zh-CN" w:bidi="ar"/>
              </w:rPr>
              <w:t>约450台</w:t>
            </w:r>
          </w:p>
        </w:tc>
      </w:tr>
    </w:tbl>
    <w:p w14:paraId="5C485937">
      <w:pPr>
        <w:rPr>
          <w:rFonts w:hint="eastAsia" w:eastAsia="宋体"/>
          <w:lang w:val="en-US" w:eastAsia="zh-CN"/>
        </w:rPr>
      </w:pPr>
    </w:p>
    <w:p w14:paraId="140F5528">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auto"/>
        <w:ind w:left="0" w:leftChars="0" w:firstLine="220" w:firstLineChars="0"/>
        <w:textAlignment w:val="baseline"/>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运维服务内容：</w:t>
      </w:r>
    </w:p>
    <w:p w14:paraId="37DA8283">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校园有线网络终端运维服务；</w:t>
      </w:r>
    </w:p>
    <w:p w14:paraId="1A77DC7E">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校园无线网络终端运维服务；</w:t>
      </w:r>
    </w:p>
    <w:p w14:paraId="6EB1817C">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电话网络终端运维服务；</w:t>
      </w:r>
    </w:p>
    <w:p w14:paraId="2DA1D475">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信息化终端设备资产管理服务；</w:t>
      </w:r>
    </w:p>
    <w:p w14:paraId="0403172E">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校园网络终端设备更新备份</w:t>
      </w:r>
      <w:r>
        <w:rPr>
          <w:rFonts w:hint="eastAsia" w:asciiTheme="minorEastAsia" w:hAnsiTheme="minorEastAsia" w:eastAsiaTheme="minorEastAsia" w:cstheme="minorEastAsia"/>
          <w:sz w:val="24"/>
          <w:szCs w:val="24"/>
          <w:lang w:val="en-US" w:eastAsia="zh-CN"/>
        </w:rPr>
        <w:t>及</w:t>
      </w:r>
      <w:r>
        <w:rPr>
          <w:rFonts w:hint="eastAsia" w:asciiTheme="minorEastAsia" w:hAnsiTheme="minorEastAsia" w:eastAsiaTheme="minorEastAsia" w:cstheme="minorEastAsia"/>
          <w:sz w:val="24"/>
          <w:szCs w:val="24"/>
          <w:lang w:eastAsia="zh-CN"/>
        </w:rPr>
        <w:t>统计服务；</w:t>
      </w:r>
    </w:p>
    <w:p w14:paraId="6203F480">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重大活动、各级考试网络终端保障服务；</w:t>
      </w:r>
    </w:p>
    <w:p w14:paraId="587EAD69">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ind w:left="1265" w:leftChars="0" w:hanging="425"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拓展服务（学校交办的其它工作）。</w:t>
      </w:r>
    </w:p>
    <w:p w14:paraId="1A69312A">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校园有线网络运维服务</w:t>
      </w:r>
    </w:p>
    <w:p w14:paraId="46CA815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2C356827">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承担</w:t>
      </w:r>
      <w:r>
        <w:rPr>
          <w:rFonts w:hint="eastAsia" w:asciiTheme="minorEastAsia" w:hAnsiTheme="minorEastAsia" w:eastAsiaTheme="minorEastAsia" w:cstheme="minorEastAsia"/>
          <w:sz w:val="24"/>
          <w:szCs w:val="24"/>
          <w:lang w:val="en-US" w:eastAsia="zh-CN"/>
        </w:rPr>
        <w:t>学校</w:t>
      </w:r>
      <w:r>
        <w:rPr>
          <w:rFonts w:hint="eastAsia" w:asciiTheme="minorEastAsia" w:hAnsiTheme="minorEastAsia" w:eastAsiaTheme="minorEastAsia" w:cstheme="minorEastAsia"/>
          <w:sz w:val="24"/>
          <w:szCs w:val="24"/>
          <w:lang w:eastAsia="zh-CN"/>
        </w:rPr>
        <w:t>办公网、教学网、</w:t>
      </w:r>
      <w:r>
        <w:rPr>
          <w:rFonts w:hint="eastAsia" w:asciiTheme="minorEastAsia" w:hAnsiTheme="minorEastAsia" w:eastAsiaTheme="minorEastAsia" w:cstheme="minorEastAsia"/>
          <w:sz w:val="24"/>
          <w:szCs w:val="24"/>
          <w:lang w:val="en-US" w:eastAsia="zh-CN"/>
        </w:rPr>
        <w:t>宿舍网</w:t>
      </w:r>
      <w:r>
        <w:rPr>
          <w:rFonts w:hint="eastAsia" w:asciiTheme="minorEastAsia" w:hAnsiTheme="minorEastAsia" w:eastAsiaTheme="minorEastAsia" w:cstheme="minorEastAsia"/>
          <w:sz w:val="24"/>
          <w:szCs w:val="24"/>
          <w:lang w:eastAsia="zh-CN"/>
        </w:rPr>
        <w:t>、一卡通专网，</w:t>
      </w:r>
      <w:r>
        <w:rPr>
          <w:rFonts w:hint="eastAsia" w:asciiTheme="minorEastAsia" w:hAnsiTheme="minorEastAsia" w:eastAsiaTheme="minorEastAsia" w:cstheme="minorEastAsia"/>
          <w:sz w:val="24"/>
          <w:szCs w:val="24"/>
          <w:lang w:val="en-US" w:eastAsia="zh-CN"/>
        </w:rPr>
        <w:t>电话网络</w:t>
      </w:r>
      <w:r>
        <w:rPr>
          <w:rFonts w:hint="eastAsia" w:asciiTheme="minorEastAsia" w:hAnsiTheme="minorEastAsia" w:eastAsiaTheme="minorEastAsia" w:cstheme="minorEastAsia"/>
          <w:sz w:val="24"/>
          <w:szCs w:val="24"/>
          <w:lang w:eastAsia="zh-CN"/>
        </w:rPr>
        <w:t>的技术支持和运维服务；负责</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lang w:eastAsia="zh-CN"/>
        </w:rPr>
        <w:t>区域</w:t>
      </w:r>
      <w:r>
        <w:rPr>
          <w:rFonts w:hint="eastAsia" w:asciiTheme="minorEastAsia" w:hAnsiTheme="minorEastAsia" w:eastAsiaTheme="minorEastAsia" w:cstheme="minorEastAsia"/>
          <w:sz w:val="24"/>
          <w:szCs w:val="24"/>
          <w:lang w:val="en-US" w:eastAsia="zh-CN"/>
        </w:rPr>
        <w:t>内信息化</w:t>
      </w:r>
      <w:r>
        <w:rPr>
          <w:rFonts w:hint="eastAsia" w:asciiTheme="minorEastAsia" w:hAnsiTheme="minorEastAsia" w:eastAsiaTheme="minorEastAsia" w:cstheme="minorEastAsia"/>
          <w:sz w:val="24"/>
          <w:szCs w:val="24"/>
          <w:lang w:eastAsia="zh-CN"/>
        </w:rPr>
        <w:t>基础设备的故障诊断、排除及设备的配置、保养、更换，确保网络通畅；诊断和排除从学校中心机房</w:t>
      </w:r>
      <w:r>
        <w:rPr>
          <w:rFonts w:hint="eastAsia" w:asciiTheme="minorEastAsia" w:hAnsiTheme="minorEastAsia" w:eastAsiaTheme="minorEastAsia" w:cstheme="minorEastAsia"/>
          <w:sz w:val="24"/>
          <w:szCs w:val="24"/>
          <w:lang w:val="en-US" w:eastAsia="zh-CN"/>
        </w:rPr>
        <w:t>出口</w:t>
      </w:r>
      <w:r>
        <w:rPr>
          <w:rFonts w:hint="eastAsia" w:asciiTheme="minorEastAsia" w:hAnsiTheme="minorEastAsia" w:eastAsiaTheme="minorEastAsia" w:cstheme="minorEastAsia"/>
          <w:sz w:val="24"/>
          <w:szCs w:val="24"/>
          <w:lang w:eastAsia="zh-CN"/>
        </w:rPr>
        <w:t>到终端设备的网络故障；</w:t>
      </w:r>
    </w:p>
    <w:p w14:paraId="3A11C0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、日常运维</w:t>
      </w:r>
    </w:p>
    <w:p w14:paraId="355163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（1）智能远程设备巡检</w:t>
      </w:r>
    </w:p>
    <w:p w14:paraId="1AE9DEC7">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进行每日早、中、晚三次的巡检工作（节假日二次），按时</w:t>
      </w:r>
      <w:r>
        <w:rPr>
          <w:rFonts w:hint="eastAsia" w:asciiTheme="minorEastAsia" w:hAnsiTheme="minorEastAsia" w:eastAsiaTheme="minorEastAsia" w:cstheme="minorEastAsia"/>
          <w:sz w:val="24"/>
          <w:szCs w:val="24"/>
          <w:lang w:val="en-US" w:eastAsia="zh-CN"/>
        </w:rPr>
        <w:t>记录</w:t>
      </w:r>
      <w:r>
        <w:rPr>
          <w:rFonts w:hint="eastAsia" w:asciiTheme="minorEastAsia" w:hAnsiTheme="minorEastAsia" w:eastAsiaTheme="minorEastAsia" w:cstheme="minorEastAsia"/>
          <w:sz w:val="24"/>
          <w:szCs w:val="24"/>
          <w:lang w:eastAsia="zh-CN"/>
        </w:rPr>
        <w:t>巡检结果（巡查设备的端口、IP 地址、CPU、内存、温度），确保有线网络设备故障能主动发现，及时处理。如有新增网络设备及时纳入到巡检范围中，做到网络智能化巡检服务。</w:t>
      </w:r>
    </w:p>
    <w:p w14:paraId="669E30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（2）现场设备巡检</w:t>
      </w:r>
    </w:p>
    <w:p w14:paraId="5B70CB9B">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定期巡检（每月巡检一次），包括设备除尘；设备运行状态巡查；设备标签标识制作、粘贴检查、设备工作环境检查。及时收集巡检数据、结果反馈，提升风险预警能力。</w:t>
      </w:r>
    </w:p>
    <w:p w14:paraId="28286BB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3、故障处理</w:t>
      </w:r>
    </w:p>
    <w:p w14:paraId="17C94F0E">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网络故障的排查、分析、恢复；设备硬件报修及跟踪处理；故障处理报告；故障硬件或模块更换等；</w:t>
      </w:r>
    </w:p>
    <w:p w14:paraId="30BF3471">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60" w:lineRule="auto"/>
        <w:ind w:left="446"/>
        <w:textAlignment w:val="baseline"/>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设备更换</w:t>
      </w:r>
    </w:p>
    <w:p w14:paraId="44790EF5">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对于运维过程中网络设备故障且无维修价值的，驻场运维人员需书面报请管理负责人，负责人确定无维修价值的，管理部门提供备品备件，由运维人员进行更换并做好台账。</w:t>
      </w:r>
    </w:p>
    <w:p w14:paraId="1F58D4F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5、响应时间要求</w:t>
      </w:r>
    </w:p>
    <w:p w14:paraId="0D605E3A">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驻场服务响应时间：</w:t>
      </w:r>
      <w:r>
        <w:rPr>
          <w:rFonts w:hint="eastAsia" w:asciiTheme="minorEastAsia" w:hAnsiTheme="minorEastAsia" w:eastAsiaTheme="minorEastAsia" w:cstheme="minorEastAsia"/>
          <w:b/>
          <w:bCs/>
          <w:sz w:val="24"/>
          <w:szCs w:val="24"/>
          <w:u w:val="single"/>
          <w:lang w:eastAsia="zh-CN"/>
        </w:rPr>
        <w:t>7*10 小时（8:</w:t>
      </w:r>
      <w:r>
        <w:rPr>
          <w:rFonts w:hint="eastAsia" w:asciiTheme="minorEastAsia" w:hAnsiTheme="minorEastAsia" w:eastAsiaTheme="minorEastAsia" w:cstheme="minorEastAsia"/>
          <w:b/>
          <w:bCs/>
          <w:sz w:val="24"/>
          <w:szCs w:val="24"/>
          <w:u w:val="single"/>
          <w:lang w:val="en-US" w:eastAsia="zh-CN"/>
        </w:rPr>
        <w:t>3</w:t>
      </w:r>
      <w:r>
        <w:rPr>
          <w:rFonts w:hint="eastAsia" w:asciiTheme="minorEastAsia" w:hAnsiTheme="minorEastAsia" w:eastAsiaTheme="minorEastAsia" w:cstheme="minorEastAsia"/>
          <w:b/>
          <w:bCs/>
          <w:sz w:val="24"/>
          <w:szCs w:val="24"/>
          <w:u w:val="single"/>
          <w:lang w:eastAsia="zh-CN"/>
        </w:rPr>
        <w:t>0-12:30；13:30-19:</w:t>
      </w:r>
      <w:r>
        <w:rPr>
          <w:rFonts w:hint="eastAsia" w:asciiTheme="minorEastAsia" w:hAnsiTheme="minorEastAsia" w:eastAsiaTheme="minorEastAsia" w:cstheme="minorEastAsia"/>
          <w:b/>
          <w:bCs/>
          <w:sz w:val="24"/>
          <w:szCs w:val="24"/>
          <w:u w:val="single"/>
          <w:lang w:val="en-US" w:eastAsia="zh-CN"/>
        </w:rPr>
        <w:t>3</w:t>
      </w:r>
      <w:r>
        <w:rPr>
          <w:rFonts w:hint="eastAsia" w:asciiTheme="minorEastAsia" w:hAnsiTheme="minorEastAsia" w:eastAsiaTheme="minorEastAsia" w:cstheme="minorEastAsia"/>
          <w:b/>
          <w:bCs/>
          <w:sz w:val="24"/>
          <w:szCs w:val="24"/>
          <w:u w:val="single"/>
          <w:lang w:eastAsia="zh-CN"/>
        </w:rPr>
        <w:t>0）</w:t>
      </w:r>
    </w:p>
    <w:p w14:paraId="4E5767B7">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主要网络设备出现故障时，</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lang w:eastAsia="zh-CN"/>
        </w:rPr>
        <w:t>分钟内响应，当值</w:t>
      </w:r>
      <w:r>
        <w:rPr>
          <w:rFonts w:hint="eastAsia" w:asciiTheme="minorEastAsia" w:hAnsiTheme="minorEastAsia" w:eastAsiaTheme="minorEastAsia" w:cstheme="minorEastAsia"/>
          <w:sz w:val="24"/>
          <w:szCs w:val="24"/>
          <w:lang w:val="en-US" w:eastAsia="zh-CN"/>
        </w:rPr>
        <w:t>驻场</w:t>
      </w:r>
      <w:r>
        <w:rPr>
          <w:rFonts w:hint="eastAsia" w:asciiTheme="minorEastAsia" w:hAnsiTheme="minorEastAsia" w:eastAsiaTheme="minorEastAsia" w:cstheme="minorEastAsia"/>
          <w:sz w:val="24"/>
          <w:szCs w:val="24"/>
          <w:lang w:eastAsia="zh-CN"/>
        </w:rPr>
        <w:t>运维工程师无法排除故障时，</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小时内，</w:t>
      </w:r>
      <w:r>
        <w:rPr>
          <w:rFonts w:hint="eastAsia" w:asciiTheme="minorEastAsia" w:hAnsiTheme="minorEastAsia" w:eastAsiaTheme="minorEastAsia" w:cstheme="minorEastAsia"/>
          <w:sz w:val="24"/>
          <w:szCs w:val="24"/>
          <w:lang w:val="en-US" w:eastAsia="zh-CN"/>
        </w:rPr>
        <w:t>运维团队高级</w:t>
      </w:r>
      <w:r>
        <w:rPr>
          <w:rFonts w:hint="eastAsia" w:asciiTheme="minorEastAsia" w:hAnsiTheme="minorEastAsia" w:eastAsiaTheme="minorEastAsia" w:cstheme="minorEastAsia"/>
          <w:sz w:val="24"/>
          <w:szCs w:val="24"/>
          <w:lang w:eastAsia="zh-CN"/>
        </w:rPr>
        <w:t>工程师赶赴现场进行故障诊断及处理，在</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小时内排除较大故障，</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eastAsia="zh-CN"/>
        </w:rPr>
        <w:t>小时内排除重大故障，</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lang w:eastAsia="zh-CN"/>
        </w:rPr>
        <w:t>小时内排除特大故障。</w:t>
      </w:r>
    </w:p>
    <w:p w14:paraId="3155D17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6、服务交付物</w:t>
      </w:r>
    </w:p>
    <w:p w14:paraId="4AB937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《网络</w:t>
      </w:r>
      <w:r>
        <w:rPr>
          <w:rFonts w:hint="eastAsia" w:asciiTheme="minorEastAsia" w:hAnsiTheme="minorEastAsia" w:eastAsiaTheme="minorEastAsia" w:cstheme="minorEastAsia"/>
          <w:b w:val="0"/>
          <w:bCs w:val="0"/>
          <w:sz w:val="24"/>
          <w:szCs w:val="24"/>
          <w:lang w:val="en-US" w:eastAsia="zh-CN"/>
        </w:rPr>
        <w:t>巡检报表</w:t>
      </w:r>
      <w:r>
        <w:rPr>
          <w:rFonts w:hint="eastAsia" w:asciiTheme="minorEastAsia" w:hAnsiTheme="minorEastAsia" w:eastAsiaTheme="minorEastAsia" w:cstheme="minorEastAsia"/>
          <w:b w:val="0"/>
          <w:bCs w:val="0"/>
          <w:sz w:val="24"/>
          <w:szCs w:val="24"/>
          <w:lang w:eastAsia="zh-CN"/>
        </w:rPr>
        <w:t>》、《网络运维值班日志》、《网络维护及业务处理工单》。</w:t>
      </w:r>
    </w:p>
    <w:p w14:paraId="2B34EE7D">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校园无线网络运维</w:t>
      </w:r>
    </w:p>
    <w:p w14:paraId="74E5FD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0E00C67A">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诊断和排除从学校中心机房到</w:t>
      </w:r>
      <w:r>
        <w:rPr>
          <w:rFonts w:hint="eastAsia" w:asciiTheme="minorEastAsia" w:hAnsiTheme="minorEastAsia" w:eastAsiaTheme="minorEastAsia" w:cstheme="minorEastAsia"/>
          <w:sz w:val="24"/>
          <w:szCs w:val="24"/>
          <w:lang w:val="en-US" w:eastAsia="zh-CN"/>
        </w:rPr>
        <w:t>各服务</w:t>
      </w:r>
      <w:r>
        <w:rPr>
          <w:rFonts w:hint="eastAsia" w:asciiTheme="minorEastAsia" w:hAnsiTheme="minorEastAsia" w:eastAsiaTheme="minorEastAsia" w:cstheme="minorEastAsia"/>
          <w:sz w:val="24"/>
          <w:szCs w:val="24"/>
          <w:lang w:eastAsia="zh-CN"/>
        </w:rPr>
        <w:t>区域的无线网络设备故障；</w:t>
      </w:r>
    </w:p>
    <w:p w14:paraId="17D2355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 日常运维</w:t>
      </w:r>
    </w:p>
    <w:p w14:paraId="62EC132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（1）远程智能设备巡检</w:t>
      </w:r>
    </w:p>
    <w:p w14:paraId="7C708C7A">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进行每日早、中、晚三次的巡检工作（节假日二次），按时</w:t>
      </w:r>
      <w:r>
        <w:rPr>
          <w:rFonts w:hint="eastAsia" w:asciiTheme="minorEastAsia" w:hAnsiTheme="minorEastAsia" w:eastAsiaTheme="minorEastAsia" w:cstheme="minorEastAsia"/>
          <w:sz w:val="24"/>
          <w:szCs w:val="24"/>
          <w:lang w:val="en-US" w:eastAsia="zh-CN"/>
        </w:rPr>
        <w:t>记录</w:t>
      </w:r>
      <w:r>
        <w:rPr>
          <w:rFonts w:hint="eastAsia" w:asciiTheme="minorEastAsia" w:hAnsiTheme="minorEastAsia" w:eastAsiaTheme="minorEastAsia" w:cstheme="minorEastAsia"/>
          <w:sz w:val="24"/>
          <w:szCs w:val="24"/>
          <w:lang w:eastAsia="zh-CN"/>
        </w:rPr>
        <w:t>巡检结果，确保无线网络设备故障能主动发现，及时处理，做到无线点位“0”故障，呈现整网良好态势，提高用户体验。</w:t>
      </w:r>
    </w:p>
    <w:p w14:paraId="31BB6A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（2）现场设备巡检</w:t>
      </w:r>
    </w:p>
    <w:p w14:paraId="1477694A">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定期巡检（每月巡检一次），包括：设备除尘；设备运行状态巡查；设备标签标识制作、粘贴检查，设备工作环境检查。及时收集巡检数据、结果反馈，提升风险预警能力。</w:t>
      </w:r>
    </w:p>
    <w:p w14:paraId="4C8B85A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（3）故障处理</w:t>
      </w:r>
    </w:p>
    <w:p w14:paraId="73FC7A6C">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无线网络故障的排查、分析、恢复；无线设备硬件报修及跟踪处理；故障处理报告；故障硬件或模块更换；</w:t>
      </w:r>
    </w:p>
    <w:p w14:paraId="224F19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（4）设备更换</w:t>
      </w:r>
    </w:p>
    <w:p w14:paraId="5D247284">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对于设备故障且无维修价值的，驻场运维人员需书面报请管理负责人，负责人确定无维修价值的，管理部门提供备品备件，由运维人员进行更换并做好台账；</w:t>
      </w:r>
    </w:p>
    <w:p w14:paraId="1E7457B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（5）实时监控</w:t>
      </w:r>
    </w:p>
    <w:p w14:paraId="790CDC67">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无线设备状态（供电、指示灯、CPU、 内存等）监控；无线网络延时及丢包监控；无线网络连通性监控；无线 AP 流量监控；</w:t>
      </w:r>
    </w:p>
    <w:p w14:paraId="7BAC06F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（6）系统优化：</w:t>
      </w:r>
    </w:p>
    <w:p w14:paraId="121D8C6D">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每季度评估无线网络运行状况；提供无线网络性能瓶颈原因分析报告；提交无线的优化方案（信道、功率、覆盖范围、漫游、频谱导航等）；及时对无线设备软件版本升级。</w:t>
      </w:r>
    </w:p>
    <w:p w14:paraId="7435FC7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3、响应时间要求</w:t>
      </w:r>
    </w:p>
    <w:p w14:paraId="26E0AE1F">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驻场服务响应时间：</w:t>
      </w:r>
      <w:r>
        <w:rPr>
          <w:rFonts w:hint="eastAsia" w:asciiTheme="minorEastAsia" w:hAnsiTheme="minorEastAsia" w:eastAsiaTheme="minorEastAsia" w:cstheme="minorEastAsia"/>
          <w:b/>
          <w:bCs/>
          <w:sz w:val="24"/>
          <w:szCs w:val="24"/>
          <w:lang w:eastAsia="zh-CN"/>
        </w:rPr>
        <w:t>7*10 小时（8:</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eastAsia="zh-CN"/>
        </w:rPr>
        <w:t>0-12:30；13:30-19:</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eastAsia="zh-CN"/>
        </w:rPr>
        <w:t>0）</w:t>
      </w:r>
    </w:p>
    <w:p w14:paraId="52A8BB24">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主要网络设备出现故障时，</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lang w:eastAsia="zh-CN"/>
        </w:rPr>
        <w:t>分钟内响应，当值</w:t>
      </w:r>
      <w:r>
        <w:rPr>
          <w:rFonts w:hint="eastAsia" w:asciiTheme="minorEastAsia" w:hAnsiTheme="minorEastAsia" w:eastAsiaTheme="minorEastAsia" w:cstheme="minorEastAsia"/>
          <w:sz w:val="24"/>
          <w:szCs w:val="24"/>
          <w:lang w:val="en-US" w:eastAsia="zh-CN"/>
        </w:rPr>
        <w:t>驻场</w:t>
      </w:r>
      <w:r>
        <w:rPr>
          <w:rFonts w:hint="eastAsia" w:asciiTheme="minorEastAsia" w:hAnsiTheme="minorEastAsia" w:eastAsiaTheme="minorEastAsia" w:cstheme="minorEastAsia"/>
          <w:sz w:val="24"/>
          <w:szCs w:val="24"/>
          <w:lang w:eastAsia="zh-CN"/>
        </w:rPr>
        <w:t>运维工程师无法排除故障时，</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小时内，</w:t>
      </w:r>
      <w:r>
        <w:rPr>
          <w:rFonts w:hint="eastAsia" w:asciiTheme="minorEastAsia" w:hAnsiTheme="minorEastAsia" w:eastAsiaTheme="minorEastAsia" w:cstheme="minorEastAsia"/>
          <w:sz w:val="24"/>
          <w:szCs w:val="24"/>
          <w:lang w:val="en-US" w:eastAsia="zh-CN"/>
        </w:rPr>
        <w:t>运维团队高级</w:t>
      </w:r>
      <w:r>
        <w:rPr>
          <w:rFonts w:hint="eastAsia" w:asciiTheme="minorEastAsia" w:hAnsiTheme="minorEastAsia" w:eastAsiaTheme="minorEastAsia" w:cstheme="minorEastAsia"/>
          <w:sz w:val="24"/>
          <w:szCs w:val="24"/>
          <w:lang w:eastAsia="zh-CN"/>
        </w:rPr>
        <w:t>工程师赶赴现场进行故障诊断及处理，在</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小时内排除较大故障，</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eastAsia="zh-CN"/>
        </w:rPr>
        <w:t>小时内排除重大故障，</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lang w:eastAsia="zh-CN"/>
        </w:rPr>
        <w:t>小时内排除特大故障。</w:t>
      </w:r>
    </w:p>
    <w:p w14:paraId="18F1E37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4、服务交付物</w:t>
      </w:r>
    </w:p>
    <w:p w14:paraId="18C917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《网络运维</w:t>
      </w:r>
      <w:r>
        <w:rPr>
          <w:rFonts w:hint="eastAsia" w:asciiTheme="minorEastAsia" w:hAnsiTheme="minorEastAsia" w:eastAsiaTheme="minorEastAsia" w:cstheme="minorEastAsia"/>
          <w:sz w:val="24"/>
          <w:szCs w:val="24"/>
          <w:lang w:val="en-US" w:eastAsia="zh-CN"/>
        </w:rPr>
        <w:t>日志</w:t>
      </w:r>
      <w:r>
        <w:rPr>
          <w:rFonts w:hint="eastAsia" w:asciiTheme="minorEastAsia" w:hAnsiTheme="minorEastAsia" w:eastAsiaTheme="minorEastAsia" w:cstheme="minorEastAsia"/>
          <w:sz w:val="24"/>
          <w:szCs w:val="24"/>
          <w:lang w:eastAsia="zh-CN"/>
        </w:rPr>
        <w:t>》、《网络运维值班日志》、《网络维护及业务处理工单》。</w:t>
      </w:r>
    </w:p>
    <w:p w14:paraId="198CB05F">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电话网络终端运维服务</w:t>
      </w:r>
    </w:p>
    <w:p w14:paraId="725C643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5465B8FE">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电话</w:t>
      </w:r>
      <w:r>
        <w:rPr>
          <w:rFonts w:hint="eastAsia" w:asciiTheme="minorEastAsia" w:hAnsiTheme="minorEastAsia" w:eastAsiaTheme="minorEastAsia" w:cstheme="minorEastAsia"/>
          <w:sz w:val="24"/>
          <w:szCs w:val="24"/>
          <w:lang w:eastAsia="zh-CN"/>
        </w:rPr>
        <w:t>专线</w:t>
      </w:r>
      <w:r>
        <w:rPr>
          <w:rFonts w:hint="eastAsia" w:asciiTheme="minorEastAsia" w:hAnsiTheme="minorEastAsia" w:eastAsiaTheme="minorEastAsia" w:cstheme="minorEastAsia"/>
          <w:sz w:val="24"/>
          <w:szCs w:val="24"/>
          <w:lang w:val="en-US" w:eastAsia="zh-CN"/>
        </w:rPr>
        <w:t>从网关到桌面线路的布线及线路维护</w:t>
      </w:r>
      <w:r>
        <w:rPr>
          <w:rFonts w:hint="eastAsia" w:asciiTheme="minorEastAsia" w:hAnsiTheme="minorEastAsia" w:eastAsiaTheme="minorEastAsia" w:cstheme="minorEastAsia"/>
          <w:sz w:val="24"/>
          <w:szCs w:val="24"/>
          <w:lang w:eastAsia="zh-CN"/>
        </w:rPr>
        <w:t>。</w:t>
      </w:r>
    </w:p>
    <w:p w14:paraId="7B5A69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2、日常运维</w:t>
      </w:r>
    </w:p>
    <w:p w14:paraId="120B659E">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驻场运维服务人员需对我校</w:t>
      </w:r>
      <w:r>
        <w:rPr>
          <w:rFonts w:hint="eastAsia" w:asciiTheme="minorEastAsia" w:hAnsiTheme="minorEastAsia" w:eastAsiaTheme="minorEastAsia" w:cstheme="minorEastAsia"/>
          <w:sz w:val="24"/>
          <w:szCs w:val="24"/>
          <w:lang w:val="en-US" w:eastAsia="zh-CN"/>
        </w:rPr>
        <w:t>电话网关端口以下线路</w:t>
      </w:r>
      <w:r>
        <w:rPr>
          <w:rFonts w:hint="eastAsia" w:asciiTheme="minorEastAsia" w:hAnsiTheme="minorEastAsia" w:eastAsiaTheme="minorEastAsia" w:cstheme="minorEastAsia"/>
          <w:sz w:val="24"/>
          <w:szCs w:val="24"/>
          <w:lang w:eastAsia="zh-CN"/>
        </w:rPr>
        <w:t>进行</w:t>
      </w:r>
      <w:r>
        <w:rPr>
          <w:rFonts w:hint="eastAsia" w:asciiTheme="minorEastAsia" w:hAnsiTheme="minorEastAsia" w:eastAsiaTheme="minorEastAsia" w:cstheme="minorEastAsia"/>
          <w:sz w:val="24"/>
          <w:szCs w:val="24"/>
          <w:lang w:val="en-US" w:eastAsia="zh-CN"/>
        </w:rPr>
        <w:t>日常维护</w:t>
      </w:r>
      <w:r>
        <w:rPr>
          <w:rFonts w:hint="eastAsia" w:asciiTheme="minorEastAsia" w:hAnsiTheme="minorEastAsia" w:eastAsiaTheme="minorEastAsia" w:cstheme="minorEastAsia"/>
          <w:sz w:val="24"/>
          <w:szCs w:val="24"/>
          <w:lang w:eastAsia="zh-CN"/>
        </w:rPr>
        <w:t>服务。</w:t>
      </w:r>
    </w:p>
    <w:p w14:paraId="116943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3、设备更换</w:t>
      </w:r>
    </w:p>
    <w:p w14:paraId="27A16D5C">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对于</w:t>
      </w:r>
      <w:r>
        <w:rPr>
          <w:rFonts w:hint="eastAsia" w:asciiTheme="minorEastAsia" w:hAnsiTheme="minorEastAsia" w:eastAsiaTheme="minorEastAsia" w:cstheme="minorEastAsia"/>
          <w:sz w:val="24"/>
          <w:szCs w:val="24"/>
          <w:lang w:val="en-US" w:eastAsia="zh-CN"/>
        </w:rPr>
        <w:t>网关以下新线路的布线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电话故障报修，线路维护</w:t>
      </w:r>
      <w:r>
        <w:rPr>
          <w:rFonts w:hint="eastAsia" w:asciiTheme="minorEastAsia" w:hAnsiTheme="minorEastAsia" w:eastAsiaTheme="minorEastAsia" w:cstheme="minorEastAsia"/>
          <w:sz w:val="24"/>
          <w:szCs w:val="24"/>
          <w:lang w:eastAsia="zh-CN"/>
        </w:rPr>
        <w:t>由运维人员进行更换，</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lang w:eastAsia="zh-CN"/>
        </w:rPr>
        <w:t>并做好台账，</w:t>
      </w:r>
      <w:r>
        <w:rPr>
          <w:rFonts w:hint="eastAsia" w:asciiTheme="minorEastAsia" w:hAnsiTheme="minorEastAsia" w:eastAsiaTheme="minorEastAsia" w:cstheme="minorEastAsia"/>
          <w:sz w:val="24"/>
          <w:szCs w:val="24"/>
          <w:lang w:val="en-US" w:eastAsia="zh-CN"/>
        </w:rPr>
        <w:t>电话线路所涉及的耗材需运维团队报请管理部门统一采购</w:t>
      </w:r>
      <w:r>
        <w:rPr>
          <w:rFonts w:hint="eastAsia" w:asciiTheme="minorEastAsia" w:hAnsiTheme="minorEastAsia" w:eastAsiaTheme="minorEastAsia" w:cstheme="minorEastAsia"/>
          <w:sz w:val="24"/>
          <w:szCs w:val="24"/>
          <w:lang w:eastAsia="zh-CN"/>
        </w:rPr>
        <w:t>；</w:t>
      </w:r>
    </w:p>
    <w:p w14:paraId="0EDEA8A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4、响应时间要求</w:t>
      </w:r>
    </w:p>
    <w:p w14:paraId="39BB25E9">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驻场运维服务响应时间：</w:t>
      </w:r>
      <w:r>
        <w:rPr>
          <w:rFonts w:hint="eastAsia" w:asciiTheme="minorEastAsia" w:hAnsiTheme="minorEastAsia" w:eastAsiaTheme="minorEastAsia" w:cstheme="minorEastAsia"/>
          <w:b/>
          <w:bCs/>
          <w:sz w:val="24"/>
          <w:szCs w:val="24"/>
          <w:lang w:eastAsia="zh-CN"/>
        </w:rPr>
        <w:t>7*</w:t>
      </w: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lang w:eastAsia="zh-CN"/>
        </w:rPr>
        <w:t xml:space="preserve"> 小时（8:</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eastAsia="zh-CN"/>
        </w:rPr>
        <w:t>0-12:30；13:30-1</w:t>
      </w: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eastAsia="zh-CN"/>
        </w:rPr>
        <w:t>0）</w:t>
      </w:r>
    </w:p>
    <w:p w14:paraId="19F97D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5、服务交付物</w:t>
      </w:r>
    </w:p>
    <w:p w14:paraId="308EB46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电话专线服务</w:t>
      </w:r>
      <w:r>
        <w:rPr>
          <w:rFonts w:hint="eastAsia" w:asciiTheme="minorEastAsia" w:hAnsiTheme="minorEastAsia" w:eastAsiaTheme="minorEastAsia" w:cstheme="minorEastAsia"/>
          <w:sz w:val="24"/>
          <w:szCs w:val="24"/>
          <w:lang w:eastAsia="zh-CN"/>
        </w:rPr>
        <w:t>统计月报》、《</w:t>
      </w:r>
      <w:r>
        <w:rPr>
          <w:rFonts w:hint="eastAsia" w:asciiTheme="minorEastAsia" w:hAnsiTheme="minorEastAsia" w:eastAsiaTheme="minorEastAsia" w:cstheme="minorEastAsia"/>
          <w:sz w:val="24"/>
          <w:szCs w:val="24"/>
          <w:lang w:val="en-US" w:eastAsia="zh-CN"/>
        </w:rPr>
        <w:t>电话专线服务统计年报</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电话网关信息端口统计表</w:t>
      </w:r>
      <w:r>
        <w:rPr>
          <w:rFonts w:hint="eastAsia" w:asciiTheme="minorEastAsia" w:hAnsiTheme="minorEastAsia" w:eastAsiaTheme="minorEastAsia" w:cstheme="minorEastAsia"/>
          <w:sz w:val="24"/>
          <w:szCs w:val="24"/>
          <w:lang w:eastAsia="zh-CN"/>
        </w:rPr>
        <w:t>》</w:t>
      </w:r>
    </w:p>
    <w:p w14:paraId="4A4F3BAD">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信息化终端设备资产管理服务</w:t>
      </w:r>
    </w:p>
    <w:p w14:paraId="6CBD8A4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1、服务范围</w:t>
      </w:r>
    </w:p>
    <w:p w14:paraId="4AF9001A">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全校所有有线，无线设备，一卡通设备，图书馆信息化中心仓库待报废设备，以及综合楼信息化中心库存设备。</w:t>
      </w:r>
    </w:p>
    <w:p w14:paraId="7E8F7A2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2、日常运维</w:t>
      </w:r>
    </w:p>
    <w:p w14:paraId="5DD27442">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每月需进行一次设备清查，登记进出库情况，配合</w:t>
      </w:r>
      <w:r>
        <w:rPr>
          <w:rFonts w:hint="eastAsia" w:asciiTheme="minorEastAsia" w:hAnsiTheme="minorEastAsia" w:eastAsiaTheme="minorEastAsia" w:cstheme="minorEastAsia"/>
          <w:sz w:val="24"/>
          <w:szCs w:val="24"/>
          <w:lang w:val="en-US" w:eastAsia="zh-CN"/>
        </w:rPr>
        <w:t>信息化中心做好</w:t>
      </w:r>
      <w:r>
        <w:rPr>
          <w:rFonts w:hint="eastAsia" w:asciiTheme="minorEastAsia" w:hAnsiTheme="minorEastAsia" w:eastAsiaTheme="minorEastAsia" w:cstheme="minorEastAsia"/>
          <w:sz w:val="24"/>
          <w:szCs w:val="24"/>
          <w:lang w:eastAsia="zh-CN"/>
        </w:rPr>
        <w:t>校级资产清查，报废</w:t>
      </w:r>
      <w:r>
        <w:rPr>
          <w:rFonts w:hint="eastAsia" w:asciiTheme="minorEastAsia" w:hAnsiTheme="minorEastAsia" w:eastAsiaTheme="minorEastAsia" w:cstheme="minorEastAsia"/>
          <w:sz w:val="24"/>
          <w:szCs w:val="24"/>
          <w:lang w:val="en-US" w:eastAsia="zh-CN"/>
        </w:rPr>
        <w:t>工作</w:t>
      </w:r>
      <w:r>
        <w:rPr>
          <w:rFonts w:hint="eastAsia" w:asciiTheme="minorEastAsia" w:hAnsiTheme="minorEastAsia" w:eastAsiaTheme="minorEastAsia" w:cstheme="minorEastAsia"/>
          <w:sz w:val="24"/>
          <w:szCs w:val="24"/>
          <w:lang w:eastAsia="zh-CN"/>
        </w:rPr>
        <w:t>。</w:t>
      </w:r>
    </w:p>
    <w:p w14:paraId="7161D48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3、响应时间要求</w:t>
      </w:r>
    </w:p>
    <w:p w14:paraId="4C1C9A28">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每月一次，出入库需实时更新，校级资产盘查半年一次。</w:t>
      </w:r>
    </w:p>
    <w:p w14:paraId="64F5EE9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4、服务交付物</w:t>
      </w:r>
    </w:p>
    <w:p w14:paraId="3B86865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《设备入库登记表》、《设备出库登记表》、《库存设备资产与备品备件表》。</w:t>
      </w:r>
    </w:p>
    <w:p w14:paraId="66D621C5">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校园网络终端设备更新备份</w:t>
      </w:r>
      <w:r>
        <w:rPr>
          <w:rFonts w:hint="eastAsia" w:asciiTheme="minorEastAsia" w:hAnsiTheme="minorEastAsia" w:eastAsiaTheme="minorEastAsia" w:cstheme="minorEastAsia"/>
          <w:b/>
          <w:bCs/>
          <w:sz w:val="24"/>
          <w:szCs w:val="24"/>
          <w:lang w:val="en-US" w:eastAsia="zh-CN"/>
        </w:rPr>
        <w:t>及</w:t>
      </w:r>
      <w:r>
        <w:rPr>
          <w:rFonts w:hint="eastAsia" w:asciiTheme="minorEastAsia" w:hAnsiTheme="minorEastAsia" w:eastAsiaTheme="minorEastAsia" w:cstheme="minorEastAsia"/>
          <w:b/>
          <w:bCs/>
          <w:sz w:val="24"/>
          <w:szCs w:val="24"/>
          <w:lang w:eastAsia="zh-CN"/>
        </w:rPr>
        <w:t>统计服务</w:t>
      </w:r>
    </w:p>
    <w:p w14:paraId="03754D82">
      <w:pPr>
        <w:keepNext w:val="0"/>
        <w:keepLines w:val="0"/>
        <w:pageBreakBefore w:val="0"/>
        <w:widowControl/>
        <w:numPr>
          <w:ilvl w:val="0"/>
          <w:numId w:val="8"/>
        </w:numPr>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运维服务范围：全校</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lang w:eastAsia="zh-CN"/>
        </w:rPr>
        <w:t>区域。</w:t>
      </w:r>
    </w:p>
    <w:p w14:paraId="061EAC85">
      <w:pPr>
        <w:keepNext w:val="0"/>
        <w:keepLines w:val="0"/>
        <w:pageBreakBefore w:val="0"/>
        <w:widowControl/>
        <w:numPr>
          <w:ilvl w:val="0"/>
          <w:numId w:val="8"/>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常运维：对校园网涉及的网线线缆进行统计，记录房间号、配线架、交换机端口的对应信息，形成基础综合布线信息库，完善电子文档并持续更新。对全校网络设备进行统计整理，记录设备型号、设备使用地点、设备序列号、设备管理地址等资产信息，形成设备基础资产信息库，完善电子文档并持续更新。对全校网络设备配置进行统计整理，备份，以便</w:t>
      </w:r>
      <w:r>
        <w:rPr>
          <w:rFonts w:hint="eastAsia" w:asciiTheme="minorEastAsia" w:hAnsiTheme="minorEastAsia" w:eastAsiaTheme="minorEastAsia" w:cstheme="minorEastAsia"/>
          <w:sz w:val="24"/>
          <w:szCs w:val="24"/>
          <w:lang w:val="en-US" w:eastAsia="zh-CN"/>
        </w:rPr>
        <w:t>用</w:t>
      </w:r>
      <w:r>
        <w:rPr>
          <w:rFonts w:hint="eastAsia" w:asciiTheme="minorEastAsia" w:hAnsiTheme="minorEastAsia" w:eastAsiaTheme="minorEastAsia" w:cstheme="minorEastAsia"/>
          <w:sz w:val="24"/>
          <w:szCs w:val="24"/>
          <w:lang w:eastAsia="zh-CN"/>
        </w:rPr>
        <w:t>于</w:t>
      </w:r>
      <w:r>
        <w:rPr>
          <w:rFonts w:hint="eastAsia" w:asciiTheme="minorEastAsia" w:hAnsiTheme="minorEastAsia" w:eastAsiaTheme="minorEastAsia" w:cstheme="minorEastAsia"/>
          <w:sz w:val="24"/>
          <w:szCs w:val="24"/>
          <w:lang w:val="en-US" w:eastAsia="zh-CN"/>
        </w:rPr>
        <w:t>设备故障后的</w:t>
      </w:r>
      <w:r>
        <w:rPr>
          <w:rFonts w:hint="eastAsia" w:asciiTheme="minorEastAsia" w:hAnsiTheme="minorEastAsia" w:eastAsiaTheme="minorEastAsia" w:cstheme="minorEastAsia"/>
          <w:sz w:val="24"/>
          <w:szCs w:val="24"/>
          <w:lang w:eastAsia="zh-CN"/>
        </w:rPr>
        <w:t>数据恢复，形成数据库，完善电子文档并持续更新。</w:t>
      </w:r>
    </w:p>
    <w:p w14:paraId="72C604AD">
      <w:pPr>
        <w:keepNext w:val="0"/>
        <w:keepLines w:val="0"/>
        <w:pageBreakBefore w:val="0"/>
        <w:widowControl/>
        <w:numPr>
          <w:ilvl w:val="0"/>
          <w:numId w:val="8"/>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响应时间要求</w:t>
      </w:r>
    </w:p>
    <w:p w14:paraId="104E5111">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每月一次，新增设备信息及时备份及记录。</w:t>
      </w:r>
    </w:p>
    <w:p w14:paraId="0E6D82F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4、服务交付物</w:t>
      </w:r>
    </w:p>
    <w:p w14:paraId="64B68E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《校园网拓扑图》、《校园网IP地址与VLAN信息表》、《网络设备端口信息与拓扑图》、《网络设备配置备份表》、《网络设备升级报告》。</w:t>
      </w:r>
    </w:p>
    <w:p w14:paraId="0221853D">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重大活动、各级考试网络终端保障服务</w:t>
      </w:r>
    </w:p>
    <w:p w14:paraId="6412EDF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1、学校大型活动、会议、考试等网络终端保障服务</w:t>
      </w:r>
    </w:p>
    <w:p w14:paraId="0C4CCD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6398D256">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全校校级会议室、报告厅、教室、机房 </w:t>
      </w:r>
    </w:p>
    <w:p w14:paraId="2E1E28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（2）日常运维</w:t>
      </w:r>
    </w:p>
    <w:p w14:paraId="110621C4">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对学校举行的大型活动、会议、考试进行全面网络保障，根据要求，配备足够的人员到现场调试和现场维护，并按需求提供紧急备选方案。</w:t>
      </w:r>
    </w:p>
    <w:p w14:paraId="5B9A5215">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对重要会议需根据会议具体要求提前测试运行环境，保障会议能顺利完成，会议期间提供人员现场保障。</w:t>
      </w:r>
    </w:p>
    <w:p w14:paraId="516ED10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）服务交付物</w:t>
      </w:r>
    </w:p>
    <w:p w14:paraId="3A2097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《网络维护及业务处理工单》、《会议室，报告厅巡检报告》、《学校大型活动网络保障报告》。</w:t>
      </w:r>
    </w:p>
    <w:p w14:paraId="6DAB92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2、迎新、离校</w:t>
      </w:r>
      <w:r>
        <w:rPr>
          <w:rFonts w:hint="eastAsia" w:asciiTheme="minorEastAsia" w:hAnsiTheme="minorEastAsia" w:eastAsiaTheme="minorEastAsia" w:cstheme="minorEastAsia"/>
          <w:sz w:val="24"/>
          <w:szCs w:val="24"/>
          <w:lang w:val="en-US" w:eastAsia="zh-CN"/>
        </w:rPr>
        <w:t>期间</w:t>
      </w:r>
      <w:r>
        <w:rPr>
          <w:rFonts w:hint="eastAsia" w:asciiTheme="minorEastAsia" w:hAnsiTheme="minorEastAsia" w:eastAsiaTheme="minorEastAsia" w:cstheme="minorEastAsia"/>
          <w:sz w:val="24"/>
          <w:szCs w:val="24"/>
          <w:lang w:eastAsia="zh-CN"/>
        </w:rPr>
        <w:t>运维服务</w:t>
      </w:r>
    </w:p>
    <w:p w14:paraId="25A739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358378D3">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新生开学迎新，毕业生离校。 </w:t>
      </w:r>
    </w:p>
    <w:p w14:paraId="32F862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（2）运维</w:t>
      </w:r>
      <w:r>
        <w:rPr>
          <w:rFonts w:hint="eastAsia" w:asciiTheme="minorEastAsia" w:hAnsiTheme="minorEastAsia" w:eastAsiaTheme="minorEastAsia" w:cstheme="minorEastAsia"/>
          <w:sz w:val="24"/>
          <w:szCs w:val="24"/>
          <w:lang w:val="en-US" w:eastAsia="zh-CN"/>
        </w:rPr>
        <w:t>服务内容</w:t>
      </w:r>
    </w:p>
    <w:p w14:paraId="3E89441F">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迎新</w:t>
      </w:r>
      <w:r>
        <w:rPr>
          <w:rFonts w:hint="eastAsia" w:asciiTheme="minorEastAsia" w:hAnsiTheme="minorEastAsia" w:eastAsiaTheme="minorEastAsia" w:cstheme="minorEastAsia"/>
          <w:sz w:val="24"/>
          <w:szCs w:val="24"/>
          <w:lang w:val="en-US" w:eastAsia="zh-CN"/>
        </w:rPr>
        <w:t>期间</w:t>
      </w:r>
      <w:r>
        <w:rPr>
          <w:rFonts w:hint="eastAsia" w:asciiTheme="minorEastAsia" w:hAnsiTheme="minorEastAsia" w:eastAsiaTheme="minorEastAsia" w:cstheme="minorEastAsia"/>
          <w:sz w:val="24"/>
          <w:szCs w:val="24"/>
          <w:lang w:eastAsia="zh-CN"/>
        </w:rPr>
        <w:t>协助各</w:t>
      </w:r>
      <w:r>
        <w:rPr>
          <w:rFonts w:hint="eastAsia" w:asciiTheme="minorEastAsia" w:hAnsiTheme="minorEastAsia" w:eastAsiaTheme="minorEastAsia" w:cstheme="minorEastAsia"/>
          <w:sz w:val="24"/>
          <w:szCs w:val="24"/>
          <w:lang w:val="en-US" w:eastAsia="zh-CN"/>
        </w:rPr>
        <w:t>部门</w:t>
      </w:r>
      <w:r>
        <w:rPr>
          <w:rFonts w:hint="eastAsia" w:asciiTheme="minorEastAsia" w:hAnsiTheme="minorEastAsia" w:eastAsiaTheme="minorEastAsia" w:cstheme="minorEastAsia"/>
          <w:sz w:val="24"/>
          <w:szCs w:val="24"/>
          <w:lang w:eastAsia="zh-CN"/>
        </w:rPr>
        <w:t>布置迎新现场网络环境</w:t>
      </w:r>
      <w:r>
        <w:rPr>
          <w:rFonts w:hint="eastAsia" w:asciiTheme="minorEastAsia" w:hAnsiTheme="minorEastAsia" w:eastAsiaTheme="minorEastAsia" w:cstheme="minorEastAsia"/>
          <w:sz w:val="24"/>
          <w:szCs w:val="24"/>
          <w:lang w:val="en-US" w:eastAsia="zh-CN"/>
        </w:rPr>
        <w:t>和设备维护</w:t>
      </w:r>
      <w:r>
        <w:rPr>
          <w:rFonts w:hint="eastAsia" w:asciiTheme="minorEastAsia" w:hAnsiTheme="minorEastAsia" w:eastAsiaTheme="minorEastAsia" w:cstheme="minorEastAsia"/>
          <w:sz w:val="24"/>
          <w:szCs w:val="24"/>
          <w:lang w:eastAsia="zh-CN"/>
        </w:rPr>
        <w:t>，正确引导新生使用校园网</w:t>
      </w:r>
      <w:r>
        <w:rPr>
          <w:rFonts w:hint="eastAsia" w:asciiTheme="minorEastAsia" w:hAnsiTheme="minorEastAsia" w:eastAsiaTheme="minorEastAsia" w:cstheme="minorEastAsia"/>
          <w:sz w:val="24"/>
          <w:szCs w:val="24"/>
          <w:lang w:val="en-US" w:eastAsia="zh-CN"/>
        </w:rPr>
        <w:t>和校园一卡通</w:t>
      </w:r>
      <w:r>
        <w:rPr>
          <w:rFonts w:hint="eastAsia" w:asciiTheme="minorEastAsia" w:hAnsiTheme="minorEastAsia" w:eastAsiaTheme="minorEastAsia" w:cstheme="minorEastAsia"/>
          <w:sz w:val="24"/>
          <w:szCs w:val="24"/>
          <w:lang w:eastAsia="zh-CN"/>
        </w:rPr>
        <w:t>，离校</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lang w:eastAsia="zh-CN"/>
        </w:rPr>
        <w:t>主要协助各</w:t>
      </w:r>
      <w:r>
        <w:rPr>
          <w:rFonts w:hint="eastAsia" w:asciiTheme="minorEastAsia" w:hAnsiTheme="minorEastAsia" w:eastAsiaTheme="minorEastAsia" w:cstheme="minorEastAsia"/>
          <w:sz w:val="24"/>
          <w:szCs w:val="24"/>
          <w:lang w:val="en-US" w:eastAsia="zh-CN"/>
        </w:rPr>
        <w:t>部门</w:t>
      </w:r>
      <w:r>
        <w:rPr>
          <w:rFonts w:hint="eastAsia" w:asciiTheme="minorEastAsia" w:hAnsiTheme="minorEastAsia" w:eastAsiaTheme="minorEastAsia" w:cstheme="minorEastAsia"/>
          <w:sz w:val="24"/>
          <w:szCs w:val="24"/>
          <w:lang w:eastAsia="zh-CN"/>
        </w:rPr>
        <w:t>处理</w:t>
      </w:r>
      <w:r>
        <w:rPr>
          <w:rFonts w:hint="eastAsia" w:asciiTheme="minorEastAsia" w:hAnsiTheme="minorEastAsia" w:eastAsiaTheme="minorEastAsia" w:cstheme="minorEastAsia"/>
          <w:sz w:val="24"/>
          <w:szCs w:val="24"/>
          <w:lang w:val="en-US" w:eastAsia="zh-CN"/>
        </w:rPr>
        <w:t>学生</w:t>
      </w:r>
      <w:r>
        <w:rPr>
          <w:rFonts w:hint="eastAsia" w:asciiTheme="minorEastAsia" w:hAnsiTheme="minorEastAsia" w:eastAsiaTheme="minorEastAsia" w:cstheme="minorEastAsia"/>
          <w:sz w:val="24"/>
          <w:szCs w:val="24"/>
          <w:lang w:eastAsia="zh-CN"/>
        </w:rPr>
        <w:t>上网账号及校园一卡通业务。</w:t>
      </w:r>
    </w:p>
    <w:p w14:paraId="75A89143">
      <w:pPr>
        <w:keepNext w:val="0"/>
        <w:keepLines w:val="0"/>
        <w:pageBreakBefore w:val="0"/>
        <w:widowControl/>
        <w:numPr>
          <w:ilvl w:val="0"/>
          <w:numId w:val="9"/>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响应时间</w:t>
      </w:r>
    </w:p>
    <w:p w14:paraId="7CCD5D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960" w:firstLineChars="4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每</w:t>
      </w:r>
      <w:r>
        <w:rPr>
          <w:rFonts w:hint="eastAsia" w:asciiTheme="minorEastAsia" w:hAnsiTheme="minorEastAsia" w:eastAsiaTheme="minorEastAsia" w:cstheme="minorEastAsia"/>
          <w:sz w:val="24"/>
          <w:szCs w:val="24"/>
          <w:lang w:val="en-US" w:eastAsia="zh-CN"/>
        </w:rPr>
        <w:t>学</w:t>
      </w:r>
      <w:r>
        <w:rPr>
          <w:rFonts w:hint="eastAsia" w:asciiTheme="minorEastAsia" w:hAnsiTheme="minorEastAsia" w:eastAsiaTheme="minorEastAsia" w:cstheme="minorEastAsia"/>
          <w:sz w:val="24"/>
          <w:szCs w:val="24"/>
          <w:lang w:eastAsia="zh-CN"/>
        </w:rPr>
        <w:t>年各一次。</w:t>
      </w:r>
    </w:p>
    <w:p w14:paraId="6F8FED4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（4）服务交付物</w:t>
      </w:r>
    </w:p>
    <w:p w14:paraId="37B3DBB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《迎新服务统计表》、《离校服务统计表》。</w:t>
      </w:r>
    </w:p>
    <w:p w14:paraId="001699F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3、考试、赛事网络运维服务</w:t>
      </w:r>
    </w:p>
    <w:p w14:paraId="5FD849E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w:t>
      </w:r>
    </w:p>
    <w:p w14:paraId="5B39672C">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各种职业技能考试、1+X 考试及周末社考等考试、全国职业比赛</w:t>
      </w:r>
    </w:p>
    <w:p w14:paraId="5871F59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（2）日常运维</w:t>
      </w:r>
    </w:p>
    <w:p w14:paraId="2C201773">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在考试前期对考试场地进行网络改造，升级调试，以达到考试网络要求，在考试期间对考试网络进行保障服务，比赛结束后需对网络设备回收及场地恢复原貌。</w:t>
      </w:r>
    </w:p>
    <w:p w14:paraId="468299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（3）服务交付物</w:t>
      </w:r>
    </w:p>
    <w:p w14:paraId="1D41C32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《考试，赛事服务报告》、《网络维护及业务处理工单》。</w:t>
      </w:r>
    </w:p>
    <w:p w14:paraId="2F4548DA">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425" w:leftChars="0" w:hanging="5" w:firstLineChars="0"/>
        <w:textAlignment w:val="baseline"/>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拓展服务</w:t>
      </w:r>
    </w:p>
    <w:p w14:paraId="1F6D1D7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1、线上报修、</w:t>
      </w:r>
      <w:r>
        <w:rPr>
          <w:rFonts w:hint="eastAsia" w:asciiTheme="minorEastAsia" w:hAnsiTheme="minorEastAsia" w:eastAsiaTheme="minorEastAsia" w:cstheme="minorEastAsia"/>
          <w:sz w:val="24"/>
          <w:szCs w:val="24"/>
          <w:lang w:val="en-US" w:eastAsia="zh-CN"/>
        </w:rPr>
        <w:t>电话报修、扫码报修</w:t>
      </w:r>
    </w:p>
    <w:p w14:paraId="0FEE18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（1）运维服务范围：全校教职工、学生、外聘老师。</w:t>
      </w:r>
    </w:p>
    <w:p w14:paraId="6E6BAA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线上</w:t>
      </w:r>
      <w:r>
        <w:rPr>
          <w:rFonts w:hint="eastAsia" w:asciiTheme="minorEastAsia" w:hAnsiTheme="minorEastAsia" w:eastAsiaTheme="minorEastAsia" w:cstheme="minorEastAsia"/>
          <w:sz w:val="24"/>
          <w:szCs w:val="24"/>
          <w:lang w:eastAsia="zh-CN"/>
        </w:rPr>
        <w:t>运维</w:t>
      </w:r>
    </w:p>
    <w:p w14:paraId="646D263E">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提供24小时简便，快捷故障报修服务，及时响应用户需求，给用户提供多渠道的报修</w:t>
      </w:r>
      <w:r>
        <w:rPr>
          <w:rFonts w:hint="eastAsia" w:asciiTheme="minorEastAsia" w:hAnsiTheme="minorEastAsia" w:eastAsiaTheme="minorEastAsia" w:cstheme="minorEastAsia"/>
          <w:sz w:val="24"/>
          <w:szCs w:val="24"/>
          <w:lang w:val="en-US" w:eastAsia="zh-CN"/>
        </w:rPr>
        <w:t>渠道</w:t>
      </w:r>
      <w:r>
        <w:rPr>
          <w:rFonts w:hint="eastAsia" w:asciiTheme="minorEastAsia" w:hAnsiTheme="minorEastAsia" w:eastAsiaTheme="minorEastAsia" w:cstheme="minorEastAsia"/>
          <w:sz w:val="24"/>
          <w:szCs w:val="24"/>
          <w:lang w:eastAsia="zh-CN"/>
        </w:rPr>
        <w:t>，增强用户</w:t>
      </w:r>
      <w:r>
        <w:rPr>
          <w:rFonts w:hint="eastAsia" w:asciiTheme="minorEastAsia" w:hAnsiTheme="minorEastAsia" w:eastAsiaTheme="minorEastAsia" w:cstheme="minorEastAsia"/>
          <w:sz w:val="24"/>
          <w:szCs w:val="24"/>
          <w:lang w:val="en-US" w:eastAsia="zh-CN"/>
        </w:rPr>
        <w:t>报修</w:t>
      </w:r>
      <w:r>
        <w:rPr>
          <w:rFonts w:hint="eastAsia" w:asciiTheme="minorEastAsia" w:hAnsiTheme="minorEastAsia" w:eastAsiaTheme="minorEastAsia" w:cstheme="minorEastAsia"/>
          <w:sz w:val="24"/>
          <w:szCs w:val="24"/>
          <w:lang w:eastAsia="zh-CN"/>
        </w:rPr>
        <w:t>体验度。</w:t>
      </w:r>
    </w:p>
    <w:p w14:paraId="5E941A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（3）响应要求</w:t>
      </w:r>
    </w:p>
    <w:p w14:paraId="7AA6B5EF">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0" w:firstLine="420" w:firstLineChars="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线上报修</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1小时</w:t>
      </w:r>
      <w:r>
        <w:rPr>
          <w:rFonts w:hint="eastAsia" w:asciiTheme="minorEastAsia" w:hAnsiTheme="minorEastAsia" w:eastAsiaTheme="minorEastAsia" w:cstheme="minorEastAsia"/>
          <w:sz w:val="24"/>
          <w:szCs w:val="24"/>
          <w:lang w:eastAsia="zh-CN"/>
        </w:rPr>
        <w:t>内响应，当值</w:t>
      </w:r>
      <w:r>
        <w:rPr>
          <w:rFonts w:hint="eastAsia" w:asciiTheme="minorEastAsia" w:hAnsiTheme="minorEastAsia" w:eastAsiaTheme="minorEastAsia" w:cstheme="minorEastAsia"/>
          <w:sz w:val="24"/>
          <w:szCs w:val="24"/>
          <w:lang w:val="en-US" w:eastAsia="zh-CN"/>
        </w:rPr>
        <w:t>驻场</w:t>
      </w:r>
      <w:r>
        <w:rPr>
          <w:rFonts w:hint="eastAsia" w:asciiTheme="minorEastAsia" w:hAnsiTheme="minorEastAsia" w:eastAsiaTheme="minorEastAsia" w:cstheme="minorEastAsia"/>
          <w:sz w:val="24"/>
          <w:szCs w:val="24"/>
          <w:lang w:eastAsia="zh-CN"/>
        </w:rPr>
        <w:t>运维工程师无法排除故障时，</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小时内，</w:t>
      </w:r>
      <w:r>
        <w:rPr>
          <w:rFonts w:hint="eastAsia" w:asciiTheme="minorEastAsia" w:hAnsiTheme="minorEastAsia" w:eastAsiaTheme="minorEastAsia" w:cstheme="minorEastAsia"/>
          <w:sz w:val="24"/>
          <w:szCs w:val="24"/>
          <w:lang w:val="en-US" w:eastAsia="zh-CN"/>
        </w:rPr>
        <w:t>运维团队高级</w:t>
      </w:r>
      <w:r>
        <w:rPr>
          <w:rFonts w:hint="eastAsia" w:asciiTheme="minorEastAsia" w:hAnsiTheme="minorEastAsia" w:eastAsiaTheme="minorEastAsia" w:cstheme="minorEastAsia"/>
          <w:sz w:val="24"/>
          <w:szCs w:val="24"/>
          <w:lang w:eastAsia="zh-CN"/>
        </w:rPr>
        <w:t>工程师赶赴现场进行故障诊断及处理，在</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小时内排除较大故障，</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eastAsia="zh-CN"/>
        </w:rPr>
        <w:t>小时内排除重大故障，</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lang w:eastAsia="zh-CN"/>
        </w:rPr>
        <w:t>小时内排除特大故障。</w:t>
      </w:r>
    </w:p>
    <w:p w14:paraId="06AEB2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（4）服务交付物</w:t>
      </w:r>
    </w:p>
    <w:p w14:paraId="1A584F4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《校园网网上故障报修统计月报》、《网络维护及业务处理工单》。</w:t>
      </w:r>
    </w:p>
    <w:p w14:paraId="1AA4374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2、其他工作</w:t>
      </w:r>
    </w:p>
    <w:p w14:paraId="161B5DC2">
      <w:pPr>
        <w:keepNext w:val="0"/>
        <w:keepLines w:val="0"/>
        <w:pageBreakBefore w:val="0"/>
        <w:widowControl/>
        <w:kinsoku w:val="0"/>
        <w:wordWrap/>
        <w:overflowPunct/>
        <w:topLinePunct w:val="0"/>
        <w:autoSpaceDE w:val="0"/>
        <w:autoSpaceDN w:val="0"/>
        <w:bidi w:val="0"/>
        <w:adjustRightInd w:val="0"/>
        <w:snapToGrid w:val="0"/>
        <w:spacing w:line="360" w:lineRule="auto"/>
        <w:ind w:firstLine="897" w:firstLineChars="374"/>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高效完成</w:t>
      </w:r>
      <w:r>
        <w:rPr>
          <w:rFonts w:hint="eastAsia" w:asciiTheme="minorEastAsia" w:hAnsiTheme="minorEastAsia" w:eastAsiaTheme="minorEastAsia" w:cstheme="minorEastAsia"/>
          <w:sz w:val="24"/>
          <w:szCs w:val="24"/>
          <w:lang w:val="en-US" w:eastAsia="zh-CN"/>
        </w:rPr>
        <w:t>管理</w:t>
      </w:r>
      <w:r>
        <w:rPr>
          <w:rFonts w:hint="eastAsia" w:asciiTheme="minorEastAsia" w:hAnsiTheme="minorEastAsia" w:eastAsiaTheme="minorEastAsia" w:cstheme="minorEastAsia"/>
          <w:sz w:val="24"/>
          <w:szCs w:val="24"/>
          <w:lang w:eastAsia="zh-CN"/>
        </w:rPr>
        <w:t>部门安排的工作任务。</w:t>
      </w:r>
    </w:p>
    <w:p w14:paraId="07D7F21B">
      <w:pPr>
        <w:spacing w:line="360" w:lineRule="auto"/>
        <w:ind w:firstLine="562" w:firstLineChars="200"/>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eastAsia="zh-CN"/>
        </w:rPr>
        <w:t>三、商务要求</w:t>
      </w:r>
    </w:p>
    <w:p w14:paraId="4CF34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（一）项目人员配置要求</w:t>
      </w:r>
    </w:p>
    <w:p w14:paraId="66DDD80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b w:val="0"/>
          <w:bCs w:val="0"/>
          <w:sz w:val="24"/>
          <w:szCs w:val="24"/>
          <w:lang w:eastAsia="zh-CN"/>
        </w:rPr>
        <w:t>人员要求</w:t>
      </w:r>
    </w:p>
    <w:p w14:paraId="48F3740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（1）服务供应商</w:t>
      </w:r>
      <w:r>
        <w:rPr>
          <w:rFonts w:hint="eastAsia" w:asciiTheme="minorEastAsia" w:hAnsiTheme="minorEastAsia" w:eastAsiaTheme="minorEastAsia" w:cstheme="minorEastAsia"/>
          <w:sz w:val="24"/>
          <w:szCs w:val="24"/>
          <w:lang w:val="en-US" w:eastAsia="zh-CN"/>
        </w:rPr>
        <w:t>需组建</w:t>
      </w:r>
      <w:r>
        <w:rPr>
          <w:rFonts w:hint="eastAsia" w:asciiTheme="minorEastAsia" w:hAnsiTheme="minorEastAsia" w:eastAsiaTheme="minorEastAsia" w:cstheme="minorEastAsia"/>
          <w:sz w:val="24"/>
          <w:szCs w:val="24"/>
          <w:lang w:eastAsia="zh-CN"/>
        </w:rPr>
        <w:t>不低于</w:t>
      </w:r>
      <w:r>
        <w:rPr>
          <w:rFonts w:hint="eastAsia" w:asciiTheme="minorEastAsia" w:hAnsiTheme="minorEastAsia" w:eastAsiaTheme="minorEastAsia" w:cstheme="minorEastAsia"/>
          <w:b/>
          <w:bCs/>
          <w:sz w:val="24"/>
          <w:szCs w:val="24"/>
          <w:u w:val="single"/>
          <w:lang w:val="en-US" w:eastAsia="zh-CN"/>
        </w:rPr>
        <w:t xml:space="preserve"> 6 </w:t>
      </w:r>
      <w:r>
        <w:rPr>
          <w:rFonts w:hint="eastAsia" w:asciiTheme="minorEastAsia" w:hAnsiTheme="minorEastAsia" w:eastAsiaTheme="minorEastAsia" w:cstheme="minorEastAsia"/>
          <w:sz w:val="24"/>
          <w:szCs w:val="24"/>
          <w:u w:val="none"/>
          <w:lang w:val="en-US" w:eastAsia="zh-CN"/>
        </w:rPr>
        <w:t>人</w:t>
      </w:r>
      <w:r>
        <w:rPr>
          <w:rFonts w:hint="eastAsia" w:asciiTheme="minorEastAsia" w:hAnsiTheme="minorEastAsia" w:eastAsiaTheme="minorEastAsia" w:cstheme="minorEastAsia"/>
          <w:sz w:val="24"/>
          <w:szCs w:val="24"/>
          <w:lang w:val="en-US" w:eastAsia="zh-CN"/>
        </w:rPr>
        <w:t>的技术服务</w:t>
      </w:r>
      <w:r>
        <w:rPr>
          <w:rFonts w:hint="eastAsia" w:asciiTheme="minorEastAsia" w:hAnsiTheme="minorEastAsia" w:eastAsiaTheme="minorEastAsia" w:cstheme="minorEastAsia"/>
          <w:sz w:val="24"/>
          <w:szCs w:val="24"/>
          <w:lang w:eastAsia="zh-CN"/>
        </w:rPr>
        <w:t>团队。</w:t>
      </w:r>
      <w:r>
        <w:rPr>
          <w:rFonts w:hint="eastAsia" w:asciiTheme="minorEastAsia" w:hAnsiTheme="minorEastAsia" w:eastAsiaTheme="minorEastAsia" w:cstheme="minorEastAsia"/>
          <w:sz w:val="24"/>
          <w:szCs w:val="24"/>
          <w:lang w:val="en-US" w:eastAsia="zh-CN"/>
        </w:rPr>
        <w:t>其中</w:t>
      </w:r>
      <w:r>
        <w:rPr>
          <w:rFonts w:hint="eastAsia" w:asciiTheme="minorEastAsia" w:hAnsiTheme="minorEastAsia" w:eastAsiaTheme="minorEastAsia" w:cstheme="minorEastAsia"/>
          <w:sz w:val="24"/>
          <w:szCs w:val="24"/>
          <w:lang w:eastAsia="zh-CN"/>
        </w:rPr>
        <w:t>至少</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z w:val="24"/>
          <w:szCs w:val="24"/>
          <w:u w:val="single"/>
          <w:lang w:val="en-US" w:eastAsia="zh-CN"/>
        </w:rPr>
        <w:t xml:space="preserve">3 </w:t>
      </w:r>
      <w:r>
        <w:rPr>
          <w:rFonts w:hint="eastAsia" w:asciiTheme="minorEastAsia" w:hAnsiTheme="minorEastAsia" w:eastAsiaTheme="minorEastAsia" w:cstheme="minorEastAsia"/>
          <w:sz w:val="24"/>
          <w:szCs w:val="24"/>
          <w:lang w:val="en-US" w:eastAsia="zh-CN"/>
        </w:rPr>
        <w:t>名技术工程师工作日</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z w:val="24"/>
          <w:szCs w:val="24"/>
          <w:u w:val="single"/>
          <w:lang w:eastAsia="zh-CN"/>
        </w:rPr>
        <w:t xml:space="preserve">7×10 </w:t>
      </w:r>
      <w:r>
        <w:rPr>
          <w:rFonts w:hint="eastAsia" w:asciiTheme="minorEastAsia" w:hAnsiTheme="minorEastAsia" w:eastAsiaTheme="minorEastAsia" w:cstheme="minorEastAsia"/>
          <w:sz w:val="24"/>
          <w:szCs w:val="24"/>
          <w:lang w:eastAsia="zh-CN"/>
        </w:rPr>
        <w:t>小时驻守武汉软件工程职业学院，</w:t>
      </w:r>
      <w:r>
        <w:rPr>
          <w:rFonts w:hint="eastAsia" w:asciiTheme="minorEastAsia" w:hAnsiTheme="minorEastAsia" w:eastAsiaTheme="minorEastAsia" w:cstheme="minorEastAsia"/>
          <w:sz w:val="24"/>
          <w:szCs w:val="24"/>
          <w:lang w:val="en-US" w:eastAsia="zh-CN"/>
        </w:rPr>
        <w:t>提供现场技术支持服务；学校</w:t>
      </w:r>
      <w:r>
        <w:rPr>
          <w:rFonts w:hint="eastAsia" w:asciiTheme="minorEastAsia" w:hAnsiTheme="minorEastAsia" w:eastAsiaTheme="minorEastAsia" w:cstheme="minorEastAsia"/>
          <w:sz w:val="24"/>
          <w:szCs w:val="24"/>
          <w:lang w:eastAsia="zh-CN"/>
        </w:rPr>
        <w:t>大型活动、会议、考试</w:t>
      </w:r>
      <w:r>
        <w:rPr>
          <w:rFonts w:hint="eastAsia" w:asciiTheme="minorEastAsia" w:hAnsiTheme="minorEastAsia" w:eastAsiaTheme="minorEastAsia" w:cstheme="minorEastAsia"/>
          <w:sz w:val="24"/>
          <w:szCs w:val="24"/>
          <w:lang w:val="en-US" w:eastAsia="zh-CN"/>
        </w:rPr>
        <w:t>期间需</w:t>
      </w:r>
      <w:r>
        <w:rPr>
          <w:rFonts w:hint="eastAsia" w:asciiTheme="minorEastAsia" w:hAnsiTheme="minorEastAsia" w:eastAsiaTheme="minorEastAsia" w:cstheme="minorEastAsia"/>
          <w:sz w:val="24"/>
          <w:szCs w:val="24"/>
          <w:lang w:eastAsia="zh-CN"/>
        </w:rPr>
        <w:t>配备足够的人员进行全面</w:t>
      </w:r>
      <w:r>
        <w:rPr>
          <w:rFonts w:hint="eastAsia" w:asciiTheme="minorEastAsia" w:hAnsiTheme="minorEastAsia" w:eastAsiaTheme="minorEastAsia" w:cstheme="minorEastAsia"/>
          <w:sz w:val="24"/>
          <w:szCs w:val="24"/>
          <w:lang w:val="en-US" w:eastAsia="zh-CN"/>
        </w:rPr>
        <w:t>现场</w:t>
      </w:r>
      <w:r>
        <w:rPr>
          <w:rFonts w:hint="eastAsia" w:asciiTheme="minorEastAsia" w:hAnsiTheme="minorEastAsia" w:eastAsiaTheme="minorEastAsia" w:cstheme="minorEastAsia"/>
          <w:sz w:val="24"/>
          <w:szCs w:val="24"/>
          <w:lang w:eastAsia="zh-CN"/>
        </w:rPr>
        <w:t>网络保障。</w:t>
      </w:r>
    </w:p>
    <w:p w14:paraId="7002268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2、工作地点</w:t>
      </w:r>
    </w:p>
    <w:p w14:paraId="71E1785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信息化中心安排工作场地。</w:t>
      </w:r>
    </w:p>
    <w:p w14:paraId="2E11E0B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3、工作时间</w:t>
      </w:r>
    </w:p>
    <w:p w14:paraId="123581B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（1）学校正常工作日：</w:t>
      </w:r>
      <w:r>
        <w:rPr>
          <w:rFonts w:hint="eastAsia" w:asciiTheme="minorEastAsia" w:hAnsiTheme="minorEastAsia" w:eastAsiaTheme="minorEastAsia" w:cstheme="minorEastAsia"/>
          <w:b w:val="0"/>
          <w:bCs w:val="0"/>
          <w:sz w:val="24"/>
          <w:szCs w:val="24"/>
          <w:lang w:eastAsia="zh-CN"/>
        </w:rPr>
        <w:t>8:</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lang w:eastAsia="zh-CN"/>
        </w:rPr>
        <w:t>0-12:30；13:30-19:</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lang w:eastAsia="zh-CN"/>
        </w:rPr>
        <w:t>0</w:t>
      </w:r>
      <w:r>
        <w:rPr>
          <w:rFonts w:hint="eastAsia" w:asciiTheme="minorEastAsia" w:hAnsiTheme="minorEastAsia" w:eastAsiaTheme="minorEastAsia" w:cstheme="minorEastAsia"/>
          <w:sz w:val="24"/>
          <w:szCs w:val="24"/>
          <w:lang w:eastAsia="zh-CN"/>
        </w:rPr>
        <w:t>；</w:t>
      </w:r>
    </w:p>
    <w:p w14:paraId="1A22857F">
      <w:pPr>
        <w:keepNext w:val="0"/>
        <w:keepLines w:val="0"/>
        <w:pageBreakBefore w:val="0"/>
        <w:widowControl/>
        <w:kinsoku w:val="0"/>
        <w:wordWrap/>
        <w:overflowPunct/>
        <w:topLinePunct w:val="0"/>
        <w:autoSpaceDE w:val="0"/>
        <w:autoSpaceDN w:val="0"/>
        <w:bidi w:val="0"/>
        <w:adjustRightInd w:val="0"/>
        <w:snapToGrid w:val="0"/>
        <w:spacing w:line="360" w:lineRule="auto"/>
        <w:ind w:firstLine="1080" w:firstLineChars="45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寒暑假、节假日：9:00-12:00；13:30-17:30。</w:t>
      </w:r>
    </w:p>
    <w:p w14:paraId="18D3DC7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（2）有特殊情况发生时，接受信息化中心的调度。</w:t>
      </w:r>
    </w:p>
    <w:p w14:paraId="69AF62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4、运维结果依据</w:t>
      </w:r>
    </w:p>
    <w:p w14:paraId="0866C53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（1）网络报修系统提供的数据，结合维修单内容；</w:t>
      </w:r>
    </w:p>
    <w:p w14:paraId="700374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（2）驻场技术工程师工作日志，考勤记录；</w:t>
      </w:r>
    </w:p>
    <w:p w14:paraId="0872BB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（3）校方以其它方式通知的相关维护内容。</w:t>
      </w:r>
    </w:p>
    <w:p w14:paraId="7B6883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5、驻场服务要求</w:t>
      </w:r>
    </w:p>
    <w:p w14:paraId="165B80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（1）驻场技术工程师在驻场期间应严格遵守考勤管理规定，按时上下班、不迟到、不早退；</w:t>
      </w:r>
    </w:p>
    <w:p w14:paraId="782F3F7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（2）驻场技术工程师在工作中应使用普通话，在与各类用户沟通时应耐心细致，谈话中不得夹带口头语，切忌言语粗鲁；</w:t>
      </w:r>
    </w:p>
    <w:p w14:paraId="6FD9D6B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（3）驻场技术工程师在驻场期间不能长时间离开工作岗位，因工作原因需出外勤时，应提前将去向报告给坐席专员；</w:t>
      </w:r>
    </w:p>
    <w:p w14:paraId="7BF828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（4）驻场技术工程师在驻场期间禁止出现玩游戏、看视频、听音乐等与工作无关行为。</w:t>
      </w:r>
    </w:p>
    <w:p w14:paraId="7EA431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6、驻场服务质量考核要求</w:t>
      </w:r>
    </w:p>
    <w:p w14:paraId="54A4C9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为提升服务质量，保障服务持续稳定，结合主要服务内容及岗位职责，对服务供应商及 驻场技术工程师进行考核。校方有权对驻场技术工程师进行筛选，定期考核服务质量指标是否满足校方要求。</w:t>
      </w:r>
    </w:p>
    <w:p w14:paraId="5F4D66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驻场技术工程师质量：从人员的稳定性、工作情况、技术能力、出勤等四方面考核。服务供应商提供稳定的驻场技术工程师在校方指定的地点工作，驻场技术工程师严格按照校方的工作要求，按规定时间反馈工作进展，提交服务成果。校方以出勤和工作完成情况检查驻场技术工程师是否达到校方约定要求。</w:t>
      </w:r>
    </w:p>
    <w:p w14:paraId="5E0FB1D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（2）驻场服务评分：每季度校方根据驻场技术工程师的工作态度及工作情况进行评分（校方有权根据实际情况调整评分规则）。</w:t>
      </w:r>
    </w:p>
    <w:p w14:paraId="1F8C573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（3）驻场技术工程师更换管理：服务供应商不得无故更换驻场技术工程师（不可控因素除外），服务供应商在未获得校方许可的情况下更换服务工程师，当季的考核评分在得分基础上做相应的扣除。</w:t>
      </w:r>
    </w:p>
    <w:p w14:paraId="3B71F4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（4）驻场服务考核管理：季度评分低于60分，校方有权要求服务供应商更换驻场技术工程师；季度评分出现两次低于50分，校方有权更换服务供应商。</w:t>
      </w:r>
    </w:p>
    <w:p w14:paraId="655EE8C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7、驻场技术工程师管理</w:t>
      </w:r>
    </w:p>
    <w:p w14:paraId="07AD37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校方对驻场技术工程师进行统一管理，各驻场技术工程师须按照校方要求进行考勤。</w:t>
      </w:r>
    </w:p>
    <w:p w14:paraId="3270D4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（1）人员考勤管理范围：所有驻场技术工程师。</w:t>
      </w:r>
    </w:p>
    <w:p w14:paraId="5F510D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（2）服务时间：工作日 8:</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0-12:30，13:30-19:</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0。 (12:30-13:30 需要接听电话并做好记录)；寒暑假、节假日及周末时间 9:00-12:00，13:30-17:30；特殊时期配合校方人员共同值守。</w:t>
      </w:r>
    </w:p>
    <w:p w14:paraId="62A2E5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（3）考勤要求：驻场技术工程师在规定的上班时间内晚到按迟到记录；在规定的上班时间内提前离开按早退记录；无故缺勤按旷工记录；驻场技术工程师外勤、请假、调休需提前向管理人员告知或申请。</w:t>
      </w:r>
    </w:p>
    <w:p w14:paraId="19CA07B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8、办公室管理</w:t>
      </w:r>
    </w:p>
    <w:p w14:paraId="17059D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校方为驻场技术工程师提供驻场办公场所，驻场技术工程师需严格按照办公室管理制度要求执行。</w:t>
      </w:r>
    </w:p>
    <w:p w14:paraId="207FAA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（1）用电管理：办公室内的空调、照明、计算机、打印机等用电设备做到下班或长时间离开后断电，严禁私自使用大功率电器。</w:t>
      </w:r>
    </w:p>
    <w:p w14:paraId="6F1B517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（2）办公设备管理：驻场技术工程师须爱护办公设备，在日常使用中保持规范操作， 禁止私自拆装，不得随意更换，尽量减少办公位置变动。</w:t>
      </w:r>
    </w:p>
    <w:p w14:paraId="0E8867C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数据资料保密管理：工作数据严禁对外传播，严禁私自使用U盘、移动硬盘等移动介质拷贝数据。工作中产生的纸质材料应分类妥善存放，废弃纸张可选择使用文件粉碎机粉碎，不得随意丢弃或夹带离开办公室。</w:t>
      </w:r>
    </w:p>
    <w:p w14:paraId="54CE659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（4）办公环境支持：为便于工作开展，服务供应商需自行配置必要的办公设备，办公设备产权归属于服务供应商所有。</w:t>
      </w:r>
    </w:p>
    <w:p w14:paraId="38204E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9、其他要求</w:t>
      </w:r>
    </w:p>
    <w:p w14:paraId="06311A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（1）驻场技术工程师需持证上岗，规范文明服务。</w:t>
      </w:r>
    </w:p>
    <w:p w14:paraId="5FAED00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（2）服务供应商需为驻场技术工程师配备必要的交通工具，做到及时、保质保量完成维修任务。</w:t>
      </w:r>
    </w:p>
    <w:p w14:paraId="18A3BAB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（3）运维时效：从报修（含网上报修、电话报修、口头通知）的时间为起点计算，一般故障</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小时内、较大故障</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小时内排除（如不能解决，请及时与信息化中心联系，申请信息化</w:t>
      </w:r>
      <w:r>
        <w:rPr>
          <w:rFonts w:hint="eastAsia" w:asciiTheme="minorEastAsia" w:hAnsiTheme="minorEastAsia" w:eastAsiaTheme="minorEastAsia" w:cstheme="minorEastAsia"/>
          <w:sz w:val="24"/>
          <w:szCs w:val="24"/>
          <w:lang w:val="en-US" w:eastAsia="zh-CN"/>
        </w:rPr>
        <w:t>中心</w:t>
      </w:r>
      <w:r>
        <w:rPr>
          <w:rFonts w:hint="eastAsia" w:asciiTheme="minorEastAsia" w:hAnsiTheme="minorEastAsia" w:eastAsiaTheme="minorEastAsia" w:cstheme="minorEastAsia"/>
          <w:sz w:val="24"/>
          <w:szCs w:val="24"/>
          <w:lang w:eastAsia="zh-CN"/>
        </w:rPr>
        <w:t>调配老师参与），维修完成后需经用户签字确认；</w:t>
      </w:r>
    </w:p>
    <w:p w14:paraId="346A7FE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（4）驻场技术工程师应加强技术学习，不断提高维护水平；</w:t>
      </w:r>
    </w:p>
    <w:p w14:paraId="2599F6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（5）驻场技术工程师手机需24小时开机，方便信息化中心与之联系。</w:t>
      </w:r>
    </w:p>
    <w:p w14:paraId="014360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（6）本项目不单纯是设备维护，还涉及到各系统的运行及优化服务。</w:t>
      </w:r>
    </w:p>
    <w:p w14:paraId="339695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（7）配合信息化中心完成其他</w:t>
      </w:r>
      <w:r>
        <w:rPr>
          <w:rFonts w:hint="eastAsia" w:asciiTheme="minorEastAsia" w:hAnsiTheme="minorEastAsia" w:eastAsiaTheme="minorEastAsia" w:cstheme="minorEastAsia"/>
          <w:sz w:val="24"/>
          <w:szCs w:val="24"/>
          <w:lang w:val="en-US" w:eastAsia="zh-CN"/>
        </w:rPr>
        <w:t>信息化</w:t>
      </w:r>
      <w:r>
        <w:rPr>
          <w:rFonts w:hint="eastAsia" w:asciiTheme="minorEastAsia" w:hAnsiTheme="minorEastAsia" w:eastAsiaTheme="minorEastAsia" w:cstheme="minorEastAsia"/>
          <w:sz w:val="24"/>
          <w:szCs w:val="24"/>
          <w:lang w:eastAsia="zh-CN"/>
        </w:rPr>
        <w:t>相关服务。</w:t>
      </w:r>
    </w:p>
    <w:p w14:paraId="68E44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（二）整理编制运维报告</w:t>
      </w:r>
    </w:p>
    <w:p w14:paraId="466FE42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整理编制运维报告，按时收集整理当月的运维信息，打印编制运维报告，并及时上交信息化中心。</w:t>
      </w:r>
    </w:p>
    <w:p w14:paraId="4E48B960">
      <w:pPr>
        <w:keepNext w:val="0"/>
        <w:keepLines w:val="0"/>
        <w:pageBreakBefore w:val="0"/>
        <w:widowControl/>
        <w:kinsoku w:val="0"/>
        <w:wordWrap/>
        <w:overflowPunct/>
        <w:topLinePunct w:val="0"/>
        <w:autoSpaceDE w:val="0"/>
        <w:autoSpaceDN w:val="0"/>
        <w:bidi w:val="0"/>
        <w:adjustRightInd w:val="0"/>
        <w:snapToGrid w:val="0"/>
        <w:spacing w:line="360" w:lineRule="auto"/>
        <w:ind w:firstLine="562" w:firstLineChars="200"/>
        <w:textAlignment w:val="baseline"/>
        <w:rPr>
          <w:rFonts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val="en-US" w:eastAsia="zh-CN"/>
        </w:rPr>
        <w:t>四、</w:t>
      </w:r>
      <w:r>
        <w:rPr>
          <w:rFonts w:hint="eastAsia" w:asciiTheme="minorEastAsia" w:hAnsiTheme="minorEastAsia" w:eastAsiaTheme="minorEastAsia" w:cstheme="minorEastAsia"/>
          <w:b/>
          <w:bCs/>
          <w:sz w:val="28"/>
          <w:szCs w:val="28"/>
          <w:lang w:eastAsia="zh-CN"/>
        </w:rPr>
        <w:t>项目预算</w:t>
      </w:r>
    </w:p>
    <w:p w14:paraId="3544CF9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lang w:eastAsia="zh-CN"/>
        </w:rPr>
        <w:t>结合项目人力需求、项目</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lang w:eastAsia="zh-CN"/>
        </w:rPr>
        <w:t>专业难度，</w:t>
      </w:r>
      <w:r>
        <w:rPr>
          <w:rFonts w:hint="eastAsia" w:asciiTheme="minorEastAsia" w:hAnsiTheme="minorEastAsia" w:eastAsiaTheme="minorEastAsia" w:cstheme="minorEastAsia"/>
          <w:sz w:val="24"/>
          <w:szCs w:val="24"/>
          <w:lang w:val="en-US" w:eastAsia="zh-CN"/>
        </w:rPr>
        <w:t>本</w:t>
      </w:r>
      <w:r>
        <w:rPr>
          <w:rFonts w:hint="eastAsia" w:asciiTheme="minorEastAsia" w:hAnsiTheme="minorEastAsia" w:eastAsiaTheme="minorEastAsia" w:cstheme="minorEastAsia"/>
          <w:sz w:val="24"/>
          <w:szCs w:val="24"/>
          <w:lang w:eastAsia="zh-CN"/>
        </w:rPr>
        <w:t>项目预算为人民币：</w:t>
      </w:r>
      <w:r>
        <w:rPr>
          <w:rFonts w:hint="eastAsia" w:asciiTheme="minorEastAsia" w:hAnsiTheme="minorEastAsia" w:eastAsiaTheme="minorEastAsia" w:cstheme="minorEastAsia"/>
          <w:b/>
          <w:bCs/>
          <w:sz w:val="24"/>
          <w:szCs w:val="24"/>
          <w:lang w:val="en-US" w:eastAsia="zh-CN"/>
        </w:rPr>
        <w:t>伍拾伍万元整</w:t>
      </w:r>
    </w:p>
    <w:p w14:paraId="6586C00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ascii="宋体" w:hAnsi="宋体" w:eastAsia="宋体" w:cs="宋体"/>
          <w:b/>
          <w:bCs/>
          <w:spacing w:val="6"/>
          <w:lang w:eastAsia="zh-CN"/>
        </w:rPr>
      </w:pPr>
      <w:r>
        <w:rPr>
          <w:rFonts w:hint="eastAsia" w:asciiTheme="minorEastAsia" w:hAnsiTheme="minorEastAsia" w:eastAsiaTheme="minorEastAsia" w:cstheme="minorEastAsia"/>
          <w:b/>
          <w:bCs/>
          <w:sz w:val="24"/>
          <w:szCs w:val="24"/>
          <w:lang w:val="en-US" w:eastAsia="zh-CN"/>
        </w:rPr>
        <w:t>（¥550,000.00）</w:t>
      </w:r>
    </w:p>
    <w:p w14:paraId="7C20A621">
      <w:pPr>
        <w:pStyle w:val="2"/>
        <w:rPr>
          <w:rFonts w:hint="eastAsia"/>
          <w:lang w:eastAsia="zh-CN"/>
        </w:rPr>
      </w:pPr>
    </w:p>
    <w:p w14:paraId="009DE4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sz w:val="24"/>
          <w:szCs w:val="24"/>
          <w:lang w:eastAsia="zh-CN"/>
        </w:rPr>
      </w:pPr>
    </w:p>
    <w:p w14:paraId="1B87BBAD">
      <w:pPr>
        <w:pStyle w:val="2"/>
        <w:rPr>
          <w:rFonts w:hint="eastAsia" w:asciiTheme="minorEastAsia" w:hAnsiTheme="minorEastAsia" w:eastAsiaTheme="minorEastAsia" w:cstheme="minorEastAsia"/>
          <w:sz w:val="24"/>
          <w:szCs w:val="24"/>
          <w:lang w:eastAsia="zh-CN"/>
        </w:rPr>
      </w:pPr>
    </w:p>
    <w:p w14:paraId="61B1513B">
      <w:pPr>
        <w:pStyle w:val="3"/>
        <w:rPr>
          <w:rFonts w:hint="eastAsia" w:asciiTheme="minorEastAsia" w:hAnsiTheme="minorEastAsia" w:eastAsiaTheme="minorEastAsia" w:cstheme="minorEastAsia"/>
          <w:sz w:val="24"/>
          <w:szCs w:val="24"/>
          <w:lang w:eastAsia="zh-CN"/>
        </w:rPr>
      </w:pPr>
    </w:p>
    <w:p w14:paraId="081831A5">
      <w:pPr>
        <w:rPr>
          <w:rFonts w:hint="eastAsia" w:asciiTheme="minorEastAsia" w:hAnsiTheme="minorEastAsia" w:eastAsiaTheme="minorEastAsia" w:cstheme="minorEastAsia"/>
          <w:sz w:val="24"/>
          <w:szCs w:val="24"/>
          <w:lang w:eastAsia="zh-CN"/>
        </w:rPr>
      </w:pPr>
    </w:p>
    <w:p w14:paraId="22028D5D">
      <w:pPr>
        <w:pStyle w:val="2"/>
        <w:rPr>
          <w:rFonts w:hint="eastAsia" w:asciiTheme="minorEastAsia" w:hAnsiTheme="minorEastAsia" w:eastAsiaTheme="minorEastAsia" w:cstheme="minorEastAsia"/>
          <w:sz w:val="24"/>
          <w:szCs w:val="24"/>
          <w:lang w:eastAsia="zh-CN"/>
        </w:rPr>
      </w:pPr>
    </w:p>
    <w:p w14:paraId="4A51A694">
      <w:pPr>
        <w:pStyle w:val="3"/>
        <w:rPr>
          <w:rFonts w:hint="eastAsia" w:asciiTheme="minorEastAsia" w:hAnsiTheme="minorEastAsia" w:eastAsiaTheme="minorEastAsia" w:cstheme="minorEastAsia"/>
          <w:sz w:val="24"/>
          <w:szCs w:val="24"/>
          <w:lang w:eastAsia="zh-CN"/>
        </w:rPr>
      </w:pPr>
    </w:p>
    <w:p w14:paraId="6857A30A">
      <w:pPr>
        <w:rPr>
          <w:rFonts w:hint="eastAsia" w:asciiTheme="minorEastAsia" w:hAnsiTheme="minorEastAsia" w:eastAsiaTheme="minorEastAsia" w:cstheme="minorEastAsia"/>
          <w:sz w:val="24"/>
          <w:szCs w:val="24"/>
          <w:lang w:eastAsia="zh-CN"/>
        </w:rPr>
      </w:pPr>
    </w:p>
    <w:p w14:paraId="318AE563">
      <w:pPr>
        <w:pStyle w:val="2"/>
        <w:rPr>
          <w:rFonts w:hint="eastAsia"/>
          <w:lang w:eastAsia="zh-CN"/>
        </w:rPr>
      </w:pPr>
    </w:p>
    <w:p w14:paraId="767814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21718BA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6F7A09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2EBFC9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013D75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4ABED4C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750C21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057EDB4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3C9A92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088450C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4604F0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p>
    <w:p w14:paraId="1CF84A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lang w:val="en-US" w:eastAsia="zh-CN"/>
        </w:rPr>
      </w:pPr>
    </w:p>
    <w:sectPr>
      <w:footerReference r:id="rId3" w:type="default"/>
      <w:pgSz w:w="11906" w:h="16839"/>
      <w:pgMar w:top="1431" w:right="1332" w:bottom="856" w:left="1332" w:header="0" w:footer="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62048">
    <w:pPr>
      <w:pStyle w:val="2"/>
      <w:spacing w:line="14" w:lineRule="auto"/>
      <w:rPr>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0C387"/>
    <w:multiLevelType w:val="multilevel"/>
    <w:tmpl w:val="81E0C387"/>
    <w:lvl w:ilvl="0" w:tentative="0">
      <w:start w:val="1"/>
      <w:numFmt w:val="decimal"/>
      <w:pStyle w:val="8"/>
      <w:suff w:val="nothing"/>
      <w:lvlText w:val="%1 "/>
      <w:lvlJc w:val="left"/>
      <w:pPr>
        <w:tabs>
          <w:tab w:val="left" w:pos="0"/>
        </w:tabs>
        <w:ind w:left="0" w:firstLine="0"/>
      </w:pPr>
      <w:rPr>
        <w:rFonts w:hint="default" w:ascii="Book Antiqua" w:hAnsi="Book Antiqua" w:eastAsia="黑体" w:cs="Book Antiqua"/>
        <w:b/>
        <w:bCs/>
        <w:i w:val="0"/>
        <w:iCs w:val="0"/>
        <w:caps w:val="0"/>
        <w:strike w:val="0"/>
        <w:dstrike w:val="0"/>
        <w:vanish w:val="0"/>
        <w:color w:val="000000"/>
        <w:sz w:val="28"/>
        <w:szCs w:val="28"/>
        <w:vertAlign w:val="baseline"/>
      </w:rPr>
    </w:lvl>
    <w:lvl w:ilvl="1" w:tentative="0">
      <w:start w:val="1"/>
      <w:numFmt w:val="decimal"/>
      <w:suff w:val="nothing"/>
      <w:lvlText w:val="%1.%2 "/>
      <w:lvlJc w:val="left"/>
      <w:pPr>
        <w:ind w:left="141" w:firstLine="0"/>
      </w:pPr>
      <w:rPr>
        <w:rFonts w:ascii="Times New Roman" w:hAnsi="Times New Roman" w:cs="Arial"/>
        <w:b w:val="0"/>
        <w:bCs w:val="0"/>
        <w:i w:val="0"/>
        <w:iCs w:val="0"/>
        <w:caps w:val="0"/>
        <w:smallCaps w:val="0"/>
        <w:strike w:val="0"/>
        <w:dstrike w:val="0"/>
        <w:snapToGrid w:val="0"/>
        <w:vanish w:val="0"/>
        <w:color w:val="000000"/>
        <w:spacing w:val="0"/>
        <w:w w:val="0"/>
        <w:kern w:val="0"/>
        <w:position w:val="0"/>
        <w:szCs w:val="0"/>
        <w:u w:val="none"/>
        <w:vertAlign w:val="baseline"/>
      </w:rPr>
    </w:lvl>
    <w:lvl w:ilvl="2" w:tentative="0">
      <w:start w:val="1"/>
      <w:numFmt w:val="decimal"/>
      <w:suff w:val="nothing"/>
      <w:lvlText w:val="%1.%2.%3 "/>
      <w:lvlJc w:val="left"/>
      <w:pPr>
        <w:ind w:left="1134" w:firstLine="0"/>
      </w:pPr>
      <w:rPr>
        <w:rFonts w:ascii="Times New Roman" w:hAnsi="Times New Roman" w:cs="Arial"/>
        <w:b w:val="0"/>
        <w:bCs w:val="0"/>
        <w:i w:val="0"/>
        <w:iCs w:val="0"/>
        <w:caps w:val="0"/>
        <w:smallCaps w:val="0"/>
        <w:strike w:val="0"/>
        <w:dstrike w:val="0"/>
        <w:snapToGrid w:val="0"/>
        <w:vanish w:val="0"/>
        <w:color w:val="000000"/>
        <w:spacing w:val="0"/>
        <w:w w:val="0"/>
        <w:kern w:val="0"/>
        <w:position w:val="0"/>
        <w:szCs w:val="0"/>
        <w:u w:val="none"/>
        <w:vertAlign w:val="baseline"/>
      </w:rPr>
    </w:lvl>
    <w:lvl w:ilvl="3" w:tentative="0">
      <w:start w:val="1"/>
      <w:numFmt w:val="none"/>
      <w:lvlRestart w:val="0"/>
      <w:suff w:val="nothing"/>
      <w:lvlText w:val=""/>
      <w:lvlJc w:val="left"/>
      <w:pPr>
        <w:ind w:left="3827" w:firstLine="0"/>
      </w:pPr>
      <w:rPr>
        <w:rFonts w:hint="default" w:ascii="Arial" w:hAnsi="Arial" w:cs="Arial"/>
        <w:b/>
        <w:bCs/>
        <w:i w:val="0"/>
        <w:iCs w:val="0"/>
        <w:caps w:val="0"/>
        <w:strike w:val="0"/>
        <w:dstrike w:val="0"/>
        <w:vanish w:val="0"/>
        <w:color w:val="000000"/>
        <w:sz w:val="20"/>
        <w:szCs w:val="20"/>
        <w:vertAlign w:val="baseline"/>
      </w:rPr>
    </w:lvl>
    <w:lvl w:ilvl="4" w:tentative="0">
      <w:start w:val="1"/>
      <w:numFmt w:val="upperRoman"/>
      <w:suff w:val="nothing"/>
      <w:lvlText w:val="%5. "/>
      <w:lvlJc w:val="left"/>
      <w:pPr>
        <w:ind w:left="5529" w:hanging="227"/>
      </w:pPr>
      <w:rPr>
        <w:rFonts w:hint="default" w:ascii="Times New Roman" w:hAnsi="Times New Roman" w:eastAsia="黑体" w:cs="Arial"/>
        <w:b/>
        <w:bCs/>
        <w:i w:val="0"/>
        <w:iCs w:val="0"/>
        <w:sz w:val="24"/>
        <w:szCs w:val="24"/>
        <w:u w:val="none"/>
      </w:rPr>
    </w:lvl>
    <w:lvl w:ilvl="5" w:tentative="0">
      <w:start w:val="1"/>
      <w:numFmt w:val="bullet"/>
      <w:lvlText w:val=""/>
      <w:lvlJc w:val="left"/>
      <w:pPr>
        <w:tabs>
          <w:tab w:val="left" w:pos="5528"/>
        </w:tabs>
        <w:ind w:left="5528" w:hanging="159"/>
      </w:pPr>
      <w:rPr>
        <w:rFonts w:hint="default" w:ascii="Wingdings" w:hAnsi="Wingdings"/>
        <w:b w:val="0"/>
        <w:bCs/>
        <w:i w:val="0"/>
        <w:iCs w:val="0"/>
        <w:color w:val="auto"/>
        <w:sz w:val="21"/>
        <w:szCs w:val="21"/>
      </w:rPr>
    </w:lvl>
    <w:lvl w:ilvl="6" w:tentative="0">
      <w:start w:val="1"/>
      <w:numFmt w:val="lowerLetter"/>
      <w:lvlText w:val="%7."/>
      <w:lvlJc w:val="left"/>
      <w:pPr>
        <w:tabs>
          <w:tab w:val="left" w:pos="5953"/>
        </w:tabs>
        <w:ind w:left="5953" w:hanging="425"/>
      </w:pPr>
      <w:rPr>
        <w:rFonts w:hint="default" w:ascii="Times New Roman" w:hAnsi="Times New Roman" w:cs="Book Antiqua"/>
        <w:b w:val="0"/>
        <w:bCs/>
        <w:i w:val="0"/>
        <w:iCs w:val="0"/>
        <w:sz w:val="21"/>
        <w:szCs w:val="21"/>
        <w:u w:val="none"/>
      </w:rPr>
    </w:lvl>
    <w:lvl w:ilvl="7" w:tentative="0">
      <w:start w:val="1"/>
      <w:numFmt w:val="decimal"/>
      <w:lvlRestart w:val="1"/>
      <w:suff w:val="space"/>
      <w:lvlText w:val="图%1-%8"/>
      <w:lvlJc w:val="left"/>
      <w:pPr>
        <w:ind w:left="5670" w:firstLine="0"/>
      </w:pPr>
      <w:rPr>
        <w:rFonts w:ascii="Times New Roman" w:hAnsi="Times New Roman" w:cs="Arial"/>
        <w:b w:val="0"/>
        <w:bCs w:val="0"/>
        <w:i w:val="0"/>
        <w:iCs w:val="0"/>
        <w:caps w:val="0"/>
        <w:smallCaps w:val="0"/>
        <w:strike w:val="0"/>
        <w:dstrike w:val="0"/>
        <w:snapToGrid w:val="0"/>
        <w:vanish w:val="0"/>
        <w:color w:val="000000"/>
        <w:spacing w:val="0"/>
        <w:w w:val="0"/>
        <w:kern w:val="0"/>
        <w:position w:val="0"/>
        <w:szCs w:val="0"/>
        <w:u w:val="none"/>
        <w:vertAlign w:val="baseline"/>
      </w:rPr>
    </w:lvl>
    <w:lvl w:ilvl="8" w:tentative="0">
      <w:start w:val="1"/>
      <w:numFmt w:val="decimal"/>
      <w:lvlRestart w:val="1"/>
      <w:suff w:val="space"/>
      <w:lvlText w:val="表%1-%9"/>
      <w:lvlJc w:val="left"/>
      <w:pPr>
        <w:ind w:left="1559" w:firstLine="0"/>
      </w:pPr>
      <w:rPr>
        <w:rFonts w:hint="default" w:ascii="Times New Roman" w:hAnsi="Times New Roman" w:eastAsia="黑体"/>
        <w:b w:val="0"/>
        <w:bCs/>
        <w:i w:val="0"/>
        <w:iCs w:val="0"/>
        <w:color w:val="auto"/>
        <w:sz w:val="21"/>
        <w:szCs w:val="21"/>
        <w:lang w:val="en-US"/>
      </w:rPr>
    </w:lvl>
  </w:abstractNum>
  <w:abstractNum w:abstractNumId="1">
    <w:nsid w:val="99388EB2"/>
    <w:multiLevelType w:val="singleLevel"/>
    <w:tmpl w:val="99388EB2"/>
    <w:lvl w:ilvl="0" w:tentative="0">
      <w:start w:val="3"/>
      <w:numFmt w:val="decimal"/>
      <w:suff w:val="nothing"/>
      <w:lvlText w:val="（%1）"/>
      <w:lvlJc w:val="left"/>
    </w:lvl>
  </w:abstractNum>
  <w:abstractNum w:abstractNumId="2">
    <w:nsid w:val="A9CAA79B"/>
    <w:multiLevelType w:val="singleLevel"/>
    <w:tmpl w:val="A9CAA79B"/>
    <w:lvl w:ilvl="0" w:tentative="0">
      <w:start w:val="1"/>
      <w:numFmt w:val="chineseCounting"/>
      <w:suff w:val="nothing"/>
      <w:lvlText w:val="（%1）"/>
      <w:lvlJc w:val="left"/>
      <w:pPr>
        <w:ind w:left="0" w:firstLine="420"/>
      </w:pPr>
      <w:rPr>
        <w:rFonts w:hint="eastAsia"/>
      </w:rPr>
    </w:lvl>
  </w:abstractNum>
  <w:abstractNum w:abstractNumId="3">
    <w:nsid w:val="EE320C72"/>
    <w:multiLevelType w:val="singleLevel"/>
    <w:tmpl w:val="EE320C72"/>
    <w:lvl w:ilvl="0" w:tentative="0">
      <w:start w:val="1"/>
      <w:numFmt w:val="decimal"/>
      <w:lvlText w:val="%1)"/>
      <w:lvlJc w:val="left"/>
      <w:pPr>
        <w:ind w:left="425" w:hanging="425"/>
      </w:pPr>
      <w:rPr>
        <w:rFonts w:hint="default"/>
      </w:rPr>
    </w:lvl>
  </w:abstractNum>
  <w:abstractNum w:abstractNumId="4">
    <w:nsid w:val="29539515"/>
    <w:multiLevelType w:val="singleLevel"/>
    <w:tmpl w:val="29539515"/>
    <w:lvl w:ilvl="0" w:tentative="0">
      <w:start w:val="1"/>
      <w:numFmt w:val="decimal"/>
      <w:lvlText w:val="(%1)"/>
      <w:lvlJc w:val="left"/>
      <w:pPr>
        <w:tabs>
          <w:tab w:val="left" w:pos="840"/>
        </w:tabs>
        <w:ind w:left="1265" w:hanging="425"/>
      </w:pPr>
      <w:rPr>
        <w:rFonts w:hint="default"/>
      </w:rPr>
    </w:lvl>
  </w:abstractNum>
  <w:abstractNum w:abstractNumId="5">
    <w:nsid w:val="421D745F"/>
    <w:multiLevelType w:val="singleLevel"/>
    <w:tmpl w:val="421D745F"/>
    <w:lvl w:ilvl="0" w:tentative="0">
      <w:start w:val="1"/>
      <w:numFmt w:val="decimal"/>
      <w:suff w:val="nothing"/>
      <w:lvlText w:val="%1、"/>
      <w:lvlJc w:val="left"/>
    </w:lvl>
  </w:abstractNum>
  <w:abstractNum w:abstractNumId="6">
    <w:nsid w:val="4B8812D3"/>
    <w:multiLevelType w:val="singleLevel"/>
    <w:tmpl w:val="4B8812D3"/>
    <w:lvl w:ilvl="0" w:tentative="0">
      <w:start w:val="3"/>
      <w:numFmt w:val="decimal"/>
      <w:suff w:val="nothing"/>
      <w:lvlText w:val="%1、"/>
      <w:lvlJc w:val="left"/>
    </w:lvl>
  </w:abstractNum>
  <w:abstractNum w:abstractNumId="7">
    <w:nsid w:val="72FD6FE6"/>
    <w:multiLevelType w:val="multilevel"/>
    <w:tmpl w:val="72FD6FE6"/>
    <w:lvl w:ilvl="0" w:tentative="0">
      <w:start w:val="1"/>
      <w:numFmt w:val="chineseCounting"/>
      <w:lvlText w:val="%1."/>
      <w:lvlJc w:val="left"/>
      <w:pPr>
        <w:ind w:left="432" w:hanging="432"/>
      </w:pPr>
      <w:rPr>
        <w:rFonts w:hint="eastAsia" w:ascii="仿宋" w:hAnsi="仿宋" w:eastAsia="仿宋" w:cs="仿宋"/>
      </w:rPr>
    </w:lvl>
    <w:lvl w:ilvl="1" w:tentative="0">
      <w:start w:val="1"/>
      <w:numFmt w:val="decimal"/>
      <w:isLgl/>
      <w:lvlText w:val="%1.%2."/>
      <w:lvlJc w:val="left"/>
      <w:pPr>
        <w:ind w:left="575" w:hanging="575"/>
      </w:pPr>
      <w:rPr>
        <w:rFonts w:hint="eastAsia" w:ascii="仿宋" w:hAnsi="仿宋" w:eastAsia="仿宋" w:cs="仿宋"/>
      </w:rPr>
    </w:lvl>
    <w:lvl w:ilvl="2" w:tentative="0">
      <w:start w:val="1"/>
      <w:numFmt w:val="decimal"/>
      <w:pStyle w:val="6"/>
      <w:isLgl/>
      <w:lvlText w:val="%1.%2.%3."/>
      <w:lvlJc w:val="left"/>
      <w:pPr>
        <w:ind w:left="720" w:hanging="720"/>
      </w:pPr>
      <w:rPr>
        <w:rFonts w:hint="eastAsia" w:ascii="仿宋" w:hAnsi="仿宋" w:eastAsia="仿宋" w:cs="仿宋"/>
      </w:rPr>
    </w:lvl>
    <w:lvl w:ilvl="3" w:tentative="0">
      <w:start w:val="1"/>
      <w:numFmt w:val="decimal"/>
      <w:pStyle w:val="7"/>
      <w:isLgl/>
      <w:lvlText w:val="%1.%2.%3.%4."/>
      <w:lvlJc w:val="left"/>
      <w:pPr>
        <w:ind w:left="864" w:hanging="864"/>
      </w:pPr>
      <w:rPr>
        <w:rFonts w:hint="eastAsia" w:ascii="仿宋" w:hAnsi="仿宋" w:eastAsia="仿宋" w:cs="仿宋"/>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isLgl/>
      <w:lvlText w:val="%1.%2.%3.%4.%5.%6.%7."/>
      <w:lvlJc w:val="left"/>
      <w:pPr>
        <w:ind w:left="1296" w:hanging="1296"/>
      </w:pPr>
      <w:rPr>
        <w:rFonts w:hint="eastAsia" w:ascii="宋体" w:hAnsi="宋体" w:eastAsia="宋体" w:cs="宋体"/>
      </w:rPr>
    </w:lvl>
    <w:lvl w:ilvl="7" w:tentative="0">
      <w:start w:val="1"/>
      <w:numFmt w:val="decimal"/>
      <w:isLgl/>
      <w:lvlText w:val="%1.%2.%3.%4.%5.%6.%7.%8."/>
      <w:lvlJc w:val="left"/>
      <w:pPr>
        <w:ind w:left="1440" w:hanging="1440"/>
      </w:pPr>
      <w:rPr>
        <w:rFonts w:hint="eastAsia" w:ascii="宋体" w:hAnsi="宋体" w:eastAsia="宋体" w:cs="宋体"/>
      </w:rPr>
    </w:lvl>
    <w:lvl w:ilvl="8" w:tentative="0">
      <w:start w:val="1"/>
      <w:numFmt w:val="decimal"/>
      <w:isLgl/>
      <w:lvlText w:val="%1.%2.%3.%4.%5.%6.%7.%8.%9."/>
      <w:lvlJc w:val="left"/>
      <w:pPr>
        <w:ind w:left="1583" w:hanging="1583"/>
      </w:pPr>
      <w:rPr>
        <w:rFonts w:hint="eastAsia" w:ascii="宋体" w:hAnsi="宋体" w:eastAsia="宋体" w:cs="宋体"/>
      </w:rPr>
    </w:lvl>
  </w:abstractNum>
  <w:abstractNum w:abstractNumId="8">
    <w:nsid w:val="7DA181A8"/>
    <w:multiLevelType w:val="multilevel"/>
    <w:tmpl w:val="7DA181A8"/>
    <w:lvl w:ilvl="0" w:tentative="0">
      <w:start w:val="1"/>
      <w:numFmt w:val="chineseCountingThousand"/>
      <w:pStyle w:val="4"/>
      <w:lvlText w:val="%1、"/>
      <w:lvlJc w:val="left"/>
      <w:pPr>
        <w:ind w:left="432" w:hanging="432"/>
      </w:pPr>
      <w:rPr>
        <w:rFonts w:hint="eastAsia"/>
      </w:rPr>
    </w:lvl>
    <w:lvl w:ilvl="1" w:tentative="0">
      <w:start w:val="1"/>
      <w:numFmt w:val="decimal"/>
      <w:pStyle w:val="5"/>
      <w:isLgl/>
      <w:suff w:val="nothing"/>
      <w:lvlText w:val="%1.%2、"/>
      <w:lvlJc w:val="left"/>
      <w:pPr>
        <w:tabs>
          <w:tab w:val="left" w:pos="0"/>
        </w:tabs>
        <w:ind w:left="576" w:hanging="576"/>
      </w:pPr>
      <w:rPr>
        <w:rFonts w:hint="eastAsia" w:ascii="Times New Roman" w:hAnsi="Times New Roman" w:cs="Times New Roman"/>
        <w:sz w:val="24"/>
        <w:szCs w:val="24"/>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tabs>
          <w:tab w:val="left" w:pos="420"/>
        </w:tabs>
        <w:ind w:left="864" w:hanging="864"/>
      </w:pPr>
      <w:rPr>
        <w:rFonts w:hint="eastAsia" w:ascii="宋体" w:hAnsi="宋体" w:eastAsia="宋体" w:cs="宋体"/>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8"/>
  </w:num>
  <w:num w:numId="2">
    <w:abstractNumId w:val="7"/>
  </w:num>
  <w:num w:numId="3">
    <w:abstractNumId w:val="0"/>
  </w:num>
  <w:num w:numId="4">
    <w:abstractNumId w:val="2"/>
  </w:num>
  <w:num w:numId="5">
    <w:abstractNumId w:val="4"/>
  </w:num>
  <w:num w:numId="6">
    <w:abstractNumId w:val="3"/>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VlMjZhNjliZjliOTBjN2E1ZTAxOGYwMzJiN2I1MWIifQ=="/>
    <w:docVar w:name="KSO_WPS_MARK_KEY" w:val="549e15d0-212e-4646-9a79-027bf7d5be16"/>
  </w:docVars>
  <w:rsids>
    <w:rsidRoot w:val="005B1060"/>
    <w:rsid w:val="00095987"/>
    <w:rsid w:val="00281F1A"/>
    <w:rsid w:val="002D2E61"/>
    <w:rsid w:val="005B1060"/>
    <w:rsid w:val="00627D1B"/>
    <w:rsid w:val="0064219F"/>
    <w:rsid w:val="00672EFF"/>
    <w:rsid w:val="007A0C3F"/>
    <w:rsid w:val="00833CD3"/>
    <w:rsid w:val="0094662D"/>
    <w:rsid w:val="00C82A40"/>
    <w:rsid w:val="00D2141C"/>
    <w:rsid w:val="00DB7DCD"/>
    <w:rsid w:val="00E80997"/>
    <w:rsid w:val="00EF302F"/>
    <w:rsid w:val="01945F0D"/>
    <w:rsid w:val="01F9217B"/>
    <w:rsid w:val="025F2C7E"/>
    <w:rsid w:val="02F543A0"/>
    <w:rsid w:val="03133011"/>
    <w:rsid w:val="03604714"/>
    <w:rsid w:val="04011D9C"/>
    <w:rsid w:val="04FC1044"/>
    <w:rsid w:val="05205408"/>
    <w:rsid w:val="061C5887"/>
    <w:rsid w:val="06534584"/>
    <w:rsid w:val="071F6522"/>
    <w:rsid w:val="075D5645"/>
    <w:rsid w:val="07A46595"/>
    <w:rsid w:val="07BC68F3"/>
    <w:rsid w:val="08AE7524"/>
    <w:rsid w:val="08BA5720"/>
    <w:rsid w:val="096E6D9B"/>
    <w:rsid w:val="0B44482D"/>
    <w:rsid w:val="0B892115"/>
    <w:rsid w:val="0B8B303A"/>
    <w:rsid w:val="0BCE0B0C"/>
    <w:rsid w:val="0D77102C"/>
    <w:rsid w:val="0F4B57C1"/>
    <w:rsid w:val="112453F4"/>
    <w:rsid w:val="1178596F"/>
    <w:rsid w:val="143108FD"/>
    <w:rsid w:val="143E1109"/>
    <w:rsid w:val="145C6C53"/>
    <w:rsid w:val="14B27CF6"/>
    <w:rsid w:val="15396F94"/>
    <w:rsid w:val="15FB3288"/>
    <w:rsid w:val="16126B25"/>
    <w:rsid w:val="1645745C"/>
    <w:rsid w:val="16A67A37"/>
    <w:rsid w:val="16E1529C"/>
    <w:rsid w:val="171C0E4A"/>
    <w:rsid w:val="17D42FA4"/>
    <w:rsid w:val="191D1D86"/>
    <w:rsid w:val="1926422C"/>
    <w:rsid w:val="1B0F38CD"/>
    <w:rsid w:val="1B995A16"/>
    <w:rsid w:val="1C417D86"/>
    <w:rsid w:val="1CDF7781"/>
    <w:rsid w:val="1D7A2602"/>
    <w:rsid w:val="1E3D5678"/>
    <w:rsid w:val="1F6D256E"/>
    <w:rsid w:val="1F7707CB"/>
    <w:rsid w:val="1FF017B4"/>
    <w:rsid w:val="20D36F75"/>
    <w:rsid w:val="223C037F"/>
    <w:rsid w:val="23AF726E"/>
    <w:rsid w:val="25245F9F"/>
    <w:rsid w:val="2601420A"/>
    <w:rsid w:val="28767A0D"/>
    <w:rsid w:val="2956295F"/>
    <w:rsid w:val="296D7344"/>
    <w:rsid w:val="29976745"/>
    <w:rsid w:val="29F550A7"/>
    <w:rsid w:val="2A4468E8"/>
    <w:rsid w:val="2DBA5CB7"/>
    <w:rsid w:val="2EDC4643"/>
    <w:rsid w:val="2F0733D9"/>
    <w:rsid w:val="2F3B778D"/>
    <w:rsid w:val="2F462E56"/>
    <w:rsid w:val="2F6A0915"/>
    <w:rsid w:val="30045DA6"/>
    <w:rsid w:val="30CC0CEA"/>
    <w:rsid w:val="31DE032C"/>
    <w:rsid w:val="329F26D5"/>
    <w:rsid w:val="32E20DCB"/>
    <w:rsid w:val="33375F82"/>
    <w:rsid w:val="336175B6"/>
    <w:rsid w:val="337B4C9A"/>
    <w:rsid w:val="341F32BF"/>
    <w:rsid w:val="344E5133"/>
    <w:rsid w:val="34D15BD8"/>
    <w:rsid w:val="35174CFE"/>
    <w:rsid w:val="37A0710A"/>
    <w:rsid w:val="37B4288D"/>
    <w:rsid w:val="385179F9"/>
    <w:rsid w:val="38A124D9"/>
    <w:rsid w:val="38CB08B0"/>
    <w:rsid w:val="38D8249D"/>
    <w:rsid w:val="390842F2"/>
    <w:rsid w:val="397B5756"/>
    <w:rsid w:val="39E6508D"/>
    <w:rsid w:val="3A82194A"/>
    <w:rsid w:val="3AD03BF6"/>
    <w:rsid w:val="3AD904D0"/>
    <w:rsid w:val="3CED228F"/>
    <w:rsid w:val="3D205FAC"/>
    <w:rsid w:val="3DA627BB"/>
    <w:rsid w:val="3DDB5324"/>
    <w:rsid w:val="3F1948C2"/>
    <w:rsid w:val="3F2A49C1"/>
    <w:rsid w:val="3F6F1681"/>
    <w:rsid w:val="3F7807BE"/>
    <w:rsid w:val="407259EA"/>
    <w:rsid w:val="410E2AFB"/>
    <w:rsid w:val="4119388F"/>
    <w:rsid w:val="414776C5"/>
    <w:rsid w:val="41A2306B"/>
    <w:rsid w:val="41DB7EBE"/>
    <w:rsid w:val="42A955DC"/>
    <w:rsid w:val="42BE7250"/>
    <w:rsid w:val="43652195"/>
    <w:rsid w:val="44D872A5"/>
    <w:rsid w:val="453211DA"/>
    <w:rsid w:val="468924CD"/>
    <w:rsid w:val="468D3398"/>
    <w:rsid w:val="46A504FA"/>
    <w:rsid w:val="47AC45C3"/>
    <w:rsid w:val="47F22E4F"/>
    <w:rsid w:val="48E66D59"/>
    <w:rsid w:val="490D20BF"/>
    <w:rsid w:val="4B1A3422"/>
    <w:rsid w:val="4B5A1437"/>
    <w:rsid w:val="4BED5E07"/>
    <w:rsid w:val="4D7B7443"/>
    <w:rsid w:val="4F81535A"/>
    <w:rsid w:val="513242BC"/>
    <w:rsid w:val="530A3743"/>
    <w:rsid w:val="532A2C1E"/>
    <w:rsid w:val="534D17A7"/>
    <w:rsid w:val="547B6144"/>
    <w:rsid w:val="55444043"/>
    <w:rsid w:val="56BB649E"/>
    <w:rsid w:val="5A294730"/>
    <w:rsid w:val="5A716B88"/>
    <w:rsid w:val="5AA61EC2"/>
    <w:rsid w:val="5AC25E98"/>
    <w:rsid w:val="5ACC0758"/>
    <w:rsid w:val="5C205D85"/>
    <w:rsid w:val="5C7F0150"/>
    <w:rsid w:val="5CE34CD7"/>
    <w:rsid w:val="5CFB566A"/>
    <w:rsid w:val="5D756B34"/>
    <w:rsid w:val="60BE18C9"/>
    <w:rsid w:val="60C06408"/>
    <w:rsid w:val="60C72C73"/>
    <w:rsid w:val="60E6759D"/>
    <w:rsid w:val="61F06098"/>
    <w:rsid w:val="63DB2D2A"/>
    <w:rsid w:val="640D3093"/>
    <w:rsid w:val="642A51BC"/>
    <w:rsid w:val="659D3F6F"/>
    <w:rsid w:val="674170ED"/>
    <w:rsid w:val="675445CD"/>
    <w:rsid w:val="67800FD6"/>
    <w:rsid w:val="689561D0"/>
    <w:rsid w:val="69C31318"/>
    <w:rsid w:val="69E55FFC"/>
    <w:rsid w:val="6A372001"/>
    <w:rsid w:val="6B7E5D9A"/>
    <w:rsid w:val="6BF824A3"/>
    <w:rsid w:val="6CD55F8A"/>
    <w:rsid w:val="6D4C79DE"/>
    <w:rsid w:val="6DEC134B"/>
    <w:rsid w:val="6ED32277"/>
    <w:rsid w:val="6EE226F2"/>
    <w:rsid w:val="70CD680B"/>
    <w:rsid w:val="71691438"/>
    <w:rsid w:val="71FE2C24"/>
    <w:rsid w:val="72171306"/>
    <w:rsid w:val="72410923"/>
    <w:rsid w:val="75610F9E"/>
    <w:rsid w:val="758B68F4"/>
    <w:rsid w:val="783F5A31"/>
    <w:rsid w:val="78A0111E"/>
    <w:rsid w:val="78B57239"/>
    <w:rsid w:val="7A995229"/>
    <w:rsid w:val="7AE1158D"/>
    <w:rsid w:val="7B7C1555"/>
    <w:rsid w:val="7D171AF4"/>
    <w:rsid w:val="7EDA7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1"/>
    <w:basedOn w:val="1"/>
    <w:next w:val="1"/>
    <w:autoRedefine/>
    <w:qFormat/>
    <w:uiPriority w:val="9"/>
    <w:pPr>
      <w:keepNext/>
      <w:keepLines/>
      <w:numPr>
        <w:ilvl w:val="0"/>
        <w:numId w:val="1"/>
      </w:numPr>
      <w:spacing w:before="340" w:after="330" w:line="578" w:lineRule="auto"/>
      <w:outlineLvl w:val="0"/>
    </w:pPr>
    <w:rPr>
      <w:rFonts w:ascii="宋体" w:hAnsi="宋体"/>
      <w:b/>
      <w:bCs/>
      <w:kern w:val="44"/>
      <w:sz w:val="36"/>
      <w:szCs w:val="36"/>
    </w:rPr>
  </w:style>
  <w:style w:type="paragraph" w:styleId="5">
    <w:name w:val="heading 2"/>
    <w:basedOn w:val="1"/>
    <w:next w:val="1"/>
    <w:autoRedefine/>
    <w:unhideWhenUsed/>
    <w:qFormat/>
    <w:uiPriority w:val="9"/>
    <w:pPr>
      <w:keepNext/>
      <w:keepLines/>
      <w:numPr>
        <w:ilvl w:val="1"/>
        <w:numId w:val="1"/>
      </w:numPr>
      <w:spacing w:before="260" w:after="260" w:line="416" w:lineRule="auto"/>
      <w:outlineLvl w:val="1"/>
    </w:pPr>
    <w:rPr>
      <w:rFonts w:ascii="宋体" w:hAnsi="宋体" w:cstheme="majorBidi"/>
      <w:b/>
      <w:bCs/>
      <w:sz w:val="32"/>
      <w:szCs w:val="32"/>
    </w:rPr>
  </w:style>
  <w:style w:type="paragraph" w:styleId="6">
    <w:name w:val="heading 3"/>
    <w:basedOn w:val="1"/>
    <w:next w:val="1"/>
    <w:link w:val="20"/>
    <w:autoRedefine/>
    <w:unhideWhenUsed/>
    <w:qFormat/>
    <w:uiPriority w:val="0"/>
    <w:pPr>
      <w:keepNext/>
      <w:keepLines/>
      <w:numPr>
        <w:ilvl w:val="2"/>
        <w:numId w:val="2"/>
      </w:numPr>
      <w:outlineLvl w:val="2"/>
    </w:pPr>
    <w:rPr>
      <w:b/>
      <w:sz w:val="32"/>
    </w:rPr>
  </w:style>
  <w:style w:type="paragraph" w:styleId="7">
    <w:name w:val="heading 4"/>
    <w:basedOn w:val="1"/>
    <w:next w:val="1"/>
    <w:autoRedefine/>
    <w:unhideWhenUsed/>
    <w:qFormat/>
    <w:uiPriority w:val="0"/>
    <w:pPr>
      <w:keepNext/>
      <w:keepLines/>
      <w:numPr>
        <w:ilvl w:val="3"/>
        <w:numId w:val="2"/>
      </w:numPr>
      <w:outlineLvl w:val="3"/>
    </w:pPr>
    <w:rPr>
      <w:b/>
      <w:sz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autoRedefine/>
    <w:semiHidden/>
    <w:qFormat/>
    <w:uiPriority w:val="0"/>
  </w:style>
  <w:style w:type="paragraph" w:styleId="3">
    <w:name w:val="Body Text First Indent"/>
    <w:basedOn w:val="2"/>
    <w:next w:val="1"/>
    <w:unhideWhenUsed/>
    <w:qFormat/>
    <w:uiPriority w:val="0"/>
    <w:pPr>
      <w:ind w:firstLine="420" w:firstLineChars="100"/>
    </w:pPr>
    <w:rPr>
      <w:szCs w:val="20"/>
    </w:rPr>
  </w:style>
  <w:style w:type="paragraph" w:styleId="8">
    <w:name w:val="Normal Indent"/>
    <w:basedOn w:val="1"/>
    <w:autoRedefine/>
    <w:qFormat/>
    <w:uiPriority w:val="0"/>
    <w:pPr>
      <w:numPr>
        <w:ilvl w:val="0"/>
        <w:numId w:val="3"/>
      </w:numPr>
      <w:pBdr>
        <w:top w:val="none" w:color="auto" w:sz="0" w:space="1"/>
        <w:left w:val="none" w:color="auto" w:sz="0" w:space="4"/>
        <w:bottom w:val="none" w:color="auto" w:sz="0" w:space="1"/>
        <w:right w:val="none" w:color="auto" w:sz="0" w:space="4"/>
      </w:pBdr>
      <w:spacing w:before="120" w:beforeLines="120" w:after="120" w:afterLines="120" w:line="360" w:lineRule="auto"/>
      <w:ind w:left="210" w:leftChars="100" w:right="210" w:rightChars="100" w:firstLine="227"/>
    </w:pPr>
    <w:rPr>
      <w:rFonts w:eastAsia="黑体" w:cs="楷体"/>
      <w:sz w:val="28"/>
    </w:rPr>
  </w:style>
  <w:style w:type="paragraph" w:styleId="9">
    <w:name w:val="Balloon Text"/>
    <w:basedOn w:val="1"/>
    <w:link w:val="24"/>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autoRedefine/>
    <w:qFormat/>
    <w:uiPriority w:val="0"/>
    <w:pPr>
      <w:spacing w:before="65458" w:beforeAutospacing="1" w:afterAutospacing="1"/>
    </w:pPr>
    <w:rPr>
      <w:rFonts w:ascii="宋体" w:hAnsi="宋体" w:eastAsia="楷体" w:cs="宋体"/>
      <w:sz w:val="24"/>
      <w:szCs w:val="24"/>
    </w:rPr>
  </w:style>
  <w:style w:type="table" w:styleId="14">
    <w:name w:val="Table Grid"/>
    <w:basedOn w:val="13"/>
    <w:autoRedefine/>
    <w:qFormat/>
    <w:uiPriority w:val="0"/>
    <w:pPr>
      <w:widowControl w:val="0"/>
      <w:jc w:val="both"/>
    </w:pPr>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table" w:customStyle="1" w:styleId="16">
    <w:name w:val="Table Normal"/>
    <w:autoRedefine/>
    <w:semiHidden/>
    <w:unhideWhenUsed/>
    <w:qFormat/>
    <w:uiPriority w:val="0"/>
    <w:tblPr>
      <w:tblCellMar>
        <w:top w:w="0" w:type="dxa"/>
        <w:left w:w="0" w:type="dxa"/>
        <w:bottom w:w="0" w:type="dxa"/>
        <w:right w:w="0" w:type="dxa"/>
      </w:tblCellMar>
    </w:tblPr>
  </w:style>
  <w:style w:type="paragraph" w:customStyle="1" w:styleId="17">
    <w:name w:val="Table Text"/>
    <w:basedOn w:val="1"/>
    <w:autoRedefine/>
    <w:semiHidden/>
    <w:qFormat/>
    <w:uiPriority w:val="0"/>
  </w:style>
  <w:style w:type="paragraph" w:customStyle="1" w:styleId="18">
    <w:name w:val="方案正文"/>
    <w:basedOn w:val="1"/>
    <w:autoRedefine/>
    <w:qFormat/>
    <w:uiPriority w:val="0"/>
    <w:pPr>
      <w:ind w:firstLine="480" w:firstLineChars="200"/>
    </w:pPr>
    <w:rPr>
      <w:rFonts w:ascii="宋体" w:hAnsi="宋体" w:cs="宋体"/>
      <w:sz w:val="28"/>
      <w:szCs w:val="28"/>
    </w:rPr>
  </w:style>
  <w:style w:type="paragraph" w:customStyle="1" w:styleId="19">
    <w:name w:val="正文首行缩进（深信服科技）"/>
    <w:basedOn w:val="1"/>
    <w:qFormat/>
    <w:uiPriority w:val="0"/>
    <w:pPr>
      <w:spacing w:after="50" w:line="300" w:lineRule="auto"/>
      <w:ind w:firstLine="200" w:firstLineChars="200"/>
    </w:pPr>
    <w:rPr>
      <w:rFonts w:cs="Times New Roman"/>
    </w:rPr>
  </w:style>
  <w:style w:type="character" w:customStyle="1" w:styleId="20">
    <w:name w:val="标题 3 Char"/>
    <w:link w:val="6"/>
    <w:qFormat/>
    <w:uiPriority w:val="0"/>
    <w:rPr>
      <w:b/>
      <w:sz w:val="32"/>
    </w:rPr>
  </w:style>
  <w:style w:type="paragraph" w:styleId="21">
    <w:name w:val="List Paragraph"/>
    <w:basedOn w:val="1"/>
    <w:next w:val="1"/>
    <w:autoRedefine/>
    <w:qFormat/>
    <w:uiPriority w:val="34"/>
    <w:pPr>
      <w:ind w:firstLine="420" w:firstLineChars="200"/>
    </w:pPr>
    <w:rPr>
      <w:rFonts w:asciiTheme="minorHAnsi" w:hAnsiTheme="minorHAnsi" w:eastAsiaTheme="minorEastAsia" w:cstheme="minorBidi"/>
    </w:rPr>
  </w:style>
  <w:style w:type="paragraph" w:customStyle="1" w:styleId="22">
    <w:name w:val="正文（缩进）"/>
    <w:basedOn w:val="1"/>
    <w:next w:val="1"/>
    <w:autoRedefine/>
    <w:qFormat/>
    <w:uiPriority w:val="0"/>
    <w:pPr>
      <w:spacing w:before="120" w:after="120" w:line="360" w:lineRule="auto"/>
      <w:ind w:firstLine="200" w:firstLineChars="200"/>
    </w:pPr>
    <w:rPr>
      <w:rFonts w:ascii="宋体" w:hAnsi="Cambria"/>
      <w:bCs/>
      <w:sz w:val="24"/>
      <w:szCs w:val="32"/>
    </w:rPr>
  </w:style>
  <w:style w:type="paragraph" w:customStyle="1" w:styleId="23">
    <w:name w:val="正文首行缩进（绿盟科技）"/>
    <w:basedOn w:val="1"/>
    <w:autoRedefine/>
    <w:qFormat/>
    <w:uiPriority w:val="0"/>
    <w:pPr>
      <w:spacing w:before="100" w:beforeAutospacing="1" w:after="100" w:afterAutospacing="1"/>
      <w:ind w:firstLine="480" w:firstLineChars="200"/>
    </w:pPr>
    <w:rPr>
      <w:rFonts w:ascii="宋体" w:hAnsi="宋体"/>
      <w:sz w:val="24"/>
    </w:rPr>
  </w:style>
  <w:style w:type="character" w:customStyle="1" w:styleId="24">
    <w:name w:val="批注框文本 Char"/>
    <w:basedOn w:val="15"/>
    <w:link w:val="9"/>
    <w:qFormat/>
    <w:uiPriority w:val="0"/>
    <w:rPr>
      <w:rFonts w:eastAsia="Arial"/>
      <w:snapToGrid w:val="0"/>
      <w:color w:val="000000"/>
      <w:sz w:val="18"/>
      <w:szCs w:val="18"/>
      <w:lang w:eastAsia="en-US"/>
    </w:rPr>
  </w:style>
  <w:style w:type="character" w:customStyle="1" w:styleId="25">
    <w:name w:val="font11"/>
    <w:basedOn w:val="15"/>
    <w:qFormat/>
    <w:uiPriority w:val="0"/>
    <w:rPr>
      <w:rFonts w:hint="eastAsia" w:ascii="宋体" w:hAnsi="宋体" w:eastAsia="宋体" w:cs="宋体"/>
      <w:color w:val="000000"/>
      <w:sz w:val="22"/>
      <w:szCs w:val="22"/>
      <w:u w:val="none"/>
    </w:rPr>
  </w:style>
  <w:style w:type="character" w:customStyle="1" w:styleId="26">
    <w:name w:val="font61"/>
    <w:basedOn w:val="15"/>
    <w:qFormat/>
    <w:uiPriority w:val="0"/>
    <w:rPr>
      <w:rFonts w:hint="eastAsia" w:ascii="宋体" w:hAnsi="宋体" w:eastAsia="宋体" w:cs="宋体"/>
      <w:color w:val="FF0000"/>
      <w:sz w:val="22"/>
      <w:szCs w:val="22"/>
      <w:u w:val="none"/>
    </w:rPr>
  </w:style>
  <w:style w:type="character" w:customStyle="1" w:styleId="27">
    <w:name w:val="font41"/>
    <w:basedOn w:val="15"/>
    <w:qFormat/>
    <w:uiPriority w:val="0"/>
    <w:rPr>
      <w:rFonts w:hint="eastAsia" w:ascii="宋体" w:hAnsi="宋体" w:eastAsia="宋体" w:cs="宋体"/>
      <w:color w:val="000000"/>
      <w:sz w:val="22"/>
      <w:szCs w:val="22"/>
      <w:u w:val="none"/>
    </w:rPr>
  </w:style>
  <w:style w:type="character" w:customStyle="1" w:styleId="28">
    <w:name w:val="font71"/>
    <w:basedOn w:val="15"/>
    <w:qFormat/>
    <w:uiPriority w:val="0"/>
    <w:rPr>
      <w:rFonts w:hint="eastAsia" w:ascii="宋体" w:hAnsi="宋体" w:eastAsia="宋体" w:cs="宋体"/>
      <w:b/>
      <w:bCs/>
      <w:color w:val="000000"/>
      <w:sz w:val="22"/>
      <w:szCs w:val="22"/>
      <w:u w:val="none"/>
    </w:rPr>
  </w:style>
  <w:style w:type="character" w:customStyle="1" w:styleId="29">
    <w:name w:val="font81"/>
    <w:basedOn w:val="15"/>
    <w:qFormat/>
    <w:uiPriority w:val="0"/>
    <w:rPr>
      <w:rFonts w:ascii="Wingdings" w:hAnsi="Wingdings" w:cs="Wingding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11</Pages>
  <Words>9162</Words>
  <Characters>9554</Characters>
  <Lines>304</Lines>
  <Paragraphs>85</Paragraphs>
  <TotalTime>14</TotalTime>
  <ScaleCrop>false</ScaleCrop>
  <LinksUpToDate>false</LinksUpToDate>
  <CharactersWithSpaces>9624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2024-07-04T15:19:00Z</dcterms:created>
  <dc:creator>xiaofei li</dc:creator>
  <cp:lastModifiedBy>朱飞鹏</cp:lastModifiedBy>
  <cp:lastPrinted>2024-07-05T01:57:00Z</cp:lastPrinted>
  <dcterms:modified xsi:type="dcterms:W3CDTF">2025-10-28T02:35:01Z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2024-07-04T15:20:52Z</vt:filetime>
  </property>
  <property fmtid="{D5CDD505-2E9C-101B-9397-08002B2CF9AE}" pid="4" name="KSOProductBuildVer">
    <vt:lpwstr>2052-12.1.0.22529</vt:lpwstr>
  </property>
  <property fmtid="{D5CDD505-2E9C-101B-9397-08002B2CF9AE}" pid="5" name="ICV">
    <vt:lpwstr>AA34615D2E9F46689AFB8622E0A99A20_13</vt:lpwstr>
  </property>
  <property fmtid="{D5CDD505-2E9C-101B-9397-08002B2CF9AE}" pid="6" name="KSOTemplateDocerSaveRecord">
    <vt:lpwstr>eyJoZGlkIjoiMzVlMjZhNjliZjliOTBjN2E1ZTAxOGYwMzJiN2I1MWIiLCJ1c2VySWQiOiIxNTA2MjMyMzgyIn0=</vt:lpwstr>
  </property>
</Properties>
</file>