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8A47B">
      <w:pPr>
        <w:spacing w:line="360" w:lineRule="auto"/>
        <w:jc w:val="center"/>
        <w:outlineLvl w:val="0"/>
        <w:rPr>
          <w:rFonts w:ascii="宋体" w:hAnsi="宋体" w:eastAsia="宋体"/>
          <w:b/>
          <w:sz w:val="28"/>
        </w:rPr>
      </w:pPr>
      <w:r>
        <w:rPr>
          <w:rFonts w:hint="eastAsia" w:ascii="宋体" w:hAnsi="宋体" w:eastAsia="宋体"/>
          <w:b/>
          <w:sz w:val="28"/>
        </w:rPr>
        <w:t>投标人资格要求</w:t>
      </w:r>
    </w:p>
    <w:p w14:paraId="3F2668E4">
      <w:pPr>
        <w:spacing w:line="360" w:lineRule="auto"/>
        <w:outlineLvl w:val="0"/>
        <w:rPr>
          <w:rFonts w:ascii="宋体" w:hAnsi="宋体" w:eastAsia="宋体"/>
          <w:sz w:val="24"/>
        </w:rPr>
      </w:pPr>
      <w:r>
        <w:rPr>
          <w:rFonts w:ascii="宋体" w:hAnsi="宋体" w:eastAsia="宋体"/>
          <w:sz w:val="24"/>
        </w:rPr>
        <w:t>1.满足《中华人民共和国政府采购法》第二十二条规定，即：</w:t>
      </w:r>
    </w:p>
    <w:p w14:paraId="0AB329AE">
      <w:pPr>
        <w:spacing w:line="360" w:lineRule="auto"/>
        <w:rPr>
          <w:rFonts w:ascii="宋体" w:hAnsi="宋体" w:eastAsia="宋体"/>
          <w:sz w:val="24"/>
        </w:rPr>
      </w:pPr>
      <w:r>
        <w:rPr>
          <w:rFonts w:hint="eastAsia" w:ascii="宋体" w:hAnsi="宋体" w:eastAsia="宋体"/>
          <w:sz w:val="24"/>
        </w:rPr>
        <w:t>（</w:t>
      </w:r>
      <w:r>
        <w:rPr>
          <w:rFonts w:ascii="宋体" w:hAnsi="宋体" w:eastAsia="宋体"/>
          <w:sz w:val="24"/>
        </w:rPr>
        <w:t>1）具有独立承担民事责任的能力；</w:t>
      </w:r>
    </w:p>
    <w:p w14:paraId="18525359">
      <w:pPr>
        <w:spacing w:line="360" w:lineRule="auto"/>
        <w:rPr>
          <w:rFonts w:ascii="宋体" w:hAnsi="宋体" w:eastAsia="宋体"/>
          <w:sz w:val="24"/>
        </w:rPr>
      </w:pPr>
      <w:r>
        <w:rPr>
          <w:rFonts w:hint="eastAsia" w:ascii="宋体" w:hAnsi="宋体" w:eastAsia="宋体"/>
          <w:sz w:val="24"/>
        </w:rPr>
        <w:t>（</w:t>
      </w:r>
      <w:r>
        <w:rPr>
          <w:rFonts w:ascii="宋体" w:hAnsi="宋体" w:eastAsia="宋体"/>
          <w:sz w:val="24"/>
        </w:rPr>
        <w:t>2）具有良好的商业信誉和健全的财务会计制度；</w:t>
      </w:r>
    </w:p>
    <w:p w14:paraId="1590B712">
      <w:pPr>
        <w:spacing w:line="360" w:lineRule="auto"/>
        <w:rPr>
          <w:rFonts w:ascii="宋体" w:hAnsi="宋体" w:eastAsia="宋体"/>
          <w:sz w:val="24"/>
        </w:rPr>
      </w:pPr>
      <w:r>
        <w:rPr>
          <w:rFonts w:hint="eastAsia" w:ascii="宋体" w:hAnsi="宋体" w:eastAsia="宋体"/>
          <w:sz w:val="24"/>
        </w:rPr>
        <w:t>（</w:t>
      </w:r>
      <w:r>
        <w:rPr>
          <w:rFonts w:ascii="宋体" w:hAnsi="宋体" w:eastAsia="宋体"/>
          <w:sz w:val="24"/>
        </w:rPr>
        <w:t>3）具有履行合同所必需的设备和专业技术能力；</w:t>
      </w:r>
    </w:p>
    <w:p w14:paraId="607B30CE">
      <w:pPr>
        <w:spacing w:line="360" w:lineRule="auto"/>
        <w:rPr>
          <w:rFonts w:ascii="宋体" w:hAnsi="宋体" w:eastAsia="宋体"/>
          <w:sz w:val="24"/>
        </w:rPr>
      </w:pPr>
      <w:r>
        <w:rPr>
          <w:rFonts w:hint="eastAsia" w:ascii="宋体" w:hAnsi="宋体" w:eastAsia="宋体"/>
          <w:sz w:val="24"/>
        </w:rPr>
        <w:t>（</w:t>
      </w:r>
      <w:r>
        <w:rPr>
          <w:rFonts w:ascii="宋体" w:hAnsi="宋体" w:eastAsia="宋体"/>
          <w:sz w:val="24"/>
        </w:rPr>
        <w:t>4）有依法缴纳税收和社会保障资金的良好记录；</w:t>
      </w:r>
    </w:p>
    <w:p w14:paraId="71114574">
      <w:pPr>
        <w:spacing w:line="360" w:lineRule="auto"/>
        <w:rPr>
          <w:rFonts w:ascii="宋体" w:hAnsi="宋体" w:eastAsia="宋体"/>
          <w:sz w:val="24"/>
        </w:rPr>
      </w:pPr>
      <w:r>
        <w:rPr>
          <w:rFonts w:hint="eastAsia" w:ascii="宋体" w:hAnsi="宋体" w:eastAsia="宋体"/>
          <w:sz w:val="24"/>
        </w:rPr>
        <w:t>（</w:t>
      </w:r>
      <w:r>
        <w:rPr>
          <w:rFonts w:ascii="宋体" w:hAnsi="宋体" w:eastAsia="宋体"/>
          <w:sz w:val="24"/>
        </w:rPr>
        <w:t>5）参加政府采购活动前三年内，在经营活动中没有重大违法记录；</w:t>
      </w:r>
    </w:p>
    <w:p w14:paraId="02F3B39B">
      <w:pPr>
        <w:spacing w:line="360" w:lineRule="auto"/>
        <w:outlineLvl w:val="1"/>
        <w:rPr>
          <w:rFonts w:ascii="宋体" w:hAnsi="宋体" w:eastAsia="宋体"/>
          <w:sz w:val="24"/>
        </w:rPr>
      </w:pPr>
      <w:r>
        <w:rPr>
          <w:rFonts w:hint="eastAsia" w:ascii="宋体" w:hAnsi="宋体" w:eastAsia="宋体"/>
          <w:sz w:val="24"/>
        </w:rPr>
        <w:t>（</w:t>
      </w:r>
      <w:r>
        <w:rPr>
          <w:rFonts w:ascii="宋体" w:hAnsi="宋体" w:eastAsia="宋体"/>
          <w:sz w:val="24"/>
        </w:rPr>
        <w:t>6）法律、行政法规规定的其他条件。</w:t>
      </w:r>
    </w:p>
    <w:p w14:paraId="0706C04D">
      <w:pPr>
        <w:spacing w:line="360" w:lineRule="auto"/>
        <w:rPr>
          <w:rFonts w:ascii="宋体" w:hAnsi="宋体" w:eastAsia="宋体"/>
          <w:sz w:val="24"/>
        </w:rPr>
      </w:pPr>
      <w:r>
        <w:rPr>
          <w:rFonts w:ascii="宋体" w:hAnsi="宋体" w:eastAsia="宋体"/>
          <w:sz w:val="24"/>
        </w:rPr>
        <w:t>2.单位负责人为同一人或者存在直接控股、管理关系的不同投标人，不得参加本项目同一合同项下的政府采购活动。</w:t>
      </w:r>
    </w:p>
    <w:p w14:paraId="593129C3">
      <w:pPr>
        <w:spacing w:line="360" w:lineRule="auto"/>
        <w:rPr>
          <w:rFonts w:ascii="宋体" w:hAnsi="宋体" w:eastAsia="宋体"/>
          <w:sz w:val="24"/>
        </w:rPr>
      </w:pPr>
      <w:r>
        <w:rPr>
          <w:rFonts w:ascii="宋体" w:hAnsi="宋体" w:eastAsia="宋体"/>
          <w:sz w:val="24"/>
        </w:rPr>
        <w:t>3.为本采购项目提供整体设计、规范编制或者项目管理、监理、检测等服务的，不得再参加本项目的其他招标采购活动。</w:t>
      </w:r>
    </w:p>
    <w:p w14:paraId="54D75C53">
      <w:pPr>
        <w:spacing w:line="360" w:lineRule="auto"/>
        <w:rPr>
          <w:rFonts w:ascii="宋体" w:hAnsi="宋体" w:eastAsia="宋体"/>
          <w:sz w:val="24"/>
        </w:rPr>
      </w:pPr>
      <w:r>
        <w:rPr>
          <w:rFonts w:ascii="宋体" w:hAnsi="宋体" w:eastAsia="宋体"/>
          <w:sz w:val="24"/>
        </w:rPr>
        <w:t>4.未被列入失信被执行人、重大税收违法案件当事人名单，未被列入政府采购严重违法失信行为记录名单。</w:t>
      </w:r>
    </w:p>
    <w:p w14:paraId="0255A8E3">
      <w:pPr>
        <w:spacing w:line="360" w:lineRule="auto"/>
        <w:rPr>
          <w:rFonts w:ascii="宋体" w:hAnsi="宋体" w:eastAsia="宋体"/>
          <w:sz w:val="24"/>
        </w:rPr>
      </w:pPr>
      <w:r>
        <w:rPr>
          <w:rFonts w:ascii="宋体" w:hAnsi="宋体" w:eastAsia="宋体"/>
          <w:sz w:val="24"/>
        </w:rPr>
        <w:t>5.落实政府采购政策需满足的资格要求：</w:t>
      </w:r>
      <w:r>
        <w:rPr>
          <w:rFonts w:ascii="宋体" w:hAnsi="宋体" w:eastAsia="宋体"/>
          <w:sz w:val="24"/>
          <w:highlight w:val="yellow"/>
        </w:rPr>
        <w:t>本项目专门面向中小企业，</w:t>
      </w:r>
      <w:r>
        <w:rPr>
          <w:rFonts w:hint="eastAsia" w:ascii="宋体" w:hAnsi="宋体" w:eastAsia="宋体"/>
          <w:sz w:val="24"/>
          <w:highlight w:val="yellow"/>
        </w:rPr>
        <w:t>投标人</w:t>
      </w:r>
      <w:r>
        <w:rPr>
          <w:rFonts w:ascii="宋体" w:hAnsi="宋体" w:eastAsia="宋体"/>
          <w:sz w:val="24"/>
          <w:highlight w:val="yellow"/>
        </w:rPr>
        <w:t>应提供《中小企业声明函》，否则将视为无效</w:t>
      </w:r>
      <w:r>
        <w:rPr>
          <w:rFonts w:hint="eastAsia" w:ascii="宋体" w:hAnsi="宋体" w:eastAsia="宋体"/>
          <w:sz w:val="24"/>
          <w:highlight w:val="yellow"/>
        </w:rPr>
        <w:t>投标</w:t>
      </w:r>
      <w:r>
        <w:rPr>
          <w:rFonts w:ascii="宋体" w:hAnsi="宋体" w:eastAsia="宋体"/>
          <w:sz w:val="24"/>
          <w:highlight w:val="yellow"/>
        </w:rPr>
        <w:t>文件。本招标文件所称“中小企业”详见《政府采购促进中小企业发展管理办法》第二条。</w:t>
      </w:r>
    </w:p>
    <w:p w14:paraId="056F98BD">
      <w:pPr>
        <w:spacing w:line="360" w:lineRule="auto"/>
        <w:outlineLvl w:val="0"/>
        <w:rPr>
          <w:rFonts w:ascii="宋体" w:hAnsi="宋体" w:eastAsia="宋体"/>
          <w:sz w:val="24"/>
        </w:rPr>
      </w:pPr>
      <w:r>
        <w:rPr>
          <w:rFonts w:ascii="宋体" w:hAnsi="宋体" w:eastAsia="宋体"/>
          <w:sz w:val="24"/>
        </w:rPr>
        <w:t>6.本项目的特定资格要求：</w:t>
      </w:r>
    </w:p>
    <w:p w14:paraId="791427B2">
      <w:pPr>
        <w:spacing w:line="360" w:lineRule="auto"/>
        <w:outlineLvl w:val="1"/>
        <w:rPr>
          <w:rFonts w:ascii="宋体" w:hAnsi="宋体" w:eastAsia="宋体"/>
          <w:sz w:val="24"/>
        </w:rPr>
      </w:pPr>
      <w:r>
        <w:rPr>
          <w:rFonts w:hint="eastAsia" w:ascii="宋体" w:hAnsi="宋体" w:eastAsia="宋体"/>
          <w:sz w:val="24"/>
        </w:rPr>
        <w:t>（</w:t>
      </w:r>
      <w:r>
        <w:rPr>
          <w:rFonts w:ascii="宋体" w:hAnsi="宋体" w:eastAsia="宋体"/>
          <w:sz w:val="24"/>
        </w:rPr>
        <w:t>1）…；</w:t>
      </w:r>
    </w:p>
    <w:p w14:paraId="0601C0D8">
      <w:pPr>
        <w:spacing w:line="360" w:lineRule="auto"/>
        <w:rPr>
          <w:rFonts w:ascii="宋体" w:hAnsi="宋体" w:eastAsia="宋体"/>
          <w:sz w:val="24"/>
        </w:rPr>
      </w:pPr>
      <w:r>
        <w:rPr>
          <w:rFonts w:hint="eastAsia" w:ascii="宋体" w:hAnsi="宋体" w:eastAsia="宋体"/>
          <w:sz w:val="24"/>
        </w:rPr>
        <w:t>（</w:t>
      </w:r>
      <w:r>
        <w:rPr>
          <w:rFonts w:ascii="宋体" w:hAnsi="宋体" w:eastAsia="宋体"/>
          <w:sz w:val="24"/>
        </w:rPr>
        <w:t>2）投标人在“信用中国”网站（www.creditchina.gov.cn）无不良记录及失信记录且在中国政府采购网（www.ccgp.gov.cn）无严重违法失信行为信息记录(查询截止时点:以投标截止当日查询结果为准)。</w:t>
      </w:r>
    </w:p>
    <w:p w14:paraId="0B4821E8">
      <w:pPr>
        <w:spacing w:line="360" w:lineRule="auto"/>
        <w:rPr>
          <w:rFonts w:ascii="宋体" w:hAnsi="宋体" w:eastAsia="宋体"/>
          <w:sz w:val="24"/>
        </w:rPr>
      </w:pPr>
    </w:p>
    <w:p w14:paraId="659DB3C1">
      <w:pPr>
        <w:widowControl/>
        <w:jc w:val="left"/>
        <w:rPr>
          <w:rFonts w:ascii="宋体" w:hAnsi="宋体" w:eastAsia="宋体"/>
          <w:sz w:val="24"/>
        </w:rPr>
      </w:pPr>
      <w:r>
        <w:rPr>
          <w:rFonts w:ascii="宋体" w:hAnsi="宋体" w:eastAsia="宋体"/>
          <w:sz w:val="24"/>
        </w:rPr>
        <w:br w:type="page"/>
      </w:r>
    </w:p>
    <w:p w14:paraId="0C108948">
      <w:pPr>
        <w:spacing w:line="360" w:lineRule="auto"/>
        <w:jc w:val="center"/>
        <w:rPr>
          <w:rFonts w:ascii="宋体" w:hAnsi="宋体" w:eastAsia="宋体"/>
          <w:b/>
          <w:sz w:val="32"/>
        </w:rPr>
      </w:pPr>
      <w:r>
        <w:rPr>
          <w:rFonts w:hint="eastAsia" w:ascii="宋体" w:hAnsi="宋体" w:eastAsia="宋体"/>
          <w:b/>
          <w:sz w:val="28"/>
        </w:rPr>
        <w:t>采购需求</w:t>
      </w:r>
    </w:p>
    <w:p w14:paraId="19285533">
      <w:pPr>
        <w:spacing w:line="360" w:lineRule="auto"/>
        <w:outlineLvl w:val="2"/>
        <w:rPr>
          <w:rFonts w:ascii="宋体" w:hAnsi="宋体" w:eastAsia="宋体"/>
          <w:b/>
          <w:sz w:val="24"/>
        </w:rPr>
      </w:pPr>
      <w:r>
        <w:rPr>
          <w:rFonts w:hint="eastAsia" w:ascii="宋体" w:hAnsi="宋体" w:eastAsia="宋体"/>
          <w:b/>
          <w:sz w:val="24"/>
        </w:rPr>
        <w:t>一、项目基本概况</w:t>
      </w:r>
    </w:p>
    <w:p w14:paraId="643CA0C2">
      <w:pPr>
        <w:spacing w:line="360" w:lineRule="auto"/>
        <w:ind w:firstLine="480"/>
        <w:rPr>
          <w:rFonts w:ascii="宋体" w:hAnsi="宋体" w:eastAsia="宋体"/>
          <w:sz w:val="24"/>
        </w:rPr>
      </w:pPr>
      <w:r>
        <w:rPr>
          <w:rFonts w:hint="eastAsia" w:ascii="宋体" w:hAnsi="宋体" w:eastAsia="宋体"/>
          <w:sz w:val="24"/>
        </w:rPr>
        <w:t>1、项目名称：实验室和智能采集信息管理系统</w:t>
      </w:r>
      <w:r>
        <w:rPr>
          <w:rFonts w:hint="eastAsia" w:ascii="宋体" w:hAnsi="宋体" w:eastAsia="宋体"/>
          <w:sz w:val="24"/>
          <w:lang w:eastAsia="zh-CN"/>
        </w:rPr>
        <w:t>（</w:t>
      </w:r>
      <w:r>
        <w:rPr>
          <w:rFonts w:hint="eastAsia" w:ascii="宋体" w:hAnsi="宋体" w:eastAsia="宋体"/>
          <w:sz w:val="24"/>
          <w:lang w:val="en-US" w:eastAsia="zh-CN"/>
        </w:rPr>
        <w:t>LIS</w:t>
      </w:r>
      <w:r>
        <w:rPr>
          <w:rFonts w:hint="eastAsia" w:ascii="宋体" w:hAnsi="宋体" w:eastAsia="宋体"/>
          <w:sz w:val="24"/>
          <w:lang w:eastAsia="zh-CN"/>
        </w:rPr>
        <w:t>）</w:t>
      </w:r>
      <w:r>
        <w:rPr>
          <w:rFonts w:hint="eastAsia" w:ascii="宋体" w:hAnsi="宋体" w:eastAsia="宋体"/>
          <w:sz w:val="24"/>
        </w:rPr>
        <w:t>运维服务</w:t>
      </w:r>
    </w:p>
    <w:p w14:paraId="480E5449">
      <w:pPr>
        <w:spacing w:line="360" w:lineRule="auto"/>
        <w:ind w:firstLine="480"/>
        <w:rPr>
          <w:rFonts w:hint="eastAsia" w:ascii="宋体" w:hAnsi="宋体" w:eastAsia="宋体"/>
          <w:sz w:val="24"/>
          <w:lang w:val="en-US" w:eastAsia="zh-CN"/>
        </w:rPr>
      </w:pPr>
      <w:r>
        <w:rPr>
          <w:rFonts w:hint="eastAsia" w:ascii="宋体" w:hAnsi="宋体" w:eastAsia="宋体"/>
          <w:sz w:val="24"/>
        </w:rPr>
        <w:t>2、预算金额（最高限价）：13.5</w:t>
      </w:r>
      <w:r>
        <w:rPr>
          <w:rFonts w:hint="eastAsia" w:ascii="宋体" w:hAnsi="宋体" w:eastAsia="宋体"/>
          <w:sz w:val="24"/>
          <w:lang w:val="en-US" w:eastAsia="zh-CN"/>
        </w:rPr>
        <w:t>万元</w:t>
      </w:r>
    </w:p>
    <w:p w14:paraId="48FF01C0">
      <w:pPr>
        <w:spacing w:line="360" w:lineRule="auto"/>
        <w:ind w:firstLine="480"/>
        <w:rPr>
          <w:rFonts w:hint="default" w:ascii="宋体" w:hAnsi="宋体" w:eastAsia="宋体"/>
          <w:sz w:val="24"/>
          <w:lang w:val="en-US" w:eastAsia="zh-CN"/>
        </w:rPr>
      </w:pPr>
      <w:r>
        <w:rPr>
          <w:rFonts w:hint="eastAsia" w:ascii="宋体" w:hAnsi="宋体" w:eastAsia="宋体"/>
          <w:sz w:val="24"/>
        </w:rPr>
        <w:t>3、项目实施地：</w:t>
      </w:r>
      <w:r>
        <w:rPr>
          <w:rFonts w:hint="eastAsia" w:ascii="宋体" w:hAnsi="宋体" w:eastAsia="宋体"/>
          <w:sz w:val="24"/>
          <w:lang w:val="en-US" w:eastAsia="zh-CN"/>
        </w:rPr>
        <w:t>武汉市肺科医院</w:t>
      </w:r>
    </w:p>
    <w:p w14:paraId="179B9734">
      <w:pPr>
        <w:spacing w:line="360" w:lineRule="auto"/>
        <w:ind w:firstLine="480"/>
        <w:rPr>
          <w:rFonts w:hint="eastAsia" w:ascii="宋体" w:hAnsi="宋体" w:eastAsia="宋体"/>
          <w:sz w:val="24"/>
          <w:lang w:eastAsia="zh-CN"/>
        </w:rPr>
      </w:pPr>
      <w:r>
        <w:rPr>
          <w:rFonts w:hint="eastAsia" w:ascii="宋体" w:hAnsi="宋体" w:eastAsia="宋体"/>
          <w:sz w:val="24"/>
        </w:rPr>
        <w:t>4、项目背景/项目目标：武汉市肺科医院</w:t>
      </w:r>
      <w:r>
        <w:rPr>
          <w:rFonts w:hint="eastAsia" w:ascii="宋体" w:hAnsi="宋体" w:eastAsia="宋体"/>
          <w:sz w:val="24"/>
          <w:lang w:val="en-US" w:eastAsia="zh-CN"/>
        </w:rPr>
        <w:t>目前在用</w:t>
      </w:r>
      <w:r>
        <w:rPr>
          <w:rFonts w:hint="eastAsia" w:ascii="宋体" w:hAnsi="宋体" w:eastAsia="宋体"/>
          <w:sz w:val="24"/>
        </w:rPr>
        <w:t>实验室和智能采集信息管理系统</w:t>
      </w:r>
      <w:r>
        <w:rPr>
          <w:rFonts w:hint="eastAsia" w:ascii="宋体" w:hAnsi="宋体" w:eastAsia="宋体"/>
          <w:sz w:val="24"/>
          <w:lang w:eastAsia="zh-CN"/>
        </w:rPr>
        <w:t>（</w:t>
      </w:r>
      <w:r>
        <w:rPr>
          <w:rFonts w:hint="eastAsia" w:ascii="宋体" w:hAnsi="宋体" w:eastAsia="宋体"/>
          <w:sz w:val="24"/>
          <w:lang w:val="en-US" w:eastAsia="zh-CN"/>
        </w:rPr>
        <w:t>以下简称LIS系统</w:t>
      </w:r>
      <w:r>
        <w:rPr>
          <w:rFonts w:hint="eastAsia" w:ascii="宋体" w:hAnsi="宋体" w:eastAsia="宋体"/>
          <w:sz w:val="24"/>
          <w:lang w:eastAsia="zh-CN"/>
        </w:rPr>
        <w:t>）</w:t>
      </w:r>
      <w:r>
        <w:rPr>
          <w:rFonts w:hint="eastAsia" w:ascii="宋体" w:hAnsi="宋体" w:eastAsia="宋体"/>
          <w:sz w:val="24"/>
          <w:lang w:val="en-US" w:eastAsia="zh-CN"/>
        </w:rPr>
        <w:t>为武汉华莱信软件有限公司出品的医学检验信息管理系统V2009</w:t>
      </w:r>
      <w:r>
        <w:rPr>
          <w:rFonts w:hint="eastAsia" w:ascii="宋体" w:hAnsi="宋体" w:eastAsia="宋体"/>
          <w:sz w:val="24"/>
          <w:lang w:eastAsia="zh-CN"/>
        </w:rPr>
        <w:t>。</w:t>
      </w:r>
      <w:r>
        <w:rPr>
          <w:rFonts w:hint="eastAsia" w:ascii="宋体" w:hAnsi="宋体" w:eastAsia="宋体"/>
          <w:sz w:val="24"/>
        </w:rPr>
        <w:t>为了保证</w:t>
      </w:r>
      <w:r>
        <w:rPr>
          <w:rFonts w:hint="eastAsia" w:ascii="宋体" w:hAnsi="宋体" w:eastAsia="宋体"/>
          <w:sz w:val="24"/>
          <w:lang w:val="en-US" w:eastAsia="zh-CN"/>
        </w:rPr>
        <w:t>LIS系统</w:t>
      </w:r>
      <w:r>
        <w:rPr>
          <w:rFonts w:hint="eastAsia" w:ascii="宋体" w:hAnsi="宋体" w:eastAsia="宋体"/>
          <w:sz w:val="24"/>
        </w:rPr>
        <w:t>的稳定运行，通过</w:t>
      </w:r>
      <w:r>
        <w:rPr>
          <w:rFonts w:hint="eastAsia" w:ascii="宋体" w:hAnsi="宋体" w:eastAsia="宋体"/>
          <w:sz w:val="24"/>
          <w:lang w:val="en-US" w:eastAsia="zh-CN"/>
        </w:rPr>
        <w:t>采购LIS系统</w:t>
      </w:r>
      <w:r>
        <w:rPr>
          <w:rFonts w:hint="eastAsia" w:ascii="宋体" w:hAnsi="宋体" w:eastAsia="宋体"/>
          <w:sz w:val="24"/>
        </w:rPr>
        <w:t>运维服务</w:t>
      </w:r>
      <w:r>
        <w:rPr>
          <w:rFonts w:hint="eastAsia" w:ascii="宋体" w:hAnsi="宋体" w:eastAsia="宋体"/>
          <w:sz w:val="24"/>
          <w:lang w:val="en-US" w:eastAsia="zh-CN"/>
        </w:rPr>
        <w:t>，获取有效技术保障与实施服务，以</w:t>
      </w:r>
      <w:r>
        <w:rPr>
          <w:rFonts w:hint="eastAsia" w:ascii="宋体" w:hAnsi="宋体" w:eastAsia="宋体"/>
          <w:sz w:val="24"/>
        </w:rPr>
        <w:t>保障基础业务系统的稳定运行</w:t>
      </w:r>
      <w:r>
        <w:rPr>
          <w:rFonts w:hint="eastAsia" w:ascii="宋体" w:hAnsi="宋体" w:eastAsia="宋体"/>
          <w:sz w:val="24"/>
          <w:lang w:eastAsia="zh-CN"/>
        </w:rPr>
        <w:t>，</w:t>
      </w:r>
      <w:r>
        <w:rPr>
          <w:rFonts w:hint="eastAsia" w:ascii="宋体" w:hAnsi="宋体" w:eastAsia="宋体"/>
          <w:sz w:val="24"/>
          <w:lang w:val="en-US" w:eastAsia="zh-CN"/>
        </w:rPr>
        <w:t>满足业务与管理科室工作需要</w:t>
      </w:r>
      <w:r>
        <w:rPr>
          <w:rFonts w:hint="eastAsia" w:ascii="宋体" w:hAnsi="宋体" w:eastAsia="宋体"/>
          <w:sz w:val="24"/>
          <w:lang w:eastAsia="zh-CN"/>
        </w:rPr>
        <w:t>。</w:t>
      </w:r>
    </w:p>
    <w:p w14:paraId="60D1498B">
      <w:pPr>
        <w:spacing w:line="360" w:lineRule="auto"/>
        <w:rPr>
          <w:rFonts w:hint="eastAsia" w:ascii="宋体" w:hAnsi="宋体" w:eastAsia="宋体"/>
          <w:sz w:val="24"/>
        </w:rPr>
      </w:pPr>
    </w:p>
    <w:p w14:paraId="2C2CD42D">
      <w:pPr>
        <w:spacing w:line="360" w:lineRule="auto"/>
        <w:outlineLvl w:val="2"/>
        <w:rPr>
          <w:rFonts w:ascii="宋体" w:hAnsi="宋体" w:eastAsia="宋体"/>
          <w:b/>
          <w:sz w:val="24"/>
        </w:rPr>
      </w:pPr>
      <w:r>
        <w:rPr>
          <w:rFonts w:hint="eastAsia" w:ascii="宋体" w:hAnsi="宋体" w:eastAsia="宋体"/>
          <w:b/>
          <w:sz w:val="24"/>
        </w:rPr>
        <w:t>二、项目服务内容</w:t>
      </w:r>
    </w:p>
    <w:p w14:paraId="19BB2176">
      <w:pPr>
        <w:spacing w:line="360" w:lineRule="auto"/>
        <w:ind w:firstLine="480"/>
        <w:rPr>
          <w:rFonts w:hint="eastAsia" w:ascii="宋体" w:hAnsi="宋体" w:eastAsia="宋体"/>
          <w:sz w:val="24"/>
          <w:lang w:val="en-US" w:eastAsia="zh-CN"/>
        </w:rPr>
      </w:pPr>
      <w:r>
        <w:rPr>
          <w:rFonts w:hint="eastAsia" w:ascii="宋体" w:hAnsi="宋体" w:eastAsia="宋体"/>
          <w:sz w:val="24"/>
        </w:rPr>
        <w:t>1、投标人需</w:t>
      </w:r>
      <w:r>
        <w:rPr>
          <w:rFonts w:hint="eastAsia" w:ascii="宋体" w:hAnsi="宋体" w:eastAsia="宋体"/>
          <w:sz w:val="24"/>
          <w:lang w:val="en-US" w:eastAsia="zh-CN"/>
        </w:rPr>
        <w:t>在运维服务期内，提供LIS系统有效技术保障与实施服务。</w:t>
      </w:r>
    </w:p>
    <w:p w14:paraId="3A2EEC32">
      <w:pPr>
        <w:spacing w:line="360" w:lineRule="auto"/>
        <w:ind w:firstLine="480"/>
        <w:rPr>
          <w:rFonts w:hint="eastAsia" w:ascii="宋体" w:hAnsi="宋体" w:eastAsia="宋体"/>
          <w:sz w:val="24"/>
          <w:lang w:val="en-US" w:eastAsia="zh-CN"/>
        </w:rPr>
      </w:pPr>
      <w:r>
        <w:rPr>
          <w:rFonts w:hint="eastAsia" w:ascii="宋体" w:hAnsi="宋体" w:eastAsia="宋体"/>
          <w:sz w:val="24"/>
          <w:lang w:val="en-US" w:eastAsia="zh-CN"/>
        </w:rPr>
        <w:t>2、</w:t>
      </w:r>
      <w:r>
        <w:rPr>
          <w:rFonts w:hint="eastAsia" w:ascii="宋体" w:hAnsi="宋体" w:eastAsia="宋体"/>
          <w:sz w:val="24"/>
        </w:rPr>
        <w:t>投标人需</w:t>
      </w:r>
      <w:r>
        <w:rPr>
          <w:rFonts w:hint="eastAsia" w:ascii="宋体" w:hAnsi="宋体" w:eastAsia="宋体"/>
          <w:sz w:val="24"/>
          <w:lang w:val="en-US" w:eastAsia="zh-CN"/>
        </w:rPr>
        <w:t>在运维服务生效后，提供LIS系统国家传染病数据上报相关视图。</w:t>
      </w:r>
    </w:p>
    <w:p w14:paraId="418331A4">
      <w:pPr>
        <w:spacing w:line="360" w:lineRule="auto"/>
        <w:rPr>
          <w:rFonts w:hint="eastAsia" w:ascii="宋体" w:hAnsi="宋体" w:eastAsia="宋体"/>
          <w:sz w:val="24"/>
        </w:rPr>
      </w:pPr>
    </w:p>
    <w:p w14:paraId="3DDD6BCE">
      <w:pPr>
        <w:spacing w:line="360" w:lineRule="auto"/>
        <w:outlineLvl w:val="2"/>
        <w:rPr>
          <w:rFonts w:ascii="宋体" w:hAnsi="宋体" w:eastAsia="宋体"/>
          <w:b/>
          <w:sz w:val="24"/>
        </w:rPr>
      </w:pPr>
      <w:r>
        <w:rPr>
          <w:rFonts w:hint="eastAsia" w:ascii="宋体" w:hAnsi="宋体" w:eastAsia="宋体"/>
          <w:b/>
          <w:sz w:val="24"/>
        </w:rPr>
        <w:t>三、技术要求</w:t>
      </w:r>
    </w:p>
    <w:p w14:paraId="2CA72098">
      <w:pPr>
        <w:spacing w:line="360" w:lineRule="auto"/>
        <w:ind w:firstLine="480"/>
        <w:rPr>
          <w:rFonts w:hint="eastAsia" w:ascii="宋体" w:hAnsi="宋体" w:eastAsia="宋体"/>
          <w:sz w:val="24"/>
          <w:lang w:val="en-US" w:eastAsia="zh-CN"/>
        </w:rPr>
      </w:pPr>
      <w:r>
        <w:rPr>
          <w:rFonts w:hint="eastAsia" w:ascii="宋体" w:hAnsi="宋体" w:eastAsia="宋体"/>
          <w:sz w:val="24"/>
        </w:rPr>
        <w:t>1、投标人需</w:t>
      </w:r>
      <w:r>
        <w:rPr>
          <w:rFonts w:hint="eastAsia" w:ascii="宋体" w:hAnsi="宋体" w:eastAsia="宋体"/>
          <w:sz w:val="24"/>
          <w:lang w:val="en-US" w:eastAsia="zh-CN"/>
        </w:rPr>
        <w:t>在运维服务期内，按如下要求提供LIS系统技术与实施服务。</w:t>
      </w:r>
    </w:p>
    <w:tbl>
      <w:tblPr>
        <w:tblStyle w:val="13"/>
        <w:tblW w:w="83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93"/>
        <w:gridCol w:w="6323"/>
        <w:gridCol w:w="1491"/>
      </w:tblGrid>
      <w:tr w14:paraId="597F3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493" w:type="dxa"/>
            <w:vAlign w:val="top"/>
          </w:tcPr>
          <w:p w14:paraId="11BB8EA6">
            <w:pPr>
              <w:pStyle w:val="12"/>
              <w:spacing w:before="119" w:line="219" w:lineRule="auto"/>
              <w:ind w:left="0" w:leftChars="0" w:firstLine="0" w:firstLineChars="0"/>
              <w:jc w:val="center"/>
              <w:rPr>
                <w:rFonts w:hint="eastAsia" w:ascii="宋体" w:hAnsi="宋体" w:eastAsia="宋体" w:cs="宋体"/>
                <w:b/>
                <w:bCs/>
                <w:sz w:val="21"/>
                <w:szCs w:val="21"/>
              </w:rPr>
            </w:pPr>
            <w:r>
              <w:rPr>
                <w:rFonts w:hint="eastAsia" w:ascii="宋体" w:hAnsi="宋体" w:eastAsia="宋体" w:cs="宋体"/>
                <w:b/>
                <w:bCs/>
                <w:spacing w:val="-3"/>
                <w:sz w:val="21"/>
                <w:szCs w:val="21"/>
              </w:rPr>
              <w:t>支持服务</w:t>
            </w:r>
          </w:p>
        </w:tc>
        <w:tc>
          <w:tcPr>
            <w:tcW w:w="6323" w:type="dxa"/>
            <w:vAlign w:val="top"/>
          </w:tcPr>
          <w:p w14:paraId="122DB7FC">
            <w:pPr>
              <w:pStyle w:val="12"/>
              <w:spacing w:before="119" w:line="219" w:lineRule="auto"/>
              <w:jc w:val="center"/>
              <w:rPr>
                <w:rFonts w:hint="eastAsia" w:ascii="宋体" w:hAnsi="宋体" w:eastAsia="宋体" w:cs="宋体"/>
                <w:b/>
                <w:bCs/>
                <w:sz w:val="21"/>
                <w:szCs w:val="21"/>
              </w:rPr>
            </w:pPr>
            <w:r>
              <w:rPr>
                <w:rFonts w:hint="eastAsia" w:ascii="宋体" w:hAnsi="宋体" w:eastAsia="宋体" w:cs="宋体"/>
                <w:b/>
                <w:bCs/>
                <w:spacing w:val="-4"/>
                <w:sz w:val="21"/>
                <w:szCs w:val="21"/>
              </w:rPr>
              <w:t>详细说明</w:t>
            </w:r>
          </w:p>
        </w:tc>
        <w:tc>
          <w:tcPr>
            <w:tcW w:w="1491" w:type="dxa"/>
            <w:vAlign w:val="top"/>
          </w:tcPr>
          <w:p w14:paraId="5E4BE6BD">
            <w:pPr>
              <w:pStyle w:val="12"/>
              <w:spacing w:before="119" w:line="219" w:lineRule="auto"/>
              <w:jc w:val="center"/>
              <w:rPr>
                <w:rFonts w:hint="eastAsia" w:ascii="宋体" w:hAnsi="宋体" w:eastAsia="宋体" w:cs="宋体"/>
                <w:b/>
                <w:bCs/>
                <w:sz w:val="21"/>
                <w:szCs w:val="21"/>
              </w:rPr>
            </w:pPr>
            <w:r>
              <w:rPr>
                <w:rFonts w:hint="eastAsia" w:ascii="宋体" w:hAnsi="宋体" w:eastAsia="宋体" w:cs="宋体"/>
                <w:b/>
                <w:bCs/>
                <w:spacing w:val="-3"/>
                <w:sz w:val="21"/>
                <w:szCs w:val="21"/>
              </w:rPr>
              <w:t>交付物/资料</w:t>
            </w:r>
          </w:p>
        </w:tc>
      </w:tr>
      <w:tr w14:paraId="09143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493" w:type="dxa"/>
            <w:shd w:val="clear" w:color="auto" w:fill="auto"/>
            <w:vAlign w:val="center"/>
          </w:tcPr>
          <w:p w14:paraId="7FEA6ABA">
            <w:pPr>
              <w:pStyle w:val="12"/>
              <w:spacing w:before="119" w:line="313" w:lineRule="auto"/>
              <w:ind w:left="0" w:leftChars="0" w:right="54" w:rightChars="0" w:firstLine="0" w:firstLineChars="0"/>
              <w:jc w:val="center"/>
              <w:rPr>
                <w:rFonts w:hint="eastAsia" w:ascii="宋体" w:hAnsi="宋体" w:eastAsia="宋体" w:cs="宋体"/>
                <w:kern w:val="2"/>
                <w:sz w:val="21"/>
                <w:szCs w:val="21"/>
                <w:lang w:val="en-US" w:eastAsia="en-US" w:bidi="ar-SA"/>
              </w:rPr>
            </w:pPr>
            <w:r>
              <w:rPr>
                <w:rFonts w:hint="eastAsia" w:ascii="宋体" w:hAnsi="宋体" w:eastAsia="宋体" w:cs="宋体"/>
                <w:spacing w:val="-4"/>
                <w:sz w:val="21"/>
                <w:szCs w:val="21"/>
                <w:lang w:val="en-US" w:eastAsia="zh-CN"/>
              </w:rPr>
              <w:t>服务</w:t>
            </w:r>
            <w:r>
              <w:rPr>
                <w:rFonts w:hint="eastAsia" w:ascii="宋体" w:hAnsi="宋体" w:eastAsia="宋体" w:cs="宋体"/>
                <w:spacing w:val="-4"/>
                <w:sz w:val="21"/>
                <w:szCs w:val="21"/>
              </w:rPr>
              <w:t>工作</w:t>
            </w:r>
            <w:r>
              <w:rPr>
                <w:rFonts w:hint="eastAsia" w:ascii="宋体" w:hAnsi="宋体" w:eastAsia="宋体" w:cs="宋体"/>
                <w:spacing w:val="-8"/>
                <w:sz w:val="21"/>
                <w:szCs w:val="21"/>
              </w:rPr>
              <w:t>范围</w:t>
            </w:r>
          </w:p>
        </w:tc>
        <w:tc>
          <w:tcPr>
            <w:tcW w:w="6323" w:type="dxa"/>
            <w:shd w:val="clear" w:color="auto" w:fill="auto"/>
            <w:vAlign w:val="top"/>
          </w:tcPr>
          <w:p w14:paraId="3D662A96">
            <w:pPr>
              <w:pStyle w:val="12"/>
              <w:spacing w:before="119" w:line="313" w:lineRule="auto"/>
              <w:ind w:left="113" w:leftChars="0" w:right="104" w:rightChars="0"/>
              <w:jc w:val="both"/>
              <w:rPr>
                <w:rFonts w:hint="eastAsia" w:ascii="宋体" w:hAnsi="宋体" w:eastAsia="宋体" w:cs="宋体"/>
                <w:kern w:val="2"/>
                <w:sz w:val="21"/>
                <w:szCs w:val="21"/>
                <w:lang w:val="en-US" w:eastAsia="en-US" w:bidi="ar-SA"/>
              </w:rPr>
            </w:pPr>
            <w:r>
              <w:rPr>
                <w:rFonts w:hint="eastAsia" w:ascii="宋体" w:hAnsi="宋体" w:eastAsia="宋体" w:cs="宋体"/>
                <w:spacing w:val="-2"/>
                <w:sz w:val="21"/>
                <w:szCs w:val="21"/>
                <w:lang w:val="en-US" w:eastAsia="zh-CN"/>
              </w:rPr>
              <w:t>调研梳理确认采购人运维服务需求，</w:t>
            </w:r>
            <w:r>
              <w:rPr>
                <w:rFonts w:hint="eastAsia" w:ascii="宋体" w:hAnsi="宋体" w:eastAsia="宋体" w:cs="宋体"/>
                <w:spacing w:val="-2"/>
                <w:sz w:val="21"/>
                <w:szCs w:val="21"/>
              </w:rPr>
              <w:t>提供</w:t>
            </w:r>
            <w:r>
              <w:rPr>
                <w:rFonts w:hint="eastAsia" w:ascii="宋体" w:hAnsi="宋体" w:eastAsia="宋体" w:cs="宋体"/>
                <w:spacing w:val="-2"/>
                <w:sz w:val="21"/>
                <w:szCs w:val="21"/>
                <w:lang w:val="en-US" w:eastAsia="zh-CN"/>
              </w:rPr>
              <w:t>对应</w:t>
            </w:r>
            <w:r>
              <w:rPr>
                <w:rFonts w:hint="eastAsia" w:ascii="宋体" w:hAnsi="宋体" w:eastAsia="宋体" w:cs="宋体"/>
                <w:spacing w:val="-2"/>
                <w:sz w:val="21"/>
                <w:szCs w:val="21"/>
              </w:rPr>
              <w:t>服务</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rPr>
              <w:t>包括</w:t>
            </w:r>
            <w:r>
              <w:rPr>
                <w:rFonts w:hint="eastAsia" w:ascii="宋体" w:hAnsi="宋体" w:eastAsia="宋体" w:cs="宋体"/>
                <w:spacing w:val="-2"/>
                <w:sz w:val="21"/>
                <w:szCs w:val="21"/>
                <w:lang w:val="en-US" w:eastAsia="zh-CN"/>
              </w:rPr>
              <w:t>但不限于</w:t>
            </w:r>
            <w:r>
              <w:rPr>
                <w:rFonts w:hint="eastAsia" w:ascii="宋体" w:hAnsi="宋体" w:eastAsia="宋体" w:cs="宋体"/>
                <w:spacing w:val="-2"/>
                <w:sz w:val="21"/>
                <w:szCs w:val="21"/>
              </w:rPr>
              <w:t>：生产环境</w:t>
            </w:r>
            <w:r>
              <w:rPr>
                <w:rFonts w:hint="eastAsia" w:ascii="宋体" w:hAnsi="宋体" w:eastAsia="宋体" w:cs="宋体"/>
                <w:spacing w:val="-44"/>
                <w:sz w:val="21"/>
                <w:szCs w:val="21"/>
              </w:rPr>
              <w:t xml:space="preserve"> </w:t>
            </w:r>
            <w:r>
              <w:rPr>
                <w:rFonts w:hint="eastAsia" w:ascii="宋体" w:hAnsi="宋体" w:eastAsia="宋体" w:cs="宋体"/>
                <w:spacing w:val="-2"/>
                <w:sz w:val="21"/>
                <w:szCs w:val="21"/>
              </w:rPr>
              <w:t>bug</w:t>
            </w:r>
            <w:r>
              <w:rPr>
                <w:rFonts w:hint="eastAsia" w:ascii="宋体" w:hAnsi="宋体" w:eastAsia="宋体" w:cs="宋体"/>
                <w:spacing w:val="-5"/>
                <w:sz w:val="21"/>
                <w:szCs w:val="21"/>
              </w:rPr>
              <w:t>解决、接口排错及优化、技术支持咨询、系统业</w:t>
            </w:r>
            <w:r>
              <w:rPr>
                <w:rFonts w:hint="eastAsia" w:ascii="宋体" w:hAnsi="宋体" w:eastAsia="宋体" w:cs="宋体"/>
                <w:spacing w:val="-6"/>
                <w:sz w:val="21"/>
                <w:szCs w:val="21"/>
              </w:rPr>
              <w:t>务流程闭环梳理等</w:t>
            </w:r>
            <w:r>
              <w:rPr>
                <w:rFonts w:hint="eastAsia" w:ascii="宋体" w:hAnsi="宋体" w:eastAsia="宋体" w:cs="宋体"/>
                <w:spacing w:val="-2"/>
                <w:sz w:val="21"/>
                <w:szCs w:val="21"/>
                <w:lang w:eastAsia="zh-CN"/>
              </w:rPr>
              <w:t>，</w:t>
            </w:r>
            <w:r>
              <w:rPr>
                <w:rFonts w:hint="eastAsia" w:ascii="宋体" w:hAnsi="宋体" w:eastAsia="宋体" w:cs="宋体"/>
                <w:spacing w:val="-2"/>
                <w:sz w:val="21"/>
                <w:szCs w:val="21"/>
                <w:lang w:val="en-US" w:eastAsia="zh-CN"/>
              </w:rPr>
              <w:t>确保采购人系统运行正常</w:t>
            </w:r>
            <w:r>
              <w:rPr>
                <w:rFonts w:hint="eastAsia" w:ascii="宋体" w:hAnsi="宋体" w:eastAsia="宋体" w:cs="宋体"/>
                <w:spacing w:val="-2"/>
                <w:sz w:val="21"/>
                <w:szCs w:val="21"/>
              </w:rPr>
              <w:t>。</w:t>
            </w:r>
          </w:p>
        </w:tc>
        <w:tc>
          <w:tcPr>
            <w:tcW w:w="1491" w:type="dxa"/>
            <w:shd w:val="clear" w:color="auto" w:fill="auto"/>
            <w:vAlign w:val="center"/>
          </w:tcPr>
          <w:p w14:paraId="57CA31FE">
            <w:pPr>
              <w:pStyle w:val="12"/>
              <w:spacing w:before="119" w:line="219" w:lineRule="auto"/>
              <w:ind w:left="116"/>
              <w:jc w:val="both"/>
              <w:rPr>
                <w:rFonts w:hint="eastAsia" w:ascii="宋体" w:hAnsi="宋体" w:eastAsia="宋体" w:cs="宋体"/>
                <w:sz w:val="21"/>
                <w:szCs w:val="21"/>
                <w:lang w:val="en-US" w:eastAsia="en-US"/>
              </w:rPr>
            </w:pPr>
            <w:r>
              <w:rPr>
                <w:rFonts w:hint="eastAsia" w:ascii="宋体" w:hAnsi="宋体" w:eastAsia="宋体" w:cs="宋体"/>
                <w:sz w:val="21"/>
                <w:szCs w:val="21"/>
              </w:rPr>
              <w:t>运维服务需求调研报告</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运维服务方案、</w:t>
            </w:r>
            <w:r>
              <w:rPr>
                <w:rFonts w:hint="eastAsia" w:ascii="宋体" w:hAnsi="宋体" w:eastAsia="宋体" w:cs="宋体"/>
                <w:sz w:val="21"/>
                <w:szCs w:val="21"/>
              </w:rPr>
              <w:t>运维报告</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故障事件处理报告等</w:t>
            </w:r>
          </w:p>
        </w:tc>
      </w:tr>
      <w:tr w14:paraId="432F41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 w:hRule="atLeast"/>
        </w:trPr>
        <w:tc>
          <w:tcPr>
            <w:tcW w:w="493" w:type="dxa"/>
            <w:vAlign w:val="center"/>
          </w:tcPr>
          <w:p w14:paraId="7830F6E4">
            <w:pPr>
              <w:pStyle w:val="12"/>
              <w:spacing w:before="115" w:line="219" w:lineRule="auto"/>
              <w:ind w:left="0" w:leftChars="0" w:firstLine="0" w:firstLineChars="0"/>
              <w:jc w:val="center"/>
              <w:rPr>
                <w:rFonts w:hint="eastAsia" w:ascii="宋体" w:hAnsi="宋体" w:eastAsia="宋体" w:cs="宋体"/>
                <w:sz w:val="21"/>
                <w:szCs w:val="21"/>
              </w:rPr>
            </w:pPr>
            <w:r>
              <w:rPr>
                <w:rFonts w:hint="eastAsia" w:ascii="宋体" w:hAnsi="宋体" w:eastAsia="宋体" w:cs="宋体"/>
                <w:spacing w:val="-4"/>
                <w:sz w:val="21"/>
                <w:szCs w:val="21"/>
              </w:rPr>
              <w:t>维护服务</w:t>
            </w:r>
          </w:p>
        </w:tc>
        <w:tc>
          <w:tcPr>
            <w:tcW w:w="6323" w:type="dxa"/>
            <w:vAlign w:val="top"/>
          </w:tcPr>
          <w:p w14:paraId="52802BBE">
            <w:pPr>
              <w:pStyle w:val="12"/>
              <w:spacing w:before="114" w:line="329" w:lineRule="auto"/>
              <w:ind w:left="114" w:right="104" w:firstLine="3"/>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提供7×24小时的在线服务支持，</w:t>
            </w:r>
            <w:r>
              <w:rPr>
                <w:rFonts w:hint="eastAsia" w:ascii="宋体" w:hAnsi="宋体" w:eastAsia="宋体" w:cs="宋体"/>
                <w:spacing w:val="-1"/>
                <w:sz w:val="21"/>
                <w:szCs w:val="21"/>
              </w:rPr>
              <w:t>维护服务工程师</w:t>
            </w:r>
            <w:r>
              <w:rPr>
                <w:rFonts w:hint="eastAsia" w:ascii="宋体" w:hAnsi="宋体" w:eastAsia="宋体" w:cs="宋体"/>
                <w:sz w:val="21"/>
                <w:szCs w:val="21"/>
                <w:lang w:val="en-US" w:eastAsia="zh-CN"/>
              </w:rPr>
              <w:t>对采购人的支持服务请求进行响应</w:t>
            </w:r>
            <w:r>
              <w:rPr>
                <w:rFonts w:hint="eastAsia" w:ascii="宋体" w:hAnsi="宋体" w:eastAsia="宋体" w:cs="宋体"/>
                <w:spacing w:val="-5"/>
                <w:sz w:val="21"/>
                <w:szCs w:val="21"/>
              </w:rPr>
              <w:t>，</w:t>
            </w:r>
            <w:r>
              <w:rPr>
                <w:rFonts w:hint="eastAsia" w:ascii="宋体" w:hAnsi="宋体" w:eastAsia="宋体" w:cs="宋体"/>
                <w:spacing w:val="-5"/>
                <w:sz w:val="21"/>
                <w:szCs w:val="21"/>
                <w:lang w:val="en-US" w:eastAsia="zh-CN"/>
              </w:rPr>
              <w:t>服务团队资源</w:t>
            </w:r>
            <w:r>
              <w:rPr>
                <w:rFonts w:hint="eastAsia" w:ascii="宋体" w:hAnsi="宋体" w:eastAsia="宋体" w:cs="宋体"/>
                <w:spacing w:val="-5"/>
                <w:sz w:val="21"/>
                <w:szCs w:val="21"/>
              </w:rPr>
              <w:t>能够在规定响</w:t>
            </w:r>
            <w:r>
              <w:rPr>
                <w:rFonts w:hint="eastAsia" w:ascii="宋体" w:hAnsi="宋体" w:eastAsia="宋体" w:cs="宋体"/>
                <w:spacing w:val="-1"/>
                <w:sz w:val="21"/>
                <w:szCs w:val="21"/>
              </w:rPr>
              <w:t>应时间内提供</w:t>
            </w:r>
            <w:r>
              <w:rPr>
                <w:rFonts w:hint="eastAsia" w:ascii="宋体" w:hAnsi="宋体" w:eastAsia="宋体" w:cs="宋体"/>
                <w:spacing w:val="-1"/>
                <w:sz w:val="21"/>
                <w:szCs w:val="21"/>
                <w:lang w:val="en-US" w:eastAsia="zh-CN"/>
              </w:rPr>
              <w:t>有效</w:t>
            </w:r>
            <w:r>
              <w:rPr>
                <w:rFonts w:hint="eastAsia" w:ascii="宋体" w:hAnsi="宋体" w:eastAsia="宋体" w:cs="宋体"/>
                <w:spacing w:val="-1"/>
                <w:sz w:val="21"/>
                <w:szCs w:val="21"/>
              </w:rPr>
              <w:t>技术支持服务</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服务级别目标（SLA）与量化指标达标</w:t>
            </w:r>
          </w:p>
        </w:tc>
        <w:tc>
          <w:tcPr>
            <w:tcW w:w="1491" w:type="dxa"/>
            <w:vAlign w:val="center"/>
          </w:tcPr>
          <w:p w14:paraId="456CDF0D">
            <w:pPr>
              <w:pStyle w:val="12"/>
              <w:spacing w:before="119" w:line="219" w:lineRule="auto"/>
              <w:ind w:left="116"/>
              <w:jc w:val="both"/>
              <w:rPr>
                <w:rFonts w:hint="eastAsia" w:ascii="宋体" w:hAnsi="宋体" w:eastAsia="宋体" w:cs="宋体"/>
                <w:sz w:val="21"/>
                <w:szCs w:val="21"/>
                <w:lang w:eastAsia="zh-CN"/>
              </w:rPr>
            </w:pPr>
            <w:r>
              <w:rPr>
                <w:rFonts w:hint="eastAsia" w:ascii="宋体" w:hAnsi="宋体" w:eastAsia="宋体" w:cs="宋体"/>
                <w:sz w:val="21"/>
                <w:szCs w:val="21"/>
                <w:lang w:val="en-US" w:eastAsia="zh-CN"/>
              </w:rPr>
              <w:t>系统</w:t>
            </w:r>
            <w:r>
              <w:rPr>
                <w:rFonts w:hint="eastAsia" w:ascii="宋体" w:hAnsi="宋体" w:eastAsia="宋体" w:cs="宋体"/>
                <w:sz w:val="21"/>
                <w:szCs w:val="21"/>
              </w:rPr>
              <w:t>故障处理</w:t>
            </w:r>
            <w:r>
              <w:rPr>
                <w:rFonts w:hint="eastAsia" w:ascii="宋体" w:hAnsi="宋体" w:eastAsia="宋体" w:cs="宋体"/>
                <w:sz w:val="21"/>
                <w:szCs w:val="21"/>
                <w:lang w:val="en-US" w:eastAsia="zh-CN"/>
              </w:rPr>
              <w:t>表、</w:t>
            </w:r>
            <w:r>
              <w:rPr>
                <w:rFonts w:hint="eastAsia" w:ascii="宋体" w:hAnsi="宋体" w:eastAsia="宋体" w:cs="宋体"/>
                <w:sz w:val="21"/>
                <w:szCs w:val="21"/>
              </w:rPr>
              <w:t>运维报告</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故障事件处理报告等</w:t>
            </w:r>
          </w:p>
        </w:tc>
      </w:tr>
      <w:tr w14:paraId="56BD4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493" w:type="dxa"/>
            <w:vAlign w:val="center"/>
          </w:tcPr>
          <w:p w14:paraId="1041C96E">
            <w:pPr>
              <w:pStyle w:val="12"/>
              <w:spacing w:before="78" w:line="220" w:lineRule="auto"/>
              <w:ind w:left="0" w:leftChars="0" w:firstLine="0" w:firstLineChars="0"/>
              <w:jc w:val="center"/>
              <w:rPr>
                <w:rFonts w:hint="default" w:ascii="宋体" w:hAnsi="宋体" w:eastAsia="宋体" w:cs="宋体"/>
                <w:sz w:val="21"/>
                <w:szCs w:val="21"/>
                <w:lang w:val="en-US" w:eastAsia="zh-CN"/>
              </w:rPr>
            </w:pPr>
            <w:r>
              <w:rPr>
                <w:rFonts w:hint="eastAsia" w:ascii="宋体" w:hAnsi="宋体" w:eastAsia="宋体" w:cs="宋体"/>
                <w:spacing w:val="-4"/>
                <w:sz w:val="21"/>
                <w:szCs w:val="21"/>
                <w:lang w:val="en-US" w:eastAsia="zh-CN"/>
              </w:rPr>
              <w:t>服务支持方式</w:t>
            </w:r>
          </w:p>
        </w:tc>
        <w:tc>
          <w:tcPr>
            <w:tcW w:w="6323" w:type="dxa"/>
            <w:vAlign w:val="top"/>
          </w:tcPr>
          <w:p w14:paraId="62339D6F">
            <w:pPr>
              <w:pStyle w:val="12"/>
              <w:spacing w:before="118" w:line="312" w:lineRule="auto"/>
              <w:ind w:left="114" w:right="104"/>
              <w:jc w:val="both"/>
              <w:rPr>
                <w:rFonts w:hint="eastAsia" w:ascii="宋体" w:hAnsi="宋体" w:eastAsia="宋体" w:cs="宋体"/>
                <w:sz w:val="21"/>
                <w:szCs w:val="21"/>
              </w:rPr>
            </w:pPr>
            <w:r>
              <w:rPr>
                <w:rFonts w:hint="eastAsia" w:ascii="宋体" w:hAnsi="宋体" w:eastAsia="宋体" w:cs="宋体"/>
                <w:spacing w:val="-5"/>
                <w:sz w:val="21"/>
                <w:szCs w:val="21"/>
                <w:lang w:val="en-US" w:eastAsia="zh-CN"/>
              </w:rPr>
              <w:t>支持</w:t>
            </w:r>
            <w:r>
              <w:rPr>
                <w:rFonts w:hint="eastAsia" w:ascii="宋体" w:hAnsi="宋体" w:eastAsia="宋体" w:cs="宋体"/>
                <w:spacing w:val="-5"/>
                <w:sz w:val="21"/>
                <w:szCs w:val="21"/>
              </w:rPr>
              <w:t>热线电话</w:t>
            </w:r>
            <w:r>
              <w:rPr>
                <w:rFonts w:hint="eastAsia" w:ascii="宋体" w:hAnsi="宋体" w:eastAsia="宋体" w:cs="宋体"/>
                <w:spacing w:val="-5"/>
                <w:sz w:val="21"/>
                <w:szCs w:val="21"/>
                <w:lang w:val="en-US" w:eastAsia="zh-CN"/>
              </w:rPr>
              <w:t>/微信</w:t>
            </w:r>
            <w:r>
              <w:rPr>
                <w:rFonts w:hint="eastAsia" w:ascii="宋体" w:hAnsi="宋体" w:eastAsia="宋体" w:cs="宋体"/>
                <w:spacing w:val="-5"/>
                <w:sz w:val="21"/>
                <w:szCs w:val="21"/>
              </w:rPr>
              <w:t>报修，维护</w:t>
            </w:r>
            <w:r>
              <w:rPr>
                <w:rFonts w:hint="eastAsia" w:ascii="宋体" w:hAnsi="宋体" w:eastAsia="宋体" w:cs="宋体"/>
                <w:spacing w:val="-1"/>
                <w:sz w:val="21"/>
                <w:szCs w:val="21"/>
              </w:rPr>
              <w:t>服务</w:t>
            </w:r>
            <w:r>
              <w:rPr>
                <w:rFonts w:hint="eastAsia" w:ascii="宋体" w:hAnsi="宋体" w:eastAsia="宋体" w:cs="宋体"/>
                <w:spacing w:val="-5"/>
                <w:sz w:val="21"/>
                <w:szCs w:val="21"/>
              </w:rPr>
              <w:t>工程师对采购人的支持</w:t>
            </w:r>
            <w:r>
              <w:rPr>
                <w:rFonts w:hint="eastAsia" w:ascii="宋体" w:hAnsi="宋体" w:eastAsia="宋体" w:cs="宋体"/>
                <w:spacing w:val="-2"/>
                <w:sz w:val="21"/>
                <w:szCs w:val="21"/>
              </w:rPr>
              <w:t>服务请求进行处理。</w:t>
            </w:r>
            <w:r>
              <w:rPr>
                <w:rFonts w:hint="eastAsia" w:ascii="宋体" w:hAnsi="宋体" w:eastAsia="宋体" w:cs="宋体"/>
                <w:spacing w:val="-1"/>
                <w:sz w:val="21"/>
                <w:szCs w:val="21"/>
              </w:rPr>
              <w:t>维护服务工程师</w:t>
            </w:r>
            <w:r>
              <w:rPr>
                <w:rFonts w:hint="eastAsia" w:ascii="宋体" w:hAnsi="宋体" w:eastAsia="宋体" w:cs="宋体"/>
                <w:spacing w:val="-1"/>
                <w:sz w:val="21"/>
                <w:szCs w:val="21"/>
                <w:lang w:val="en-US" w:eastAsia="zh-CN"/>
              </w:rPr>
              <w:t>需</w:t>
            </w:r>
            <w:r>
              <w:rPr>
                <w:rFonts w:hint="eastAsia" w:ascii="宋体" w:hAnsi="宋体" w:eastAsia="宋体" w:cs="宋体"/>
                <w:spacing w:val="-1"/>
                <w:sz w:val="21"/>
                <w:szCs w:val="21"/>
              </w:rPr>
              <w:t>使用采购人指定的安全网络运维</w:t>
            </w:r>
            <w:r>
              <w:rPr>
                <w:rFonts w:hint="eastAsia" w:ascii="宋体" w:hAnsi="宋体" w:eastAsia="宋体" w:cs="宋体"/>
                <w:spacing w:val="-3"/>
                <w:sz w:val="21"/>
                <w:szCs w:val="21"/>
              </w:rPr>
              <w:t>接入</w:t>
            </w:r>
            <w:r>
              <w:rPr>
                <w:rFonts w:hint="eastAsia" w:ascii="宋体" w:hAnsi="宋体" w:eastAsia="宋体" w:cs="宋体"/>
                <w:spacing w:val="-3"/>
                <w:sz w:val="21"/>
                <w:szCs w:val="21"/>
                <w:lang w:val="en-US" w:eastAsia="zh-CN"/>
              </w:rPr>
              <w:t>方式</w:t>
            </w:r>
            <w:r>
              <w:rPr>
                <w:rFonts w:hint="eastAsia" w:ascii="宋体" w:hAnsi="宋体" w:eastAsia="宋体" w:cs="宋体"/>
                <w:spacing w:val="-3"/>
                <w:sz w:val="21"/>
                <w:szCs w:val="21"/>
              </w:rPr>
              <w:t>，远程进行系统运维服务，并通过微信、</w:t>
            </w:r>
            <w:r>
              <w:rPr>
                <w:rFonts w:hint="eastAsia" w:ascii="宋体" w:hAnsi="宋体" w:eastAsia="宋体" w:cs="宋体"/>
                <w:spacing w:val="-1"/>
                <w:sz w:val="21"/>
                <w:szCs w:val="21"/>
              </w:rPr>
              <w:t>电话等方式同采购人沟通。</w:t>
            </w:r>
          </w:p>
        </w:tc>
        <w:tc>
          <w:tcPr>
            <w:tcW w:w="1491" w:type="dxa"/>
            <w:vAlign w:val="center"/>
          </w:tcPr>
          <w:p w14:paraId="4615E007">
            <w:pPr>
              <w:pStyle w:val="12"/>
              <w:spacing w:before="119" w:line="219" w:lineRule="auto"/>
              <w:ind w:left="116"/>
              <w:jc w:val="both"/>
              <w:rPr>
                <w:rFonts w:hint="eastAsia" w:ascii="宋体" w:hAnsi="宋体" w:eastAsia="宋体" w:cs="宋体"/>
                <w:sz w:val="21"/>
                <w:szCs w:val="21"/>
                <w:lang w:eastAsia="zh-CN"/>
              </w:rPr>
            </w:pPr>
          </w:p>
        </w:tc>
      </w:tr>
      <w:tr w14:paraId="53B2F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493" w:type="dxa"/>
            <w:vAlign w:val="center"/>
          </w:tcPr>
          <w:p w14:paraId="4EDAFF91">
            <w:pPr>
              <w:pStyle w:val="12"/>
              <w:spacing w:before="115" w:line="219" w:lineRule="auto"/>
              <w:ind w:left="0" w:leftChars="0" w:firstLine="0" w:firstLineChars="0"/>
              <w:jc w:val="center"/>
              <w:rPr>
                <w:rFonts w:hint="eastAsia" w:ascii="宋体" w:hAnsi="宋体" w:eastAsia="宋体" w:cs="宋体"/>
                <w:spacing w:val="-4"/>
                <w:sz w:val="21"/>
                <w:szCs w:val="21"/>
              </w:rPr>
            </w:pPr>
            <w:r>
              <w:rPr>
                <w:rFonts w:hint="eastAsia" w:ascii="宋体" w:hAnsi="宋体" w:eastAsia="宋体" w:cs="宋体"/>
                <w:sz w:val="21"/>
                <w:szCs w:val="21"/>
              </w:rPr>
              <w:t>培训服务</w:t>
            </w:r>
          </w:p>
        </w:tc>
        <w:tc>
          <w:tcPr>
            <w:tcW w:w="6323" w:type="dxa"/>
            <w:vAlign w:val="top"/>
          </w:tcPr>
          <w:p w14:paraId="6B0A2521">
            <w:pPr>
              <w:pStyle w:val="12"/>
              <w:spacing w:before="114" w:line="329" w:lineRule="auto"/>
              <w:ind w:left="114" w:right="104" w:firstLine="3"/>
              <w:jc w:val="both"/>
              <w:rPr>
                <w:rFonts w:hint="eastAsia" w:ascii="宋体" w:hAnsi="宋体" w:eastAsia="宋体" w:cs="宋体"/>
                <w:spacing w:val="-1"/>
                <w:sz w:val="21"/>
                <w:szCs w:val="21"/>
                <w:lang w:val="en-US" w:eastAsia="zh-CN"/>
              </w:rPr>
            </w:pPr>
            <w:r>
              <w:rPr>
                <w:rFonts w:hint="eastAsia" w:ascii="宋体" w:hAnsi="宋体" w:eastAsia="宋体" w:cs="宋体"/>
                <w:spacing w:val="-6"/>
                <w:sz w:val="21"/>
                <w:szCs w:val="21"/>
                <w:lang w:val="en-US" w:eastAsia="zh-CN"/>
              </w:rPr>
              <w:t>根据采购人需求，开展</w:t>
            </w:r>
            <w:r>
              <w:rPr>
                <w:rFonts w:hint="eastAsia" w:ascii="宋体" w:hAnsi="宋体" w:eastAsia="宋体" w:cs="宋体"/>
                <w:spacing w:val="-6"/>
                <w:sz w:val="21"/>
                <w:szCs w:val="21"/>
              </w:rPr>
              <w:t>系统培训</w:t>
            </w:r>
            <w:r>
              <w:rPr>
                <w:rFonts w:hint="eastAsia" w:ascii="宋体" w:hAnsi="宋体" w:eastAsia="宋体" w:cs="宋体"/>
                <w:spacing w:val="-6"/>
                <w:sz w:val="21"/>
                <w:szCs w:val="21"/>
                <w:lang w:val="en-US" w:eastAsia="zh-CN"/>
              </w:rPr>
              <w:t>服务，每年至少组织</w:t>
            </w:r>
            <w:r>
              <w:rPr>
                <w:rFonts w:hint="eastAsia" w:ascii="宋体" w:hAnsi="宋体" w:eastAsia="宋体" w:cs="宋体"/>
                <w:color w:val="FF0000"/>
                <w:spacing w:val="-6"/>
                <w:sz w:val="21"/>
                <w:szCs w:val="21"/>
                <w:lang w:val="en-US" w:eastAsia="zh-CN"/>
              </w:rPr>
              <w:t>1</w:t>
            </w:r>
            <w:r>
              <w:rPr>
                <w:rFonts w:hint="eastAsia" w:ascii="宋体" w:hAnsi="宋体" w:eastAsia="宋体" w:cs="宋体"/>
                <w:spacing w:val="-6"/>
                <w:sz w:val="21"/>
                <w:szCs w:val="21"/>
                <w:lang w:val="en-US" w:eastAsia="zh-CN"/>
              </w:rPr>
              <w:t>次培训，确保培训目的有效达成。</w:t>
            </w:r>
          </w:p>
        </w:tc>
        <w:tc>
          <w:tcPr>
            <w:tcW w:w="1491" w:type="dxa"/>
            <w:vAlign w:val="center"/>
          </w:tcPr>
          <w:p w14:paraId="023FF053">
            <w:pPr>
              <w:pStyle w:val="12"/>
              <w:spacing w:before="119" w:line="219" w:lineRule="auto"/>
              <w:ind w:left="116"/>
              <w:jc w:val="both"/>
              <w:rPr>
                <w:rFonts w:hint="eastAsia" w:ascii="宋体" w:hAnsi="宋体" w:eastAsia="宋体" w:cs="宋体"/>
                <w:sz w:val="21"/>
                <w:szCs w:val="21"/>
              </w:rPr>
            </w:pPr>
            <w:r>
              <w:rPr>
                <w:rFonts w:hint="eastAsia" w:ascii="宋体" w:hAnsi="宋体" w:eastAsia="宋体" w:cs="宋体"/>
                <w:sz w:val="21"/>
                <w:szCs w:val="21"/>
              </w:rPr>
              <w:t>培训计划、培训签到表</w:t>
            </w:r>
            <w:r>
              <w:rPr>
                <w:rFonts w:hint="eastAsia" w:ascii="宋体" w:hAnsi="宋体" w:eastAsia="宋体" w:cs="宋体"/>
                <w:sz w:val="21"/>
                <w:szCs w:val="21"/>
                <w:lang w:val="en-US" w:eastAsia="zh-CN"/>
              </w:rPr>
              <w:t>等</w:t>
            </w:r>
          </w:p>
        </w:tc>
      </w:tr>
      <w:tr w14:paraId="0FA09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493" w:type="dxa"/>
            <w:vAlign w:val="center"/>
          </w:tcPr>
          <w:p w14:paraId="7F11AC81">
            <w:pPr>
              <w:pStyle w:val="12"/>
              <w:spacing w:before="78" w:line="219" w:lineRule="auto"/>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pacing w:val="-3"/>
                <w:sz w:val="21"/>
                <w:szCs w:val="21"/>
              </w:rPr>
              <w:t>巡检</w:t>
            </w:r>
            <w:r>
              <w:rPr>
                <w:rFonts w:hint="eastAsia" w:ascii="宋体" w:hAnsi="宋体" w:eastAsia="宋体" w:cs="宋体"/>
                <w:spacing w:val="-3"/>
                <w:sz w:val="21"/>
                <w:szCs w:val="21"/>
                <w:lang w:val="en-US" w:eastAsia="zh-CN"/>
              </w:rPr>
              <w:t>服务</w:t>
            </w:r>
          </w:p>
        </w:tc>
        <w:tc>
          <w:tcPr>
            <w:tcW w:w="6323" w:type="dxa"/>
            <w:vAlign w:val="top"/>
          </w:tcPr>
          <w:p w14:paraId="1D91B632">
            <w:pPr>
              <w:pStyle w:val="12"/>
              <w:spacing w:before="118" w:line="360" w:lineRule="auto"/>
              <w:ind w:left="113" w:right="85" w:firstLine="4"/>
              <w:jc w:val="both"/>
              <w:rPr>
                <w:rFonts w:hint="eastAsia" w:ascii="宋体" w:hAnsi="宋体" w:eastAsia="宋体" w:cs="宋体"/>
                <w:sz w:val="21"/>
                <w:szCs w:val="21"/>
              </w:rPr>
            </w:pPr>
            <w:r>
              <w:rPr>
                <w:rFonts w:hint="eastAsia" w:ascii="宋体" w:hAnsi="宋体" w:eastAsia="宋体" w:cs="宋体"/>
                <w:spacing w:val="-1"/>
                <w:sz w:val="21"/>
                <w:szCs w:val="21"/>
              </w:rPr>
              <w:t>每</w:t>
            </w:r>
            <w:r>
              <w:rPr>
                <w:rFonts w:hint="eastAsia" w:ascii="宋体" w:hAnsi="宋体" w:eastAsia="宋体" w:cs="宋体"/>
                <w:color w:val="FF0000"/>
                <w:spacing w:val="-1"/>
                <w:sz w:val="21"/>
                <w:szCs w:val="21"/>
              </w:rPr>
              <w:t>季</w:t>
            </w:r>
            <w:r>
              <w:rPr>
                <w:rFonts w:hint="eastAsia" w:ascii="宋体" w:hAnsi="宋体" w:eastAsia="宋体" w:cs="宋体"/>
                <w:spacing w:val="-1"/>
                <w:sz w:val="21"/>
                <w:szCs w:val="21"/>
              </w:rPr>
              <w:t>度进行一次系统服务器及数</w:t>
            </w:r>
            <w:r>
              <w:rPr>
                <w:rFonts w:hint="eastAsia" w:ascii="宋体" w:hAnsi="宋体" w:eastAsia="宋体" w:cs="宋体"/>
                <w:spacing w:val="-4"/>
                <w:sz w:val="21"/>
                <w:szCs w:val="21"/>
              </w:rPr>
              <w:t>据库巡检，确保系统处于可持续正常运行状态，</w:t>
            </w:r>
            <w:r>
              <w:rPr>
                <w:rFonts w:hint="eastAsia" w:ascii="宋体" w:hAnsi="宋体" w:eastAsia="宋体" w:cs="宋体"/>
                <w:spacing w:val="-1"/>
                <w:sz w:val="21"/>
                <w:szCs w:val="21"/>
              </w:rPr>
              <w:t>对发现的问题及时处理，并提交巡检报告。</w:t>
            </w:r>
          </w:p>
        </w:tc>
        <w:tc>
          <w:tcPr>
            <w:tcW w:w="1491" w:type="dxa"/>
            <w:vAlign w:val="center"/>
          </w:tcPr>
          <w:p w14:paraId="7F1C4395">
            <w:pPr>
              <w:pStyle w:val="12"/>
              <w:spacing w:before="119" w:line="219" w:lineRule="auto"/>
              <w:ind w:left="116"/>
              <w:jc w:val="both"/>
              <w:rPr>
                <w:rFonts w:hint="eastAsia" w:ascii="宋体" w:hAnsi="宋体" w:eastAsia="宋体" w:cs="宋体"/>
                <w:sz w:val="21"/>
                <w:szCs w:val="21"/>
              </w:rPr>
            </w:pPr>
            <w:r>
              <w:rPr>
                <w:rFonts w:hint="eastAsia" w:ascii="宋体" w:hAnsi="宋体" w:eastAsia="宋体" w:cs="宋体"/>
                <w:sz w:val="21"/>
                <w:szCs w:val="21"/>
                <w:lang w:val="en-US" w:eastAsia="zh-CN"/>
              </w:rPr>
              <w:t>巡检报告等</w:t>
            </w:r>
          </w:p>
        </w:tc>
      </w:tr>
      <w:tr w14:paraId="74F96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493" w:type="dxa"/>
            <w:vAlign w:val="center"/>
          </w:tcPr>
          <w:p w14:paraId="29E71141">
            <w:pPr>
              <w:pStyle w:val="12"/>
              <w:spacing w:before="78" w:line="219" w:lineRule="auto"/>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pacing w:val="-3"/>
                <w:sz w:val="21"/>
                <w:szCs w:val="21"/>
                <w:lang w:val="en-US" w:eastAsia="zh-CN"/>
              </w:rPr>
              <w:t>运维管理</w:t>
            </w:r>
          </w:p>
        </w:tc>
        <w:tc>
          <w:tcPr>
            <w:tcW w:w="6323" w:type="dxa"/>
            <w:vAlign w:val="top"/>
          </w:tcPr>
          <w:p w14:paraId="1DB156C1">
            <w:pPr>
              <w:pStyle w:val="12"/>
              <w:spacing w:line="362" w:lineRule="auto"/>
              <w:ind w:left="113" w:right="104" w:firstLine="6"/>
              <w:jc w:val="both"/>
              <w:rPr>
                <w:rFonts w:hint="eastAsia" w:ascii="宋体" w:hAnsi="宋体" w:eastAsia="宋体" w:cs="宋体"/>
                <w:sz w:val="21"/>
                <w:szCs w:val="21"/>
                <w:lang w:eastAsia="zh-CN"/>
              </w:rPr>
            </w:pPr>
            <w:r>
              <w:rPr>
                <w:rFonts w:hint="eastAsia" w:ascii="宋体" w:hAnsi="宋体" w:eastAsia="宋体" w:cs="宋体"/>
                <w:color w:val="auto"/>
                <w:sz w:val="21"/>
                <w:szCs w:val="21"/>
              </w:rPr>
              <w:t>每</w:t>
            </w:r>
            <w:r>
              <w:rPr>
                <w:rFonts w:hint="eastAsia" w:ascii="宋体" w:hAnsi="宋体" w:eastAsia="宋体" w:cs="宋体"/>
                <w:color w:val="FF0000"/>
                <w:sz w:val="21"/>
                <w:szCs w:val="21"/>
                <w:lang w:val="en-US" w:eastAsia="zh-CN"/>
              </w:rPr>
              <w:t>季</w:t>
            </w:r>
            <w:r>
              <w:rPr>
                <w:rFonts w:hint="eastAsia" w:ascii="宋体" w:hAnsi="宋体" w:eastAsia="宋体" w:cs="宋体"/>
                <w:color w:val="auto"/>
                <w:sz w:val="21"/>
                <w:szCs w:val="21"/>
              </w:rPr>
              <w:t>召开复盘会，分析</w:t>
            </w:r>
            <w:r>
              <w:rPr>
                <w:rFonts w:hint="eastAsia" w:ascii="宋体" w:hAnsi="宋体" w:eastAsia="宋体" w:cs="宋体"/>
                <w:color w:val="auto"/>
                <w:sz w:val="21"/>
                <w:szCs w:val="21"/>
                <w:lang w:val="en-US" w:eastAsia="zh-CN"/>
              </w:rPr>
              <w:t>当期</w:t>
            </w:r>
            <w:r>
              <w:rPr>
                <w:rFonts w:hint="eastAsia" w:ascii="宋体" w:hAnsi="宋体" w:eastAsia="宋体" w:cs="宋体"/>
                <w:color w:val="auto"/>
                <w:sz w:val="21"/>
                <w:szCs w:val="21"/>
              </w:rPr>
              <w:t>运维数据，评估服务级别协议（SLA）达成情况，</w:t>
            </w:r>
            <w:r>
              <w:rPr>
                <w:rFonts w:hint="eastAsia" w:ascii="宋体" w:hAnsi="宋体" w:eastAsia="宋体" w:cs="宋体"/>
                <w:color w:val="auto"/>
                <w:sz w:val="21"/>
                <w:szCs w:val="21"/>
                <w:lang w:val="en-US" w:eastAsia="zh-CN"/>
              </w:rPr>
              <w:t>完成服务评价，提出</w:t>
            </w:r>
            <w:r>
              <w:rPr>
                <w:rFonts w:hint="eastAsia" w:ascii="宋体" w:hAnsi="宋体" w:eastAsia="宋体" w:cs="宋体"/>
                <w:sz w:val="21"/>
                <w:szCs w:val="21"/>
              </w:rPr>
              <w:t>改进建议</w:t>
            </w:r>
            <w:r>
              <w:rPr>
                <w:rFonts w:hint="eastAsia" w:ascii="宋体" w:hAnsi="宋体" w:eastAsia="宋体" w:cs="宋体"/>
                <w:sz w:val="21"/>
                <w:szCs w:val="21"/>
                <w:lang w:eastAsia="zh-CN"/>
              </w:rPr>
              <w:t>；</w:t>
            </w:r>
          </w:p>
          <w:p w14:paraId="00A3DDBE">
            <w:pPr>
              <w:pStyle w:val="12"/>
              <w:spacing w:line="362" w:lineRule="auto"/>
              <w:ind w:left="113" w:right="104" w:firstLine="6"/>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服务期满召开</w:t>
            </w:r>
            <w:r>
              <w:rPr>
                <w:rFonts w:hint="eastAsia" w:ascii="宋体" w:hAnsi="宋体" w:eastAsia="宋体" w:cs="宋体"/>
                <w:color w:val="auto"/>
                <w:sz w:val="21"/>
                <w:szCs w:val="21"/>
              </w:rPr>
              <w:t>年度总结会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全面总结全年</w:t>
            </w:r>
            <w:r>
              <w:rPr>
                <w:rFonts w:hint="eastAsia" w:ascii="宋体" w:hAnsi="宋体" w:eastAsia="宋体" w:cs="宋体"/>
                <w:sz w:val="21"/>
                <w:szCs w:val="21"/>
              </w:rPr>
              <w:t>运维工作</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开展</w:t>
            </w:r>
            <w:r>
              <w:rPr>
                <w:rFonts w:hint="eastAsia" w:ascii="宋体" w:hAnsi="宋体" w:eastAsia="宋体" w:cs="宋体"/>
                <w:sz w:val="21"/>
                <w:szCs w:val="21"/>
              </w:rPr>
              <w:t>系统评估，包括</w:t>
            </w:r>
            <w:r>
              <w:rPr>
                <w:rFonts w:hint="eastAsia" w:ascii="宋体" w:hAnsi="宋体" w:eastAsia="宋体" w:cs="宋体"/>
                <w:sz w:val="21"/>
                <w:szCs w:val="21"/>
                <w:lang w:val="en-US" w:eastAsia="zh-CN"/>
              </w:rPr>
              <w:t>升级</w:t>
            </w:r>
            <w:r>
              <w:rPr>
                <w:rFonts w:hint="eastAsia" w:ascii="宋体" w:hAnsi="宋体" w:eastAsia="宋体" w:cs="宋体"/>
                <w:sz w:val="21"/>
                <w:szCs w:val="21"/>
              </w:rPr>
              <w:t>规划、安全审计等</w:t>
            </w:r>
            <w:r>
              <w:rPr>
                <w:rFonts w:hint="eastAsia" w:ascii="宋体" w:hAnsi="宋体" w:eastAsia="宋体" w:cs="宋体"/>
                <w:sz w:val="21"/>
                <w:szCs w:val="21"/>
                <w:lang w:eastAsia="zh-CN"/>
              </w:rPr>
              <w:t>，</w:t>
            </w:r>
            <w:r>
              <w:rPr>
                <w:rFonts w:hint="eastAsia" w:ascii="宋体" w:hAnsi="宋体" w:eastAsia="宋体" w:cs="宋体"/>
                <w:spacing w:val="-1"/>
                <w:sz w:val="21"/>
                <w:szCs w:val="21"/>
              </w:rPr>
              <w:t>提</w:t>
            </w:r>
            <w:r>
              <w:rPr>
                <w:rFonts w:hint="eastAsia" w:ascii="宋体" w:hAnsi="宋体" w:eastAsia="宋体" w:cs="宋体"/>
                <w:spacing w:val="-1"/>
                <w:sz w:val="21"/>
                <w:szCs w:val="21"/>
                <w:lang w:val="en-US" w:eastAsia="zh-CN"/>
              </w:rPr>
              <w:t>出</w:t>
            </w:r>
            <w:r>
              <w:rPr>
                <w:rFonts w:hint="eastAsia" w:ascii="宋体" w:hAnsi="宋体" w:eastAsia="宋体" w:cs="宋体"/>
                <w:spacing w:val="-1"/>
                <w:sz w:val="21"/>
                <w:szCs w:val="21"/>
              </w:rPr>
              <w:t>系统改进建议及方案</w:t>
            </w:r>
            <w:r>
              <w:rPr>
                <w:rFonts w:hint="eastAsia" w:ascii="宋体" w:hAnsi="宋体" w:eastAsia="宋体" w:cs="宋体"/>
                <w:spacing w:val="-1"/>
                <w:sz w:val="21"/>
                <w:szCs w:val="21"/>
                <w:lang w:eastAsia="zh-CN"/>
              </w:rPr>
              <w:t>。</w:t>
            </w:r>
          </w:p>
        </w:tc>
        <w:tc>
          <w:tcPr>
            <w:tcW w:w="1491" w:type="dxa"/>
            <w:vAlign w:val="center"/>
          </w:tcPr>
          <w:p w14:paraId="1AD92E8B">
            <w:pPr>
              <w:pStyle w:val="12"/>
              <w:spacing w:before="119" w:line="219" w:lineRule="auto"/>
              <w:ind w:left="116"/>
              <w:jc w:val="both"/>
              <w:rPr>
                <w:rFonts w:hint="eastAsia" w:ascii="宋体" w:hAnsi="宋体" w:eastAsia="宋体" w:cs="宋体"/>
                <w:sz w:val="21"/>
                <w:szCs w:val="21"/>
                <w:lang w:eastAsia="zh-CN"/>
              </w:rPr>
            </w:pPr>
            <w:r>
              <w:rPr>
                <w:rFonts w:hint="eastAsia" w:ascii="宋体" w:hAnsi="宋体" w:eastAsia="宋体" w:cs="宋体"/>
                <w:sz w:val="21"/>
                <w:szCs w:val="21"/>
              </w:rPr>
              <w:t>会议纪要</w:t>
            </w:r>
            <w:r>
              <w:rPr>
                <w:rFonts w:hint="eastAsia" w:ascii="宋体" w:hAnsi="宋体" w:eastAsia="宋体" w:cs="宋体"/>
                <w:sz w:val="21"/>
                <w:szCs w:val="21"/>
                <w:lang w:eastAsia="zh-CN"/>
              </w:rPr>
              <w:t>、</w:t>
            </w:r>
            <w:r>
              <w:rPr>
                <w:rFonts w:hint="eastAsia" w:ascii="宋体" w:hAnsi="宋体" w:eastAsia="宋体" w:cs="宋体"/>
                <w:sz w:val="21"/>
                <w:szCs w:val="21"/>
              </w:rPr>
              <w:t>运维服务评价表</w:t>
            </w:r>
            <w:r>
              <w:rPr>
                <w:rFonts w:hint="eastAsia" w:ascii="宋体" w:hAnsi="宋体" w:eastAsia="宋体" w:cs="宋体"/>
                <w:sz w:val="21"/>
                <w:szCs w:val="21"/>
                <w:lang w:eastAsia="zh-CN"/>
              </w:rPr>
              <w:t>、</w:t>
            </w:r>
            <w:r>
              <w:rPr>
                <w:rFonts w:hint="eastAsia" w:ascii="宋体" w:hAnsi="宋体" w:eastAsia="宋体" w:cs="宋体"/>
                <w:sz w:val="21"/>
                <w:szCs w:val="21"/>
              </w:rPr>
              <w:t>运维服务</w:t>
            </w:r>
            <w:r>
              <w:rPr>
                <w:rFonts w:hint="eastAsia" w:ascii="宋体" w:hAnsi="宋体" w:eastAsia="宋体" w:cs="宋体"/>
                <w:sz w:val="21"/>
                <w:szCs w:val="21"/>
                <w:lang w:val="en-US" w:eastAsia="zh-CN"/>
              </w:rPr>
              <w:t>满意度</w:t>
            </w:r>
            <w:r>
              <w:rPr>
                <w:rFonts w:hint="eastAsia" w:ascii="宋体" w:hAnsi="宋体" w:eastAsia="宋体" w:cs="宋体"/>
                <w:sz w:val="21"/>
                <w:szCs w:val="21"/>
              </w:rPr>
              <w:t>评价表</w:t>
            </w:r>
            <w:r>
              <w:rPr>
                <w:rFonts w:hint="eastAsia" w:ascii="宋体" w:hAnsi="宋体" w:eastAsia="宋体" w:cs="宋体"/>
                <w:sz w:val="21"/>
                <w:szCs w:val="21"/>
                <w:lang w:eastAsia="zh-CN"/>
              </w:rPr>
              <w:t>、</w:t>
            </w:r>
            <w:r>
              <w:rPr>
                <w:rFonts w:hint="eastAsia" w:ascii="宋体" w:hAnsi="宋体" w:eastAsia="宋体" w:cs="宋体"/>
                <w:sz w:val="21"/>
                <w:szCs w:val="21"/>
              </w:rPr>
              <w:t>运维总结报告</w:t>
            </w:r>
            <w:r>
              <w:rPr>
                <w:rFonts w:hint="eastAsia" w:ascii="宋体" w:hAnsi="宋体" w:eastAsia="宋体" w:cs="宋体"/>
                <w:sz w:val="21"/>
                <w:szCs w:val="21"/>
                <w:lang w:val="en-US" w:eastAsia="zh-CN"/>
              </w:rPr>
              <w:t>等</w:t>
            </w:r>
          </w:p>
        </w:tc>
      </w:tr>
      <w:tr w14:paraId="27513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493" w:type="dxa"/>
            <w:vAlign w:val="center"/>
          </w:tcPr>
          <w:p w14:paraId="144AE546">
            <w:pPr>
              <w:pStyle w:val="12"/>
              <w:tabs>
                <w:tab w:val="left" w:pos="433"/>
              </w:tabs>
              <w:spacing w:before="78" w:line="219" w:lineRule="auto"/>
              <w:ind w:left="0" w:leftChars="0" w:firstLine="0" w:firstLineChars="0"/>
              <w:jc w:val="center"/>
              <w:rPr>
                <w:rFonts w:hint="eastAsia" w:ascii="宋体" w:hAnsi="宋体" w:eastAsia="宋体" w:cs="宋体"/>
                <w:spacing w:val="-3"/>
                <w:sz w:val="21"/>
                <w:szCs w:val="21"/>
                <w:lang w:val="en-US" w:eastAsia="zh-CN"/>
              </w:rPr>
            </w:pPr>
            <w:r>
              <w:rPr>
                <w:rFonts w:hint="eastAsia" w:ascii="宋体" w:hAnsi="宋体" w:eastAsia="宋体" w:cs="宋体"/>
                <w:sz w:val="21"/>
                <w:szCs w:val="21"/>
              </w:rPr>
              <w:t>运维手册</w:t>
            </w:r>
          </w:p>
        </w:tc>
        <w:tc>
          <w:tcPr>
            <w:tcW w:w="6323" w:type="dxa"/>
            <w:vAlign w:val="top"/>
          </w:tcPr>
          <w:p w14:paraId="4FD49B87">
            <w:pPr>
              <w:pStyle w:val="12"/>
              <w:spacing w:before="118" w:line="336" w:lineRule="auto"/>
              <w:ind w:left="114" w:right="104"/>
              <w:jc w:val="both"/>
              <w:rPr>
                <w:rFonts w:hint="eastAsia" w:ascii="宋体" w:hAnsi="宋体" w:eastAsia="宋体" w:cs="宋体"/>
                <w:spacing w:val="-5"/>
                <w:sz w:val="21"/>
                <w:szCs w:val="21"/>
                <w:lang w:val="en-US" w:eastAsia="zh-CN"/>
              </w:rPr>
            </w:pPr>
            <w:r>
              <w:rPr>
                <w:rFonts w:hint="eastAsia" w:ascii="宋体" w:hAnsi="宋体" w:eastAsia="宋体" w:cs="宋体"/>
                <w:sz w:val="21"/>
                <w:szCs w:val="21"/>
                <w:lang w:val="en-US" w:eastAsia="zh-CN"/>
              </w:rPr>
              <w:t>持续梳理系统，</w:t>
            </w:r>
            <w:r>
              <w:rPr>
                <w:rFonts w:hint="eastAsia" w:ascii="宋体" w:hAnsi="宋体" w:eastAsia="宋体" w:cs="宋体"/>
                <w:sz w:val="21"/>
                <w:szCs w:val="21"/>
              </w:rPr>
              <w:t>编制《运维手册》并提交甲方审核</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内容包含</w:t>
            </w:r>
            <w:r>
              <w:rPr>
                <w:rFonts w:hint="eastAsia" w:ascii="宋体" w:hAnsi="宋体" w:eastAsia="宋体" w:cs="宋体"/>
                <w:sz w:val="21"/>
                <w:szCs w:val="21"/>
              </w:rPr>
              <w:t>系统</w:t>
            </w:r>
            <w:r>
              <w:rPr>
                <w:rFonts w:hint="eastAsia" w:ascii="宋体" w:hAnsi="宋体" w:eastAsia="宋体" w:cs="宋体"/>
                <w:sz w:val="21"/>
                <w:szCs w:val="21"/>
                <w:lang w:val="en-US" w:eastAsia="zh-CN"/>
              </w:rPr>
              <w:t>服务</w:t>
            </w:r>
            <w:r>
              <w:rPr>
                <w:rFonts w:hint="eastAsia" w:ascii="宋体" w:hAnsi="宋体" w:eastAsia="宋体" w:cs="宋体"/>
                <w:sz w:val="21"/>
                <w:szCs w:val="21"/>
              </w:rPr>
              <w:t>清单</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接口、</w:t>
            </w:r>
            <w:r>
              <w:rPr>
                <w:rFonts w:hint="eastAsia" w:ascii="宋体" w:hAnsi="宋体" w:eastAsia="宋体" w:cs="宋体"/>
                <w:sz w:val="21"/>
                <w:szCs w:val="21"/>
              </w:rPr>
              <w:t>标准作业程序（SOP</w:t>
            </w:r>
            <w:r>
              <w:rPr>
                <w:rFonts w:hint="eastAsia" w:ascii="宋体" w:hAnsi="宋体" w:eastAsia="宋体" w:cs="宋体"/>
                <w:sz w:val="21"/>
                <w:szCs w:val="21"/>
                <w:lang w:eastAsia="zh-CN"/>
              </w:rPr>
              <w:t>）、</w:t>
            </w:r>
            <w:r>
              <w:rPr>
                <w:rFonts w:hint="eastAsia" w:ascii="宋体" w:hAnsi="宋体" w:eastAsia="宋体" w:cs="宋体"/>
                <w:spacing w:val="-3"/>
                <w:sz w:val="21"/>
                <w:szCs w:val="21"/>
                <w:lang w:val="en-US" w:eastAsia="zh-CN"/>
              </w:rPr>
              <w:t>应急预案、</w:t>
            </w:r>
            <w:r>
              <w:rPr>
                <w:rFonts w:hint="eastAsia" w:ascii="宋体" w:hAnsi="宋体" w:eastAsia="宋体" w:cs="宋体"/>
                <w:sz w:val="21"/>
                <w:szCs w:val="21"/>
              </w:rPr>
              <w:t>数据备份与恢复策略</w:t>
            </w:r>
            <w:r>
              <w:rPr>
                <w:rFonts w:hint="eastAsia" w:ascii="宋体" w:hAnsi="宋体" w:eastAsia="宋体" w:cs="宋体"/>
                <w:sz w:val="21"/>
                <w:szCs w:val="21"/>
                <w:lang w:val="en-US" w:eastAsia="zh-CN"/>
              </w:rPr>
              <w:t>等。实施版本管理，服务期内</w:t>
            </w:r>
            <w:r>
              <w:rPr>
                <w:rFonts w:hint="eastAsia" w:ascii="宋体" w:hAnsi="宋体" w:eastAsia="宋体" w:cs="宋体"/>
                <w:sz w:val="21"/>
                <w:szCs w:val="21"/>
              </w:rPr>
              <w:t>至少更新一次</w:t>
            </w:r>
            <w:r>
              <w:rPr>
                <w:rFonts w:hint="eastAsia" w:ascii="宋体" w:hAnsi="宋体" w:eastAsia="宋体" w:cs="宋体"/>
                <w:sz w:val="21"/>
                <w:szCs w:val="21"/>
                <w:lang w:eastAsia="zh-CN"/>
              </w:rPr>
              <w:t>。</w:t>
            </w:r>
          </w:p>
        </w:tc>
        <w:tc>
          <w:tcPr>
            <w:tcW w:w="1491" w:type="dxa"/>
            <w:vAlign w:val="center"/>
          </w:tcPr>
          <w:p w14:paraId="611C9AB6">
            <w:pPr>
              <w:pStyle w:val="12"/>
              <w:spacing w:before="119" w:line="219" w:lineRule="auto"/>
              <w:ind w:left="116"/>
              <w:jc w:val="both"/>
              <w:rPr>
                <w:rFonts w:hint="eastAsia" w:ascii="宋体" w:hAnsi="宋体" w:eastAsia="宋体" w:cs="宋体"/>
                <w:sz w:val="21"/>
                <w:szCs w:val="21"/>
              </w:rPr>
            </w:pPr>
            <w:r>
              <w:rPr>
                <w:rFonts w:hint="eastAsia" w:ascii="宋体" w:hAnsi="宋体" w:eastAsia="宋体" w:cs="宋体"/>
                <w:sz w:val="21"/>
                <w:szCs w:val="21"/>
              </w:rPr>
              <w:t>运维手册</w:t>
            </w:r>
          </w:p>
        </w:tc>
      </w:tr>
      <w:tr w14:paraId="52E05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4" w:hRule="atLeast"/>
        </w:trPr>
        <w:tc>
          <w:tcPr>
            <w:tcW w:w="493" w:type="dxa"/>
            <w:vAlign w:val="center"/>
          </w:tcPr>
          <w:p w14:paraId="2F9EE34D">
            <w:pPr>
              <w:pStyle w:val="12"/>
              <w:spacing w:before="78" w:line="221" w:lineRule="auto"/>
              <w:ind w:left="0" w:leftChars="0" w:firstLine="0" w:firstLineChars="0"/>
              <w:jc w:val="center"/>
              <w:rPr>
                <w:rFonts w:hint="eastAsia" w:ascii="宋体" w:hAnsi="宋体" w:eastAsia="宋体" w:cs="宋体"/>
                <w:sz w:val="21"/>
                <w:szCs w:val="21"/>
              </w:rPr>
            </w:pPr>
            <w:r>
              <w:rPr>
                <w:rFonts w:hint="eastAsia" w:ascii="宋体" w:hAnsi="宋体" w:eastAsia="宋体" w:cs="宋体"/>
                <w:spacing w:val="-4"/>
                <w:sz w:val="21"/>
                <w:szCs w:val="21"/>
              </w:rPr>
              <w:t>系统升级</w:t>
            </w:r>
          </w:p>
        </w:tc>
        <w:tc>
          <w:tcPr>
            <w:tcW w:w="6323" w:type="dxa"/>
            <w:vAlign w:val="top"/>
          </w:tcPr>
          <w:p w14:paraId="6177FAE8">
            <w:pPr>
              <w:pStyle w:val="12"/>
              <w:spacing w:before="114" w:line="329" w:lineRule="auto"/>
              <w:ind w:left="115" w:right="66" w:hanging="2"/>
              <w:jc w:val="both"/>
              <w:rPr>
                <w:rFonts w:hint="eastAsia" w:ascii="宋体" w:hAnsi="宋体" w:eastAsia="宋体" w:cs="宋体"/>
                <w:sz w:val="21"/>
                <w:szCs w:val="21"/>
              </w:rPr>
            </w:pPr>
            <w:r>
              <w:rPr>
                <w:rFonts w:hint="eastAsia" w:ascii="宋体" w:hAnsi="宋体" w:eastAsia="宋体" w:cs="宋体"/>
                <w:spacing w:val="-3"/>
                <w:sz w:val="21"/>
                <w:szCs w:val="21"/>
              </w:rPr>
              <w:t>在服务期内，对系统软件进行维护升级</w:t>
            </w:r>
            <w:r>
              <w:rPr>
                <w:rFonts w:hint="eastAsia" w:ascii="宋体" w:hAnsi="宋体" w:eastAsia="宋体" w:cs="宋体"/>
                <w:spacing w:val="-3"/>
                <w:sz w:val="21"/>
                <w:szCs w:val="21"/>
                <w:highlight w:val="yellow"/>
                <w:lang w:eastAsia="zh-CN"/>
              </w:rPr>
              <w:t>，</w:t>
            </w:r>
            <w:r>
              <w:rPr>
                <w:rFonts w:hint="eastAsia" w:ascii="宋体" w:hAnsi="宋体" w:eastAsia="宋体" w:cs="宋体"/>
                <w:spacing w:val="-3"/>
                <w:sz w:val="21"/>
                <w:szCs w:val="21"/>
                <w:highlight w:val="yellow"/>
                <w:lang w:val="en-US" w:eastAsia="zh-CN"/>
              </w:rPr>
              <w:t>保持市级版本一致性</w:t>
            </w:r>
            <w:r>
              <w:rPr>
                <w:rFonts w:hint="eastAsia" w:ascii="宋体" w:hAnsi="宋体" w:eastAsia="宋体" w:cs="宋体"/>
                <w:spacing w:val="-3"/>
                <w:sz w:val="21"/>
                <w:szCs w:val="21"/>
              </w:rPr>
              <w:t>。</w:t>
            </w:r>
            <w:r>
              <w:rPr>
                <w:rFonts w:hint="eastAsia" w:ascii="宋体" w:hAnsi="宋体" w:eastAsia="宋体" w:cs="宋体"/>
                <w:spacing w:val="-1"/>
                <w:sz w:val="21"/>
                <w:szCs w:val="21"/>
              </w:rPr>
              <w:t>如采购人在合同维护期内确有新功能的模块需求可与供应商协商后另行签订协议。</w:t>
            </w:r>
          </w:p>
        </w:tc>
        <w:tc>
          <w:tcPr>
            <w:tcW w:w="1491" w:type="dxa"/>
            <w:vAlign w:val="center"/>
          </w:tcPr>
          <w:p w14:paraId="6FA9DB6A">
            <w:pPr>
              <w:pStyle w:val="12"/>
              <w:spacing w:before="119" w:line="219" w:lineRule="auto"/>
              <w:ind w:left="116"/>
              <w:jc w:val="both"/>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版本升级记录</w:t>
            </w:r>
          </w:p>
        </w:tc>
      </w:tr>
      <w:tr w14:paraId="4B3F5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493" w:type="dxa"/>
            <w:vAlign w:val="center"/>
          </w:tcPr>
          <w:p w14:paraId="76229A64">
            <w:pPr>
              <w:pStyle w:val="12"/>
              <w:spacing w:before="78" w:line="220" w:lineRule="auto"/>
              <w:ind w:left="0" w:leftChars="0" w:firstLine="0" w:firstLineChars="0"/>
              <w:jc w:val="center"/>
              <w:rPr>
                <w:rFonts w:hint="eastAsia" w:ascii="宋体" w:hAnsi="宋体" w:eastAsia="宋体" w:cs="宋体"/>
                <w:sz w:val="21"/>
                <w:szCs w:val="21"/>
              </w:rPr>
            </w:pPr>
            <w:r>
              <w:rPr>
                <w:rFonts w:hint="eastAsia" w:ascii="宋体" w:hAnsi="宋体" w:eastAsia="宋体" w:cs="宋体"/>
                <w:spacing w:val="-4"/>
                <w:sz w:val="21"/>
                <w:szCs w:val="21"/>
              </w:rPr>
              <w:t>安全加固</w:t>
            </w:r>
          </w:p>
        </w:tc>
        <w:tc>
          <w:tcPr>
            <w:tcW w:w="6323" w:type="dxa"/>
            <w:vAlign w:val="top"/>
          </w:tcPr>
          <w:p w14:paraId="20D9945D">
            <w:pPr>
              <w:pStyle w:val="12"/>
              <w:spacing w:before="114" w:line="329" w:lineRule="auto"/>
              <w:ind w:left="113" w:right="104"/>
              <w:jc w:val="both"/>
              <w:rPr>
                <w:rFonts w:hint="eastAsia" w:ascii="宋体" w:hAnsi="宋体" w:eastAsia="宋体" w:cs="宋体"/>
                <w:sz w:val="21"/>
                <w:szCs w:val="21"/>
              </w:rPr>
            </w:pPr>
            <w:r>
              <w:rPr>
                <w:rFonts w:hint="eastAsia" w:ascii="宋体" w:hAnsi="宋体" w:eastAsia="宋体" w:cs="宋体"/>
                <w:spacing w:val="-1"/>
                <w:sz w:val="21"/>
                <w:szCs w:val="21"/>
              </w:rPr>
              <w:t>对应用及主机系统存在的安装漏洞及时进行修补，配合采购人实施安全检测与系统加固，提升系统安全性</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确保系统满足</w:t>
            </w:r>
            <w:r>
              <w:rPr>
                <w:rFonts w:hint="eastAsia" w:ascii="宋体" w:hAnsi="宋体" w:eastAsia="宋体" w:cs="宋体"/>
                <w:spacing w:val="-1"/>
                <w:sz w:val="21"/>
                <w:szCs w:val="21"/>
              </w:rPr>
              <w:t>国家信息系统安全等级保护第三级认证</w:t>
            </w:r>
            <w:r>
              <w:rPr>
                <w:rFonts w:hint="eastAsia" w:ascii="宋体" w:hAnsi="宋体" w:eastAsia="宋体" w:cs="宋体"/>
                <w:spacing w:val="-1"/>
                <w:sz w:val="21"/>
                <w:szCs w:val="21"/>
                <w:lang w:val="en-US" w:eastAsia="zh-CN"/>
              </w:rPr>
              <w:t>需求</w:t>
            </w:r>
            <w:r>
              <w:rPr>
                <w:rFonts w:hint="eastAsia" w:ascii="宋体" w:hAnsi="宋体" w:eastAsia="宋体" w:cs="宋体"/>
                <w:spacing w:val="-1"/>
                <w:sz w:val="21"/>
                <w:szCs w:val="21"/>
              </w:rPr>
              <w:t>。</w:t>
            </w:r>
          </w:p>
        </w:tc>
        <w:tc>
          <w:tcPr>
            <w:tcW w:w="1491" w:type="dxa"/>
            <w:vAlign w:val="center"/>
          </w:tcPr>
          <w:p w14:paraId="42F8A05E">
            <w:pPr>
              <w:pStyle w:val="12"/>
              <w:spacing w:before="119" w:line="219" w:lineRule="auto"/>
              <w:ind w:left="116"/>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过程记录</w:t>
            </w:r>
          </w:p>
        </w:tc>
      </w:tr>
      <w:tr w14:paraId="1F694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493" w:type="dxa"/>
            <w:vAlign w:val="center"/>
          </w:tcPr>
          <w:p w14:paraId="07D133FF">
            <w:pPr>
              <w:pStyle w:val="12"/>
              <w:spacing w:before="78" w:line="219" w:lineRule="auto"/>
              <w:ind w:left="0" w:leftChars="0" w:firstLine="0" w:firstLineChars="0"/>
              <w:jc w:val="center"/>
              <w:rPr>
                <w:rFonts w:hint="eastAsia" w:ascii="宋体" w:hAnsi="宋体" w:eastAsia="宋体" w:cs="宋体"/>
                <w:sz w:val="21"/>
                <w:szCs w:val="21"/>
              </w:rPr>
            </w:pPr>
            <w:r>
              <w:rPr>
                <w:rFonts w:hint="eastAsia" w:ascii="宋体" w:hAnsi="宋体" w:eastAsia="宋体" w:cs="宋体"/>
                <w:spacing w:val="-3"/>
                <w:sz w:val="21"/>
                <w:szCs w:val="21"/>
              </w:rPr>
              <w:t>接口服务</w:t>
            </w:r>
          </w:p>
        </w:tc>
        <w:tc>
          <w:tcPr>
            <w:tcW w:w="6323" w:type="dxa"/>
            <w:vAlign w:val="top"/>
          </w:tcPr>
          <w:p w14:paraId="1F01F673">
            <w:pPr>
              <w:pStyle w:val="12"/>
              <w:spacing w:before="118" w:line="336" w:lineRule="auto"/>
              <w:ind w:left="114" w:right="104"/>
              <w:jc w:val="both"/>
              <w:rPr>
                <w:rFonts w:hint="eastAsia" w:ascii="宋体" w:hAnsi="宋体" w:eastAsia="宋体" w:cs="宋体"/>
                <w:sz w:val="21"/>
                <w:szCs w:val="21"/>
              </w:rPr>
            </w:pPr>
            <w:r>
              <w:rPr>
                <w:rFonts w:hint="eastAsia" w:ascii="宋体" w:hAnsi="宋体" w:eastAsia="宋体" w:cs="宋体"/>
                <w:spacing w:val="-5"/>
                <w:sz w:val="21"/>
                <w:szCs w:val="21"/>
              </w:rPr>
              <w:t>免费提供接口技术方案咨询，提供新增系统接口开发有偿服务，接口费用根据需求涉及技术难度及工作强度，双方协商后另行签</w:t>
            </w:r>
            <w:r>
              <w:rPr>
                <w:rFonts w:hint="eastAsia" w:ascii="宋体" w:hAnsi="宋体" w:eastAsia="宋体" w:cs="宋体"/>
                <w:spacing w:val="-3"/>
                <w:sz w:val="21"/>
                <w:szCs w:val="21"/>
              </w:rPr>
              <w:t>订协议。</w:t>
            </w:r>
          </w:p>
        </w:tc>
        <w:tc>
          <w:tcPr>
            <w:tcW w:w="1491" w:type="dxa"/>
            <w:vAlign w:val="center"/>
          </w:tcPr>
          <w:p w14:paraId="0F8FE212">
            <w:pPr>
              <w:pStyle w:val="12"/>
              <w:spacing w:before="119" w:line="219" w:lineRule="auto"/>
              <w:ind w:left="116"/>
              <w:jc w:val="both"/>
              <w:rPr>
                <w:rFonts w:hint="eastAsia" w:ascii="宋体" w:hAnsi="宋体" w:eastAsia="宋体" w:cs="宋体"/>
                <w:sz w:val="21"/>
                <w:szCs w:val="21"/>
              </w:rPr>
            </w:pPr>
          </w:p>
        </w:tc>
      </w:tr>
      <w:tr w14:paraId="3DC89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93" w:type="dxa"/>
            <w:vAlign w:val="center"/>
          </w:tcPr>
          <w:p w14:paraId="3D28223F">
            <w:pPr>
              <w:pStyle w:val="12"/>
              <w:spacing w:before="78" w:line="219" w:lineRule="auto"/>
              <w:ind w:left="0" w:leftChars="0" w:firstLine="0" w:firstLineChars="0"/>
              <w:jc w:val="center"/>
              <w:rPr>
                <w:rFonts w:hint="eastAsia" w:ascii="宋体" w:hAnsi="宋体" w:eastAsia="宋体" w:cs="宋体"/>
                <w:sz w:val="21"/>
                <w:szCs w:val="21"/>
                <w:highlight w:val="yellow"/>
              </w:rPr>
            </w:pPr>
            <w:r>
              <w:rPr>
                <w:rFonts w:hint="eastAsia" w:ascii="宋体" w:hAnsi="宋体" w:eastAsia="宋体" w:cs="宋体"/>
                <w:spacing w:val="-3"/>
                <w:sz w:val="21"/>
                <w:szCs w:val="21"/>
                <w:highlight w:val="yellow"/>
              </w:rPr>
              <w:t>仪器对接</w:t>
            </w:r>
          </w:p>
        </w:tc>
        <w:tc>
          <w:tcPr>
            <w:tcW w:w="6323" w:type="dxa"/>
            <w:vAlign w:val="top"/>
          </w:tcPr>
          <w:p w14:paraId="6CBE6966">
            <w:pPr>
              <w:pStyle w:val="12"/>
              <w:spacing w:before="121" w:line="313" w:lineRule="auto"/>
              <w:ind w:left="121" w:right="104" w:hanging="7"/>
              <w:jc w:val="both"/>
              <w:rPr>
                <w:rFonts w:hint="eastAsia" w:ascii="宋体" w:hAnsi="宋体" w:eastAsia="宋体" w:cs="宋体"/>
                <w:sz w:val="21"/>
                <w:szCs w:val="21"/>
                <w:highlight w:val="yellow"/>
              </w:rPr>
            </w:pPr>
            <w:r>
              <w:rPr>
                <w:rFonts w:hint="eastAsia" w:ascii="宋体" w:hAnsi="宋体" w:eastAsia="宋体" w:cs="宋体"/>
                <w:spacing w:val="-5"/>
                <w:sz w:val="21"/>
                <w:szCs w:val="21"/>
                <w:highlight w:val="yellow"/>
              </w:rPr>
              <w:t>提供新增仪器有偿对接服务，根据接口类</w:t>
            </w:r>
            <w:r>
              <w:rPr>
                <w:rFonts w:hint="eastAsia" w:ascii="宋体" w:hAnsi="宋体" w:eastAsia="宋体" w:cs="宋体"/>
                <w:spacing w:val="-2"/>
                <w:sz w:val="21"/>
                <w:szCs w:val="21"/>
                <w:highlight w:val="yellow"/>
              </w:rPr>
              <w:t>型（单向/双向）按约定价格执行。</w:t>
            </w:r>
          </w:p>
        </w:tc>
        <w:tc>
          <w:tcPr>
            <w:tcW w:w="1491" w:type="dxa"/>
            <w:vAlign w:val="center"/>
          </w:tcPr>
          <w:p w14:paraId="54E547D0">
            <w:pPr>
              <w:pStyle w:val="12"/>
              <w:spacing w:before="119" w:line="219" w:lineRule="auto"/>
              <w:ind w:left="116"/>
              <w:jc w:val="both"/>
              <w:rPr>
                <w:rFonts w:hint="eastAsia" w:ascii="宋体" w:hAnsi="宋体" w:eastAsia="宋体" w:cs="宋体"/>
                <w:sz w:val="21"/>
                <w:szCs w:val="21"/>
              </w:rPr>
            </w:pPr>
          </w:p>
        </w:tc>
      </w:tr>
    </w:tbl>
    <w:p w14:paraId="4E2FF554">
      <w:pPr>
        <w:numPr>
          <w:ilvl w:val="0"/>
          <w:numId w:val="1"/>
        </w:numPr>
        <w:spacing w:line="360" w:lineRule="auto"/>
        <w:ind w:firstLine="480"/>
        <w:rPr>
          <w:rFonts w:hint="eastAsia" w:ascii="宋体" w:hAnsi="宋体" w:eastAsia="宋体"/>
          <w:sz w:val="24"/>
          <w:lang w:val="en-US" w:eastAsia="zh-CN"/>
        </w:rPr>
      </w:pPr>
      <w:bookmarkStart w:id="0" w:name="_Toc945"/>
      <w:bookmarkStart w:id="1" w:name="_Toc3136"/>
      <w:bookmarkStart w:id="2" w:name="_Toc1732"/>
      <w:bookmarkStart w:id="3" w:name="_Toc20488"/>
      <w:bookmarkStart w:id="4" w:name="_Toc20951"/>
      <w:r>
        <w:rPr>
          <w:rFonts w:hint="eastAsia" w:ascii="宋体" w:hAnsi="宋体" w:eastAsia="宋体"/>
          <w:sz w:val="24"/>
          <w:lang w:val="en-US" w:eastAsia="zh-CN"/>
        </w:rPr>
        <w:t>根据上级主管部门下发的最新版《湖北省健康医疗大数据采集规范》、《1.2_湖北省健康医疗大数据采集规范--数据元值域代码》提供</w:t>
      </w:r>
      <w:r>
        <w:rPr>
          <w:rFonts w:hint="default" w:ascii="宋体" w:hAnsi="宋体" w:eastAsia="宋体"/>
          <w:sz w:val="24"/>
          <w:lang w:val="en-US" w:eastAsia="zh-CN"/>
        </w:rPr>
        <w:t xml:space="preserve">5.2.4 </w:t>
      </w:r>
      <w:r>
        <w:rPr>
          <w:rFonts w:hint="eastAsia" w:ascii="宋体" w:hAnsi="宋体" w:eastAsia="宋体"/>
          <w:sz w:val="24"/>
          <w:lang w:val="en-US" w:eastAsia="zh-CN"/>
        </w:rPr>
        <w:t>临床辅助业务子集/</w:t>
      </w:r>
      <w:r>
        <w:rPr>
          <w:rFonts w:hint="default" w:ascii="宋体" w:hAnsi="宋体" w:eastAsia="宋体"/>
          <w:sz w:val="24"/>
          <w:lang w:val="en-US" w:eastAsia="zh-CN"/>
        </w:rPr>
        <w:t>5.2.4.1检验信息</w:t>
      </w:r>
      <w:r>
        <w:rPr>
          <w:rFonts w:hint="eastAsia" w:ascii="宋体" w:hAnsi="宋体" w:eastAsia="宋体"/>
          <w:sz w:val="24"/>
          <w:lang w:val="en-US" w:eastAsia="zh-CN"/>
        </w:rPr>
        <w:t>、5.2.5 传染病监测等章节要求的检验相关对接视图。</w:t>
      </w:r>
    </w:p>
    <w:p w14:paraId="356F6061">
      <w:pPr>
        <w:numPr>
          <w:ilvl w:val="0"/>
          <w:numId w:val="0"/>
        </w:numPr>
        <w:spacing w:line="360" w:lineRule="auto"/>
        <w:ind w:firstLine="480" w:firstLineChars="0"/>
        <w:outlineLvl w:val="0"/>
        <w:rPr>
          <w:rFonts w:hint="eastAsia" w:ascii="宋体" w:hAnsi="宋体" w:eastAsia="宋体"/>
          <w:sz w:val="24"/>
          <w:lang w:val="en-US" w:eastAsia="zh-CN"/>
        </w:rPr>
      </w:pPr>
      <w:r>
        <w:rPr>
          <w:rFonts w:hint="eastAsia" w:ascii="宋体" w:hAnsi="宋体" w:eastAsia="宋体"/>
          <w:sz w:val="24"/>
          <w:lang w:val="en-US" w:eastAsia="zh-CN"/>
        </w:rPr>
        <w:t>3、服务级别目标（SLA）与量化指标</w:t>
      </w:r>
      <w:bookmarkEnd w:id="0"/>
      <w:bookmarkEnd w:id="1"/>
      <w:bookmarkEnd w:id="2"/>
      <w:bookmarkEnd w:id="3"/>
      <w:bookmarkEnd w:id="4"/>
    </w:p>
    <w:p w14:paraId="1E60E6F4">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本项目按</w:t>
      </w:r>
      <w:r>
        <w:rPr>
          <w:rFonts w:hint="eastAsia" w:ascii="宋体" w:hAnsi="宋体" w:eastAsia="宋体" w:cs="宋体"/>
          <w:color w:val="FF0000"/>
          <w:sz w:val="24"/>
          <w:szCs w:val="24"/>
          <w:lang w:val="en-US" w:eastAsia="zh-CN"/>
        </w:rPr>
        <w:t>季</w:t>
      </w:r>
      <w:r>
        <w:rPr>
          <w:rFonts w:hint="eastAsia" w:ascii="宋体" w:hAnsi="宋体" w:eastAsia="宋体" w:cs="宋体"/>
          <w:sz w:val="24"/>
          <w:szCs w:val="24"/>
          <w:lang w:val="en-US" w:eastAsia="zh-CN"/>
        </w:rPr>
        <w:t>度进行考核指标统计。</w:t>
      </w:r>
    </w:p>
    <w:tbl>
      <w:tblPr>
        <w:tblStyle w:val="9"/>
        <w:tblW w:w="43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5"/>
        <w:gridCol w:w="1914"/>
        <w:gridCol w:w="1315"/>
        <w:gridCol w:w="2850"/>
      </w:tblGrid>
      <w:tr w14:paraId="06FA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89" w:type="pct"/>
            <w:vAlign w:val="center"/>
          </w:tcPr>
          <w:p w14:paraId="07FFD2FB">
            <w:pPr>
              <w:pStyle w:val="5"/>
              <w:widowControl w:val="0"/>
              <w:snapToGrid w:val="0"/>
              <w:spacing w:line="240" w:lineRule="auto"/>
              <w:ind w:left="0" w:leftChars="0" w:right="0" w:rightChars="0" w:firstLine="0" w:firstLineChars="0"/>
              <w:jc w:val="center"/>
              <w:rPr>
                <w:rFonts w:ascii="Times New Roman" w:hAnsi="Times New Roman" w:eastAsia="宋体" w:cs="Times New Roman"/>
                <w:b/>
                <w:sz w:val="21"/>
                <w:szCs w:val="21"/>
                <w:vertAlign w:val="baseline"/>
              </w:rPr>
            </w:pPr>
            <w:r>
              <w:rPr>
                <w:rFonts w:ascii="Times New Roman" w:hAnsi="Times New Roman" w:eastAsia="宋体" w:cs="Times New Roman"/>
                <w:b/>
                <w:sz w:val="21"/>
                <w:szCs w:val="21"/>
              </w:rPr>
              <w:t>指标</w:t>
            </w:r>
          </w:p>
        </w:tc>
        <w:tc>
          <w:tcPr>
            <w:tcW w:w="1294" w:type="pct"/>
            <w:vAlign w:val="center"/>
          </w:tcPr>
          <w:p w14:paraId="432A86D9">
            <w:pPr>
              <w:pStyle w:val="5"/>
              <w:widowControl w:val="0"/>
              <w:snapToGrid w:val="0"/>
              <w:spacing w:line="240" w:lineRule="auto"/>
              <w:ind w:left="0" w:leftChars="0" w:right="0" w:rightChars="0" w:firstLine="0" w:firstLineChars="0"/>
              <w:jc w:val="center"/>
              <w:rPr>
                <w:rFonts w:ascii="Times New Roman" w:hAnsi="Times New Roman" w:eastAsia="宋体" w:cs="Times New Roman"/>
                <w:b/>
                <w:sz w:val="21"/>
                <w:szCs w:val="21"/>
                <w:vertAlign w:val="baseline"/>
              </w:rPr>
            </w:pPr>
            <w:r>
              <w:rPr>
                <w:rFonts w:ascii="Times New Roman" w:hAnsi="Times New Roman" w:eastAsia="宋体" w:cs="Times New Roman"/>
                <w:b/>
                <w:sz w:val="21"/>
                <w:szCs w:val="21"/>
              </w:rPr>
              <w:t>定义</w:t>
            </w:r>
          </w:p>
        </w:tc>
        <w:tc>
          <w:tcPr>
            <w:tcW w:w="889" w:type="pct"/>
            <w:vAlign w:val="center"/>
          </w:tcPr>
          <w:p w14:paraId="3D42C852">
            <w:pPr>
              <w:pStyle w:val="5"/>
              <w:widowControl w:val="0"/>
              <w:snapToGrid w:val="0"/>
              <w:spacing w:line="240" w:lineRule="auto"/>
              <w:ind w:left="0" w:leftChars="0" w:right="0" w:rightChars="0" w:firstLine="0" w:firstLineChars="0"/>
              <w:jc w:val="center"/>
              <w:rPr>
                <w:rFonts w:ascii="Times New Roman" w:hAnsi="Times New Roman" w:eastAsia="宋体" w:cs="Times New Roman"/>
                <w:b/>
                <w:sz w:val="21"/>
                <w:szCs w:val="21"/>
                <w:vertAlign w:val="baseline"/>
              </w:rPr>
            </w:pPr>
            <w:r>
              <w:rPr>
                <w:rFonts w:ascii="Times New Roman" w:hAnsi="Times New Roman" w:eastAsia="宋体" w:cs="Times New Roman"/>
                <w:b/>
                <w:sz w:val="21"/>
                <w:szCs w:val="21"/>
              </w:rPr>
              <w:t>目标值</w:t>
            </w:r>
          </w:p>
        </w:tc>
        <w:tc>
          <w:tcPr>
            <w:tcW w:w="1926" w:type="pct"/>
            <w:vAlign w:val="center"/>
          </w:tcPr>
          <w:p w14:paraId="46BDCE5B">
            <w:pPr>
              <w:pStyle w:val="5"/>
              <w:widowControl w:val="0"/>
              <w:snapToGrid w:val="0"/>
              <w:spacing w:line="240" w:lineRule="auto"/>
              <w:ind w:left="0" w:leftChars="0" w:right="0" w:rightChars="0" w:firstLine="0" w:firstLineChars="0"/>
              <w:jc w:val="center"/>
              <w:rPr>
                <w:rFonts w:ascii="Times New Roman" w:hAnsi="Times New Roman" w:eastAsia="宋体" w:cs="Times New Roman"/>
                <w:b/>
                <w:sz w:val="21"/>
                <w:szCs w:val="21"/>
                <w:vertAlign w:val="baseline"/>
              </w:rPr>
            </w:pPr>
            <w:r>
              <w:rPr>
                <w:rFonts w:ascii="Times New Roman" w:hAnsi="Times New Roman" w:eastAsia="宋体" w:cs="Times New Roman"/>
                <w:b/>
                <w:sz w:val="21"/>
                <w:szCs w:val="21"/>
              </w:rPr>
              <w:t>测量方法</w:t>
            </w:r>
          </w:p>
        </w:tc>
      </w:tr>
      <w:tr w14:paraId="0838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9" w:type="pct"/>
            <w:vAlign w:val="center"/>
          </w:tcPr>
          <w:p w14:paraId="54DE6468">
            <w:pPr>
              <w:pStyle w:val="5"/>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ascii="Times New Roman" w:hAnsi="Times New Roman" w:eastAsia="宋体" w:cs="Times New Roman"/>
                <w:sz w:val="21"/>
                <w:szCs w:val="21"/>
              </w:rPr>
              <w:t>MTTR（一级故障）</w:t>
            </w:r>
          </w:p>
        </w:tc>
        <w:tc>
          <w:tcPr>
            <w:tcW w:w="1294" w:type="pct"/>
            <w:vAlign w:val="center"/>
          </w:tcPr>
          <w:p w14:paraId="5DA8B94A">
            <w:pPr>
              <w:pStyle w:val="5"/>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hint="eastAsia" w:cs="Times New Roman"/>
                <w:sz w:val="21"/>
                <w:szCs w:val="21"/>
                <w:lang w:val="en-US" w:eastAsia="zh-CN"/>
              </w:rPr>
              <w:t>彻底</w:t>
            </w:r>
            <w:r>
              <w:rPr>
                <w:rFonts w:ascii="Times New Roman" w:hAnsi="Times New Roman" w:eastAsia="宋体" w:cs="Times New Roman"/>
                <w:sz w:val="21"/>
                <w:szCs w:val="21"/>
              </w:rPr>
              <w:t>修复时间（一级故障）</w:t>
            </w:r>
          </w:p>
        </w:tc>
        <w:tc>
          <w:tcPr>
            <w:tcW w:w="889" w:type="pct"/>
            <w:vAlign w:val="center"/>
          </w:tcPr>
          <w:p w14:paraId="78E3D220">
            <w:pPr>
              <w:pStyle w:val="5"/>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hint="eastAsia" w:ascii="Times New Roman" w:eastAsia="宋体" w:cs="Times New Roman"/>
                <w:sz w:val="21"/>
                <w:szCs w:val="21"/>
                <w:lang w:val="en-US" w:eastAsia="zh-CN"/>
              </w:rPr>
              <w:t>≤24小时</w:t>
            </w:r>
          </w:p>
        </w:tc>
        <w:tc>
          <w:tcPr>
            <w:tcW w:w="1926" w:type="pct"/>
            <w:vAlign w:val="center"/>
          </w:tcPr>
          <w:p w14:paraId="5A0410B1">
            <w:pPr>
              <w:pStyle w:val="5"/>
              <w:keepNext/>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15分钟内工程师确认，启动应急预案；2小时内使核心业务可运行；24小时内交付根因分析与最终修复并防止复发。</w:t>
            </w:r>
          </w:p>
        </w:tc>
      </w:tr>
      <w:tr w14:paraId="60EC5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9" w:type="pct"/>
            <w:shd w:val="clear" w:color="auto" w:fill="auto"/>
            <w:vAlign w:val="center"/>
          </w:tcPr>
          <w:p w14:paraId="5F15CF8D">
            <w:pPr>
              <w:pStyle w:val="5"/>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ascii="Times New Roman" w:hAnsi="Times New Roman" w:eastAsia="宋体" w:cs="Times New Roman"/>
                <w:sz w:val="21"/>
                <w:szCs w:val="21"/>
              </w:rPr>
              <w:t>MTTR（</w:t>
            </w:r>
            <w:r>
              <w:rPr>
                <w:rFonts w:hint="eastAsia" w:ascii="Times New Roman" w:eastAsia="宋体" w:cs="Times New Roman"/>
                <w:sz w:val="21"/>
                <w:szCs w:val="21"/>
                <w:lang w:val="en-US" w:eastAsia="zh-CN"/>
              </w:rPr>
              <w:t>二</w:t>
            </w:r>
            <w:r>
              <w:rPr>
                <w:rFonts w:ascii="Times New Roman" w:hAnsi="Times New Roman" w:eastAsia="宋体" w:cs="Times New Roman"/>
                <w:sz w:val="21"/>
                <w:szCs w:val="21"/>
              </w:rPr>
              <w:t>级故障）</w:t>
            </w:r>
          </w:p>
        </w:tc>
        <w:tc>
          <w:tcPr>
            <w:tcW w:w="1294" w:type="pct"/>
            <w:shd w:val="clear" w:color="auto" w:fill="auto"/>
            <w:vAlign w:val="center"/>
          </w:tcPr>
          <w:p w14:paraId="3B459E88">
            <w:pPr>
              <w:pStyle w:val="5"/>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hint="eastAsia" w:cs="Times New Roman"/>
                <w:sz w:val="21"/>
                <w:szCs w:val="21"/>
                <w:lang w:val="en-US" w:eastAsia="zh-CN"/>
              </w:rPr>
              <w:t>彻底</w:t>
            </w:r>
            <w:r>
              <w:rPr>
                <w:rFonts w:ascii="Times New Roman" w:hAnsi="Times New Roman" w:eastAsia="宋体" w:cs="Times New Roman"/>
                <w:sz w:val="21"/>
                <w:szCs w:val="21"/>
              </w:rPr>
              <w:t>修复时间（</w:t>
            </w:r>
            <w:r>
              <w:rPr>
                <w:rFonts w:hint="eastAsia" w:ascii="Times New Roman" w:eastAsia="宋体" w:cs="Times New Roman"/>
                <w:sz w:val="21"/>
                <w:szCs w:val="21"/>
                <w:lang w:val="en-US" w:eastAsia="zh-CN"/>
              </w:rPr>
              <w:t>二</w:t>
            </w:r>
            <w:r>
              <w:rPr>
                <w:rFonts w:ascii="Times New Roman" w:hAnsi="Times New Roman" w:eastAsia="宋体" w:cs="Times New Roman"/>
                <w:sz w:val="21"/>
                <w:szCs w:val="21"/>
              </w:rPr>
              <w:t>级故障）</w:t>
            </w:r>
          </w:p>
        </w:tc>
        <w:tc>
          <w:tcPr>
            <w:tcW w:w="889" w:type="pct"/>
            <w:shd w:val="clear" w:color="auto" w:fill="auto"/>
            <w:vAlign w:val="center"/>
          </w:tcPr>
          <w:p w14:paraId="3A8E142E">
            <w:pPr>
              <w:pStyle w:val="5"/>
              <w:widowControl w:val="0"/>
              <w:snapToGrid w:val="0"/>
              <w:spacing w:line="240" w:lineRule="auto"/>
              <w:ind w:left="0" w:leftChars="0" w:right="0" w:rightChars="0" w:firstLine="0" w:firstLineChars="0"/>
              <w:jc w:val="both"/>
              <w:rPr>
                <w:rFonts w:hint="eastAsia" w:ascii="Times New Roman" w:hAnsi="Times New Roman" w:eastAsia="宋体" w:cs="Times New Roman"/>
                <w:sz w:val="21"/>
                <w:szCs w:val="21"/>
                <w:lang w:val="en-US" w:eastAsia="zh-CN"/>
              </w:rPr>
            </w:pPr>
            <w:r>
              <w:rPr>
                <w:rFonts w:hint="eastAsia" w:ascii="Times New Roman" w:eastAsia="宋体" w:cs="Times New Roman"/>
                <w:sz w:val="21"/>
                <w:szCs w:val="21"/>
                <w:lang w:val="en-US" w:eastAsia="zh-CN"/>
              </w:rPr>
              <w:t>≤72小时</w:t>
            </w:r>
          </w:p>
        </w:tc>
        <w:tc>
          <w:tcPr>
            <w:tcW w:w="1926" w:type="pct"/>
            <w:shd w:val="clear" w:color="auto" w:fill="auto"/>
            <w:vAlign w:val="center"/>
          </w:tcPr>
          <w:p w14:paraId="5BE01740">
            <w:pPr>
              <w:pStyle w:val="5"/>
              <w:keepNext/>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30分钟内工程师确认，4小时内提供可操作的变通方案或修复主要功能（如绕过故障模块），</w:t>
            </w:r>
            <w:r>
              <w:rPr>
                <w:rFonts w:hint="eastAsia" w:cs="Times New Roman"/>
                <w:sz w:val="21"/>
                <w:szCs w:val="21"/>
                <w:lang w:val="en-US" w:eastAsia="zh-CN"/>
              </w:rPr>
              <w:t>72小时</w:t>
            </w:r>
            <w:r>
              <w:rPr>
                <w:rFonts w:hint="eastAsia" w:ascii="Times New Roman" w:hAnsi="Times New Roman" w:eastAsia="宋体" w:cs="Times New Roman"/>
                <w:sz w:val="21"/>
                <w:szCs w:val="21"/>
                <w:lang w:val="en-US" w:eastAsia="zh-CN"/>
              </w:rPr>
              <w:t>内完成完整修复并回归正常。</w:t>
            </w:r>
          </w:p>
        </w:tc>
      </w:tr>
      <w:tr w14:paraId="5A22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9" w:type="pct"/>
            <w:shd w:val="clear" w:color="auto" w:fill="auto"/>
            <w:vAlign w:val="center"/>
          </w:tcPr>
          <w:p w14:paraId="6E89228B">
            <w:pPr>
              <w:pStyle w:val="5"/>
              <w:widowControl w:val="0"/>
              <w:snapToGrid w:val="0"/>
              <w:spacing w:line="240" w:lineRule="auto"/>
              <w:ind w:left="0" w:leftChars="0" w:right="0" w:rightChars="0" w:firstLine="0" w:firstLineChars="0"/>
              <w:jc w:val="both"/>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rPr>
              <w:t>MTTR（</w:t>
            </w:r>
            <w:r>
              <w:rPr>
                <w:rFonts w:hint="eastAsia" w:cs="Times New Roman"/>
                <w:sz w:val="21"/>
                <w:szCs w:val="21"/>
                <w:lang w:val="en-US" w:eastAsia="zh-CN"/>
              </w:rPr>
              <w:t>三</w:t>
            </w:r>
            <w:r>
              <w:rPr>
                <w:rFonts w:ascii="Times New Roman" w:hAnsi="Times New Roman" w:eastAsia="宋体" w:cs="Times New Roman"/>
                <w:sz w:val="21"/>
                <w:szCs w:val="21"/>
              </w:rPr>
              <w:t>级故障）</w:t>
            </w:r>
          </w:p>
        </w:tc>
        <w:tc>
          <w:tcPr>
            <w:tcW w:w="1294" w:type="pct"/>
            <w:shd w:val="clear" w:color="auto" w:fill="auto"/>
            <w:vAlign w:val="center"/>
          </w:tcPr>
          <w:p w14:paraId="29EE82D3">
            <w:pPr>
              <w:pStyle w:val="5"/>
              <w:widowControl w:val="0"/>
              <w:snapToGrid w:val="0"/>
              <w:spacing w:line="240" w:lineRule="auto"/>
              <w:ind w:left="0" w:leftChars="0" w:right="0" w:rightChars="0" w:firstLine="0" w:firstLineChars="0"/>
              <w:jc w:val="both"/>
              <w:rPr>
                <w:rFonts w:hint="eastAsia" w:ascii="Times New Roman" w:hAnsi="Times New Roman" w:eastAsia="宋体" w:cs="Times New Roman"/>
                <w:sz w:val="21"/>
                <w:szCs w:val="21"/>
                <w:lang w:val="en-US" w:eastAsia="zh-CN"/>
              </w:rPr>
            </w:pPr>
            <w:r>
              <w:rPr>
                <w:rFonts w:hint="eastAsia" w:cs="Times New Roman"/>
                <w:sz w:val="21"/>
                <w:szCs w:val="21"/>
                <w:lang w:val="en-US" w:eastAsia="zh-CN"/>
              </w:rPr>
              <w:t>彻底</w:t>
            </w:r>
            <w:r>
              <w:rPr>
                <w:rFonts w:ascii="Times New Roman" w:hAnsi="Times New Roman" w:eastAsia="宋体" w:cs="Times New Roman"/>
                <w:sz w:val="21"/>
                <w:szCs w:val="21"/>
              </w:rPr>
              <w:t>修复时间（</w:t>
            </w:r>
            <w:r>
              <w:rPr>
                <w:rFonts w:hint="eastAsia" w:cs="Times New Roman"/>
                <w:sz w:val="21"/>
                <w:szCs w:val="21"/>
                <w:lang w:val="en-US" w:eastAsia="zh-CN"/>
              </w:rPr>
              <w:t>三</w:t>
            </w:r>
            <w:r>
              <w:rPr>
                <w:rFonts w:ascii="Times New Roman" w:hAnsi="Times New Roman" w:eastAsia="宋体" w:cs="Times New Roman"/>
                <w:sz w:val="21"/>
                <w:szCs w:val="21"/>
              </w:rPr>
              <w:t>级故障）</w:t>
            </w:r>
          </w:p>
        </w:tc>
        <w:tc>
          <w:tcPr>
            <w:tcW w:w="889" w:type="pct"/>
            <w:shd w:val="clear" w:color="auto" w:fill="auto"/>
            <w:vAlign w:val="center"/>
          </w:tcPr>
          <w:p w14:paraId="5DE4B844">
            <w:pPr>
              <w:pStyle w:val="5"/>
              <w:widowControl w:val="0"/>
              <w:snapToGrid w:val="0"/>
              <w:spacing w:line="240" w:lineRule="auto"/>
              <w:ind w:left="0" w:leftChars="0" w:right="0" w:rightChars="0" w:firstLine="0" w:firstLineChars="0"/>
              <w:jc w:val="both"/>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≤10个工作日</w:t>
            </w:r>
          </w:p>
        </w:tc>
        <w:tc>
          <w:tcPr>
            <w:tcW w:w="1926" w:type="pct"/>
            <w:shd w:val="clear" w:color="auto" w:fill="auto"/>
            <w:vAlign w:val="center"/>
          </w:tcPr>
          <w:p w14:paraId="3FB6EE00">
            <w:pPr>
              <w:pStyle w:val="5"/>
              <w:keepNext/>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2小时内确认并指派处理人，3个工作日内提供临时解决方法（如调整配置、提供替代流程），10个工作日内彻底解决。</w:t>
            </w:r>
          </w:p>
        </w:tc>
      </w:tr>
      <w:tr w14:paraId="0D9D0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9" w:type="pct"/>
            <w:shd w:val="clear" w:color="auto" w:fill="auto"/>
            <w:vAlign w:val="center"/>
          </w:tcPr>
          <w:p w14:paraId="044EE6C6">
            <w:pPr>
              <w:pStyle w:val="5"/>
              <w:widowControl w:val="0"/>
              <w:snapToGrid w:val="0"/>
              <w:spacing w:line="240" w:lineRule="auto"/>
              <w:ind w:left="0" w:leftChars="0" w:right="0" w:rightChars="0" w:firstLine="0" w:firstLineChars="0"/>
              <w:jc w:val="both"/>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rPr>
              <w:t>MTTR（</w:t>
            </w:r>
            <w:r>
              <w:rPr>
                <w:rFonts w:hint="eastAsia" w:cs="Times New Roman"/>
                <w:sz w:val="21"/>
                <w:szCs w:val="21"/>
                <w:lang w:val="en-US" w:eastAsia="zh-CN"/>
              </w:rPr>
              <w:t>四</w:t>
            </w:r>
            <w:r>
              <w:rPr>
                <w:rFonts w:ascii="Times New Roman" w:hAnsi="Times New Roman" w:eastAsia="宋体" w:cs="Times New Roman"/>
                <w:sz w:val="21"/>
                <w:szCs w:val="21"/>
              </w:rPr>
              <w:t>级故障）</w:t>
            </w:r>
          </w:p>
        </w:tc>
        <w:tc>
          <w:tcPr>
            <w:tcW w:w="1294" w:type="pct"/>
            <w:shd w:val="clear" w:color="auto" w:fill="auto"/>
            <w:vAlign w:val="center"/>
          </w:tcPr>
          <w:p w14:paraId="6078BC7D">
            <w:pPr>
              <w:pStyle w:val="5"/>
              <w:widowControl w:val="0"/>
              <w:snapToGrid w:val="0"/>
              <w:spacing w:line="240" w:lineRule="auto"/>
              <w:ind w:left="0" w:leftChars="0" w:right="0" w:rightChars="0" w:firstLine="0" w:firstLineChars="0"/>
              <w:jc w:val="both"/>
              <w:rPr>
                <w:rFonts w:hint="eastAsia" w:ascii="Times New Roman" w:hAnsi="Times New Roman" w:eastAsia="宋体" w:cs="Times New Roman"/>
                <w:sz w:val="21"/>
                <w:szCs w:val="21"/>
                <w:lang w:val="en-US" w:eastAsia="zh-CN"/>
              </w:rPr>
            </w:pPr>
            <w:r>
              <w:rPr>
                <w:rFonts w:hint="eastAsia" w:cs="Times New Roman"/>
                <w:sz w:val="21"/>
                <w:szCs w:val="21"/>
                <w:lang w:val="en-US" w:eastAsia="zh-CN"/>
              </w:rPr>
              <w:t>彻底</w:t>
            </w:r>
            <w:r>
              <w:rPr>
                <w:rFonts w:ascii="Times New Roman" w:hAnsi="Times New Roman" w:eastAsia="宋体" w:cs="Times New Roman"/>
                <w:sz w:val="21"/>
                <w:szCs w:val="21"/>
              </w:rPr>
              <w:t>修复时间（</w:t>
            </w:r>
            <w:r>
              <w:rPr>
                <w:rFonts w:hint="eastAsia" w:cs="Times New Roman"/>
                <w:sz w:val="21"/>
                <w:szCs w:val="21"/>
                <w:lang w:val="en-US" w:eastAsia="zh-CN"/>
              </w:rPr>
              <w:t>四</w:t>
            </w:r>
            <w:r>
              <w:rPr>
                <w:rFonts w:ascii="Times New Roman" w:hAnsi="Times New Roman" w:eastAsia="宋体" w:cs="Times New Roman"/>
                <w:sz w:val="21"/>
                <w:szCs w:val="21"/>
              </w:rPr>
              <w:t>级故障）</w:t>
            </w:r>
          </w:p>
        </w:tc>
        <w:tc>
          <w:tcPr>
            <w:tcW w:w="889" w:type="pct"/>
            <w:shd w:val="clear" w:color="auto" w:fill="auto"/>
            <w:vAlign w:val="center"/>
          </w:tcPr>
          <w:p w14:paraId="57215141">
            <w:pPr>
              <w:pStyle w:val="5"/>
              <w:widowControl w:val="0"/>
              <w:snapToGrid w:val="0"/>
              <w:spacing w:line="240" w:lineRule="auto"/>
              <w:ind w:left="0" w:leftChars="0" w:right="0" w:rightChars="0" w:firstLine="0" w:firstLineChars="0"/>
              <w:jc w:val="both"/>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≤30个工作日</w:t>
            </w:r>
          </w:p>
        </w:tc>
        <w:tc>
          <w:tcPr>
            <w:tcW w:w="1926" w:type="pct"/>
            <w:shd w:val="clear" w:color="auto" w:fill="auto"/>
            <w:vAlign w:val="center"/>
          </w:tcPr>
          <w:p w14:paraId="7E14E37C">
            <w:pPr>
              <w:pStyle w:val="5"/>
              <w:keepNext/>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8小时内给出初步诊断与计划，30个工作日内彻底解决。</w:t>
            </w:r>
          </w:p>
        </w:tc>
      </w:tr>
      <w:tr w14:paraId="1F57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9" w:type="pct"/>
            <w:shd w:val="clear" w:color="auto" w:fill="auto"/>
            <w:vAlign w:val="center"/>
          </w:tcPr>
          <w:p w14:paraId="67420B22">
            <w:pPr>
              <w:pStyle w:val="5"/>
              <w:widowControl w:val="0"/>
              <w:snapToGrid w:val="0"/>
              <w:spacing w:line="240" w:lineRule="auto"/>
              <w:ind w:left="0" w:leftChars="0" w:right="0" w:rightChars="0" w:firstLine="0" w:firstLineChars="0"/>
              <w:jc w:val="both"/>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数据不丢失</w:t>
            </w:r>
          </w:p>
        </w:tc>
        <w:tc>
          <w:tcPr>
            <w:tcW w:w="1294" w:type="pct"/>
            <w:shd w:val="clear" w:color="auto" w:fill="auto"/>
            <w:vAlign w:val="center"/>
          </w:tcPr>
          <w:p w14:paraId="495D06FA">
            <w:pPr>
              <w:pStyle w:val="5"/>
              <w:widowControl w:val="0"/>
              <w:snapToGrid w:val="0"/>
              <w:spacing w:line="240" w:lineRule="auto"/>
              <w:ind w:left="0" w:leftChars="0" w:right="0" w:rightChars="0" w:firstLine="0" w:firstLineChars="0"/>
              <w:jc w:val="both"/>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数据库数据不丢失</w:t>
            </w:r>
          </w:p>
        </w:tc>
        <w:tc>
          <w:tcPr>
            <w:tcW w:w="889" w:type="pct"/>
            <w:shd w:val="clear" w:color="auto" w:fill="auto"/>
            <w:vAlign w:val="center"/>
          </w:tcPr>
          <w:p w14:paraId="4D1A847B">
            <w:pPr>
              <w:pStyle w:val="5"/>
              <w:widowControl w:val="0"/>
              <w:snapToGrid w:val="0"/>
              <w:spacing w:line="240" w:lineRule="auto"/>
              <w:ind w:left="0" w:leftChars="0" w:right="0" w:rightChars="0" w:firstLine="0" w:firstLineChars="0"/>
              <w:jc w:val="both"/>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数据零丢失</w:t>
            </w:r>
          </w:p>
        </w:tc>
        <w:tc>
          <w:tcPr>
            <w:tcW w:w="1926" w:type="pct"/>
            <w:shd w:val="clear" w:color="auto" w:fill="auto"/>
            <w:vAlign w:val="center"/>
          </w:tcPr>
          <w:p w14:paraId="6AEC8806">
            <w:pPr>
              <w:pStyle w:val="5"/>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ascii="Times New Roman" w:hAnsi="Times New Roman" w:eastAsia="宋体" w:cs="Times New Roman"/>
                <w:sz w:val="21"/>
                <w:szCs w:val="21"/>
              </w:rPr>
              <w:t>按</w:t>
            </w:r>
            <w:r>
              <w:rPr>
                <w:rFonts w:hint="eastAsia" w:cs="Times New Roman"/>
                <w:sz w:val="21"/>
                <w:szCs w:val="21"/>
                <w:lang w:val="en-US" w:eastAsia="zh-CN"/>
              </w:rPr>
              <w:t>周期</w:t>
            </w:r>
            <w:r>
              <w:rPr>
                <w:rFonts w:ascii="Times New Roman" w:hAnsi="Times New Roman" w:eastAsia="宋体" w:cs="Times New Roman"/>
                <w:sz w:val="21"/>
                <w:szCs w:val="21"/>
              </w:rPr>
              <w:t>统计</w:t>
            </w:r>
          </w:p>
        </w:tc>
      </w:tr>
      <w:tr w14:paraId="53AD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9" w:type="pct"/>
            <w:shd w:val="clear" w:color="auto" w:fill="auto"/>
            <w:vAlign w:val="center"/>
          </w:tcPr>
          <w:p w14:paraId="7415D25D">
            <w:pPr>
              <w:pStyle w:val="5"/>
              <w:widowControl w:val="0"/>
              <w:snapToGrid w:val="0"/>
              <w:spacing w:line="240" w:lineRule="auto"/>
              <w:ind w:left="0" w:leftChars="0" w:right="0" w:rightChars="0" w:firstLine="0" w:firstLineChars="0"/>
              <w:jc w:val="both"/>
              <w:rPr>
                <w:rFonts w:hint="default" w:ascii="Times New Roman" w:hAnsi="Times New Roman" w:eastAsia="宋体" w:cs="Times New Roman"/>
                <w:sz w:val="21"/>
                <w:szCs w:val="21"/>
                <w:lang w:val="en-US" w:eastAsia="zh-CN"/>
              </w:rPr>
            </w:pPr>
            <w:r>
              <w:rPr>
                <w:rFonts w:hint="eastAsia" w:ascii="Times New Roman" w:eastAsia="宋体" w:cs="Times New Roman"/>
                <w:sz w:val="21"/>
                <w:szCs w:val="21"/>
                <w:lang w:val="en-US" w:eastAsia="zh-CN"/>
              </w:rPr>
              <w:t>网络安全零事件</w:t>
            </w:r>
          </w:p>
        </w:tc>
        <w:tc>
          <w:tcPr>
            <w:tcW w:w="1294" w:type="pct"/>
            <w:shd w:val="clear" w:color="auto" w:fill="auto"/>
            <w:vAlign w:val="center"/>
          </w:tcPr>
          <w:p w14:paraId="3A381C82">
            <w:pPr>
              <w:pStyle w:val="5"/>
              <w:widowControl w:val="0"/>
              <w:snapToGrid w:val="0"/>
              <w:spacing w:line="240" w:lineRule="auto"/>
              <w:ind w:left="0" w:leftChars="0" w:right="0" w:rightChars="0" w:firstLine="0" w:firstLineChars="0"/>
              <w:jc w:val="both"/>
              <w:rPr>
                <w:rFonts w:hint="default" w:ascii="Times New Roman" w:hAnsi="Times New Roman" w:eastAsia="宋体" w:cs="Times New Roman"/>
                <w:sz w:val="21"/>
                <w:szCs w:val="21"/>
                <w:lang w:val="en-US" w:eastAsia="zh-CN"/>
              </w:rPr>
            </w:pPr>
            <w:r>
              <w:rPr>
                <w:rFonts w:hint="eastAsia" w:ascii="Times New Roman" w:eastAsia="宋体" w:cs="Times New Roman"/>
                <w:sz w:val="21"/>
                <w:szCs w:val="21"/>
                <w:lang w:val="en-US" w:eastAsia="zh-CN"/>
              </w:rPr>
              <w:t>无网络安全事件</w:t>
            </w:r>
          </w:p>
        </w:tc>
        <w:tc>
          <w:tcPr>
            <w:tcW w:w="889" w:type="pct"/>
            <w:shd w:val="clear" w:color="auto" w:fill="auto"/>
            <w:vAlign w:val="center"/>
          </w:tcPr>
          <w:p w14:paraId="3AF0AE09">
            <w:pPr>
              <w:pStyle w:val="5"/>
              <w:widowControl w:val="0"/>
              <w:snapToGrid w:val="0"/>
              <w:spacing w:line="240" w:lineRule="auto"/>
              <w:ind w:left="0" w:leftChars="0" w:right="0" w:rightChars="0" w:firstLine="0" w:firstLineChars="0"/>
              <w:jc w:val="both"/>
              <w:rPr>
                <w:rFonts w:hint="eastAsia" w:ascii="Times New Roman" w:hAnsi="Times New Roman" w:eastAsia="宋体" w:cs="Times New Roman"/>
                <w:sz w:val="21"/>
                <w:szCs w:val="21"/>
                <w:lang w:val="en-US" w:eastAsia="zh-CN"/>
              </w:rPr>
            </w:pPr>
            <w:r>
              <w:rPr>
                <w:rFonts w:hint="eastAsia" w:ascii="Times New Roman" w:eastAsia="宋体" w:cs="Times New Roman"/>
                <w:sz w:val="21"/>
                <w:szCs w:val="21"/>
                <w:lang w:val="en-US" w:eastAsia="zh-CN"/>
              </w:rPr>
              <w:t>网络安全零事件</w:t>
            </w:r>
          </w:p>
        </w:tc>
        <w:tc>
          <w:tcPr>
            <w:tcW w:w="1926" w:type="pct"/>
            <w:shd w:val="clear" w:color="auto" w:fill="auto"/>
            <w:vAlign w:val="center"/>
          </w:tcPr>
          <w:p w14:paraId="69C9BF4C">
            <w:pPr>
              <w:pStyle w:val="5"/>
              <w:widowControl w:val="0"/>
              <w:snapToGrid w:val="0"/>
              <w:spacing w:line="240" w:lineRule="auto"/>
              <w:ind w:left="0" w:leftChars="0" w:right="0" w:rightChars="0" w:firstLine="0" w:firstLineChars="0"/>
              <w:jc w:val="both"/>
              <w:rPr>
                <w:rFonts w:ascii="Times New Roman" w:hAnsi="Times New Roman" w:eastAsia="宋体" w:cs="Times New Roman"/>
                <w:sz w:val="21"/>
                <w:szCs w:val="21"/>
              </w:rPr>
            </w:pPr>
            <w:r>
              <w:rPr>
                <w:rFonts w:ascii="Times New Roman" w:hAnsi="Times New Roman" w:eastAsia="宋体" w:cs="Times New Roman"/>
                <w:sz w:val="21"/>
                <w:szCs w:val="21"/>
              </w:rPr>
              <w:t>按</w:t>
            </w:r>
            <w:r>
              <w:rPr>
                <w:rFonts w:hint="eastAsia" w:cs="Times New Roman"/>
                <w:sz w:val="21"/>
                <w:szCs w:val="21"/>
                <w:lang w:val="en-US" w:eastAsia="zh-CN"/>
              </w:rPr>
              <w:t>周期</w:t>
            </w:r>
            <w:r>
              <w:rPr>
                <w:rFonts w:ascii="Times New Roman" w:hAnsi="Times New Roman" w:eastAsia="宋体" w:cs="Times New Roman"/>
                <w:sz w:val="21"/>
                <w:szCs w:val="21"/>
              </w:rPr>
              <w:t>统计</w:t>
            </w:r>
          </w:p>
        </w:tc>
      </w:tr>
    </w:tbl>
    <w:p w14:paraId="3016167B">
      <w:pPr>
        <w:numPr>
          <w:ilvl w:val="0"/>
          <w:numId w:val="0"/>
        </w:numPr>
        <w:spacing w:line="360" w:lineRule="auto"/>
        <w:ind w:firstLine="480" w:firstLineChars="0"/>
        <w:outlineLvl w:val="0"/>
        <w:rPr>
          <w:rFonts w:hint="default" w:ascii="宋体" w:hAnsi="宋体" w:eastAsia="宋体"/>
          <w:sz w:val="24"/>
          <w:lang w:val="en-US" w:eastAsia="zh-CN"/>
        </w:rPr>
      </w:pPr>
      <w:r>
        <w:rPr>
          <w:rFonts w:hint="eastAsia" w:ascii="宋体" w:hAnsi="宋体" w:eastAsia="宋体"/>
          <w:sz w:val="24"/>
          <w:lang w:val="en-US" w:eastAsia="zh-CN"/>
        </w:rPr>
        <w:t>4、服务质量评价：甲、乙双方每季按打分表进行服务质量评价和考核（总分100分，≥85分为优秀，60≤分数&lt;85为合格，&lt;60为不合格）。年度服务质量评价得分 = 季度维度得分的算术平均值（保留一位小数），总分100分，≥85分为优秀，60≤分数&lt;85为合格，&lt;60为不合格。评分结果作为进度款支付及惩罚依据，表样见附件一、附件二。</w:t>
      </w:r>
    </w:p>
    <w:p w14:paraId="5A7855C3">
      <w:pPr>
        <w:spacing w:line="360" w:lineRule="auto"/>
        <w:rPr>
          <w:rFonts w:hint="eastAsia" w:ascii="宋体" w:hAnsi="宋体" w:eastAsia="宋体"/>
          <w:sz w:val="24"/>
        </w:rPr>
      </w:pPr>
    </w:p>
    <w:p w14:paraId="786C426D">
      <w:pPr>
        <w:spacing w:line="360" w:lineRule="auto"/>
        <w:outlineLvl w:val="1"/>
        <w:rPr>
          <w:rFonts w:hint="eastAsia" w:ascii="宋体" w:hAnsi="宋体" w:eastAsia="宋体"/>
          <w:b/>
          <w:sz w:val="24"/>
        </w:rPr>
      </w:pPr>
      <w:r>
        <w:rPr>
          <w:rFonts w:hint="eastAsia" w:ascii="宋体" w:hAnsi="宋体" w:eastAsia="宋体"/>
          <w:b/>
          <w:sz w:val="24"/>
        </w:rPr>
        <w:t>四、商务要求</w:t>
      </w:r>
    </w:p>
    <w:p w14:paraId="03D02F8B">
      <w:pPr>
        <w:spacing w:line="360" w:lineRule="auto"/>
        <w:ind w:firstLine="480"/>
        <w:outlineLvl w:val="0"/>
        <w:rPr>
          <w:rFonts w:ascii="宋体" w:hAnsi="宋体" w:eastAsia="宋体"/>
          <w:sz w:val="24"/>
        </w:rPr>
      </w:pPr>
      <w:r>
        <w:rPr>
          <w:rFonts w:hint="eastAsia" w:ascii="宋体" w:hAnsi="宋体" w:eastAsia="宋体"/>
          <w:sz w:val="24"/>
        </w:rPr>
        <w:t>1、报价要求：投标人需为本项目服务内容提供</w:t>
      </w:r>
      <w:r>
        <w:rPr>
          <w:rFonts w:hint="eastAsia" w:ascii="宋体" w:hAnsi="宋体" w:eastAsia="宋体"/>
          <w:sz w:val="24"/>
          <w:lang w:val="en-US" w:eastAsia="zh-CN"/>
        </w:rPr>
        <w:t>分项</w:t>
      </w:r>
      <w:r>
        <w:rPr>
          <w:rFonts w:hint="eastAsia" w:ascii="宋体" w:hAnsi="宋体" w:eastAsia="宋体"/>
          <w:sz w:val="24"/>
        </w:rPr>
        <w:t>报价清单。</w:t>
      </w:r>
    </w:p>
    <w:p w14:paraId="5913516B">
      <w:pPr>
        <w:spacing w:line="360" w:lineRule="auto"/>
        <w:ind w:firstLine="480"/>
        <w:rPr>
          <w:rFonts w:ascii="宋体" w:hAnsi="宋体" w:eastAsia="宋体"/>
          <w:sz w:val="24"/>
        </w:rPr>
      </w:pPr>
      <w:r>
        <w:rPr>
          <w:rFonts w:hint="eastAsia" w:ascii="宋体" w:hAnsi="宋体" w:eastAsia="宋体"/>
          <w:sz w:val="24"/>
        </w:rPr>
        <w:t>2、人员要求：投标人需为本项目配备不少于</w:t>
      </w:r>
      <w:r>
        <w:rPr>
          <w:rFonts w:hint="eastAsia" w:ascii="宋体" w:hAnsi="宋体" w:eastAsia="宋体"/>
          <w:sz w:val="24"/>
          <w:lang w:val="en-US" w:eastAsia="zh-CN"/>
        </w:rPr>
        <w:t>2</w:t>
      </w:r>
      <w:r>
        <w:rPr>
          <w:rFonts w:hint="eastAsia" w:ascii="宋体" w:hAnsi="宋体" w:eastAsia="宋体"/>
          <w:sz w:val="24"/>
        </w:rPr>
        <w:t xml:space="preserve"> 人的专业</w:t>
      </w:r>
      <w:r>
        <w:rPr>
          <w:rFonts w:hint="eastAsia" w:ascii="宋体" w:hAnsi="宋体" w:eastAsia="宋体"/>
          <w:sz w:val="24"/>
          <w:lang w:val="en-US" w:eastAsia="zh-CN"/>
        </w:rPr>
        <w:t>服务</w:t>
      </w:r>
      <w:r>
        <w:rPr>
          <w:rFonts w:hint="eastAsia" w:ascii="宋体" w:hAnsi="宋体" w:eastAsia="宋体"/>
          <w:sz w:val="24"/>
        </w:rPr>
        <w:t>团队，包括项目负责人及技术服务人员。</w:t>
      </w:r>
    </w:p>
    <w:p w14:paraId="1CB509FD">
      <w:pPr>
        <w:spacing w:line="360" w:lineRule="auto"/>
        <w:ind w:firstLine="480"/>
        <w:outlineLvl w:val="0"/>
        <w:rPr>
          <w:rFonts w:hint="eastAsia" w:ascii="宋体" w:hAnsi="宋体" w:eastAsia="宋体"/>
          <w:sz w:val="24"/>
        </w:rPr>
      </w:pPr>
      <w:r>
        <w:rPr>
          <w:rFonts w:hint="eastAsia" w:ascii="宋体" w:hAnsi="宋体" w:eastAsia="宋体"/>
          <w:sz w:val="24"/>
        </w:rPr>
        <w:t>3、服务期：一年。</w:t>
      </w:r>
    </w:p>
    <w:p w14:paraId="2CC07247">
      <w:pPr>
        <w:spacing w:line="360" w:lineRule="auto"/>
        <w:ind w:firstLine="480"/>
        <w:rPr>
          <w:rFonts w:ascii="Times New Roman" w:hAnsi="Times New Roman" w:eastAsia="宋体" w:cs="Times New Roman"/>
          <w:sz w:val="24"/>
        </w:rPr>
      </w:pPr>
      <w:r>
        <w:rPr>
          <w:rFonts w:hint="eastAsia" w:ascii="宋体" w:hAnsi="宋体" w:eastAsia="宋体" w:cs="宋体"/>
          <w:sz w:val="24"/>
          <w:lang w:val="en-US" w:eastAsia="zh-CN"/>
        </w:rPr>
        <w:t>4</w:t>
      </w:r>
      <w:r>
        <w:rPr>
          <w:rFonts w:hint="eastAsia" w:ascii="宋体" w:hAnsi="宋体" w:eastAsia="宋体" w:cs="宋体"/>
          <w:sz w:val="24"/>
        </w:rPr>
        <w:t>、</w:t>
      </w:r>
      <w:bookmarkStart w:id="5" w:name="_Toc191921035"/>
      <w:r>
        <w:rPr>
          <w:rFonts w:hint="eastAsia" w:ascii="宋体" w:hAnsi="宋体" w:eastAsia="宋体"/>
          <w:sz w:val="24"/>
          <w:lang w:val="en-US" w:eastAsia="zh-CN"/>
        </w:rPr>
        <w:t>支付方式：</w:t>
      </w:r>
      <w:r>
        <w:rPr>
          <w:rFonts w:ascii="Times New Roman" w:hAnsi="Times New Roman" w:eastAsia="宋体" w:cs="Times New Roman"/>
          <w:sz w:val="24"/>
        </w:rPr>
        <w:t>转账</w:t>
      </w:r>
    </w:p>
    <w:p w14:paraId="662101E4">
      <w:pPr>
        <w:spacing w:line="360" w:lineRule="auto"/>
        <w:ind w:firstLine="480"/>
        <w:rPr>
          <w:rFonts w:hint="eastAsia" w:ascii="宋体" w:hAnsi="宋体" w:eastAsia="宋体"/>
          <w:sz w:val="24"/>
          <w:lang w:val="en-US" w:eastAsia="zh-CN"/>
        </w:rPr>
      </w:pPr>
      <w:r>
        <w:rPr>
          <w:rFonts w:hint="eastAsia" w:ascii="宋体" w:hAnsi="宋体" w:eastAsia="宋体"/>
          <w:sz w:val="24"/>
          <w:lang w:val="en-US" w:eastAsia="zh-CN"/>
        </w:rPr>
        <w:t xml:space="preserve">第一阶段，即首期款阶段。在合同签订生效且项目前期准备工作（涵盖运维服务需求调研报告、运维服务方案等）完成，并经甲乙双方确认后的30个工作日内，甲方向乙方支付本合同总额的15%。 </w:t>
      </w:r>
    </w:p>
    <w:p w14:paraId="298318D4">
      <w:pPr>
        <w:spacing w:line="360" w:lineRule="auto"/>
        <w:ind w:firstLine="480"/>
        <w:rPr>
          <w:rFonts w:hint="eastAsia" w:ascii="宋体" w:hAnsi="宋体" w:eastAsia="宋体"/>
          <w:sz w:val="24"/>
          <w:lang w:val="en-US" w:eastAsia="zh-CN"/>
        </w:rPr>
      </w:pPr>
      <w:r>
        <w:rPr>
          <w:rFonts w:hint="eastAsia" w:ascii="宋体" w:hAnsi="宋体" w:eastAsia="宋体"/>
          <w:sz w:val="24"/>
          <w:lang w:val="en-US" w:eastAsia="zh-CN"/>
        </w:rPr>
        <w:t>第二阶段为进度款支付阶段。在合同执行满六个月后，以本合同总额的35%作为进度款阶段计划支付金额，甲方依据前六个月内服务质量评价结果对照惩罚条款执行费用扣减，经甲乙双方确认后的30个工作日内，向乙方支付实际应付金额（实际应付金额=进度款支付金额 - 惩罚扣减金额）。</w:t>
      </w:r>
    </w:p>
    <w:p w14:paraId="7DDBEFF1">
      <w:pPr>
        <w:spacing w:line="360" w:lineRule="auto"/>
        <w:ind w:firstLine="480"/>
        <w:rPr>
          <w:rFonts w:hint="eastAsia" w:ascii="宋体" w:hAnsi="宋体" w:eastAsia="宋体"/>
          <w:sz w:val="24"/>
          <w:lang w:val="en-US" w:eastAsia="zh-CN"/>
        </w:rPr>
      </w:pPr>
      <w:r>
        <w:rPr>
          <w:rFonts w:hint="eastAsia" w:ascii="宋体" w:hAnsi="宋体" w:eastAsia="宋体"/>
          <w:sz w:val="24"/>
          <w:lang w:val="en-US" w:eastAsia="zh-CN"/>
        </w:rPr>
        <w:t>第三阶段为合同期满且终验完成阶段，在所有交付物均已完备，项目通过审计及终验合格，以本合同总额的50%作为完成阶段计划支付金额，甲方依据年度服务评价结果对照惩罚条款执行费用扣减，经甲乙双方确认后的30个工作日内，向乙方支付实际应付金额（实际应付金额=计划支付金额</w:t>
      </w:r>
      <w:bookmarkStart w:id="11" w:name="_GoBack"/>
      <w:bookmarkEnd w:id="11"/>
      <w:r>
        <w:rPr>
          <w:rFonts w:hint="eastAsia" w:ascii="宋体" w:hAnsi="宋体" w:eastAsia="宋体"/>
          <w:sz w:val="24"/>
          <w:lang w:val="en-US" w:eastAsia="zh-CN"/>
        </w:rPr>
        <w:t xml:space="preserve"> - 惩罚扣减金额 - 审计扣减金额）。</w:t>
      </w:r>
    </w:p>
    <w:p w14:paraId="71505C0B">
      <w:pPr>
        <w:spacing w:line="360" w:lineRule="auto"/>
        <w:ind w:firstLine="480"/>
        <w:rPr>
          <w:rFonts w:hint="eastAsia" w:ascii="宋体" w:hAnsi="宋体" w:eastAsia="宋体"/>
          <w:sz w:val="24"/>
          <w:lang w:val="en-US" w:eastAsia="zh-CN"/>
        </w:rPr>
      </w:pPr>
      <w:r>
        <w:rPr>
          <w:rFonts w:hint="eastAsia" w:ascii="宋体" w:hAnsi="宋体" w:eastAsia="宋体"/>
          <w:sz w:val="24"/>
          <w:lang w:val="en-US" w:eastAsia="zh-CN"/>
        </w:rPr>
        <w:t>5、合同主要条款</w:t>
      </w:r>
      <w:bookmarkEnd w:id="5"/>
      <w:r>
        <w:rPr>
          <w:rFonts w:hint="eastAsia" w:ascii="宋体" w:hAnsi="宋体" w:eastAsia="宋体"/>
          <w:sz w:val="24"/>
          <w:lang w:val="en-US" w:eastAsia="zh-CN"/>
        </w:rPr>
        <w:t>（</w:t>
      </w:r>
      <w:r>
        <w:rPr>
          <w:rFonts w:hint="eastAsia" w:ascii="宋体" w:hAnsi="宋体" w:eastAsia="宋体"/>
          <w:sz w:val="24"/>
        </w:rPr>
        <w:t>投标人</w:t>
      </w:r>
      <w:r>
        <w:rPr>
          <w:rFonts w:hint="eastAsia" w:ascii="宋体" w:hAnsi="宋体" w:eastAsia="宋体"/>
          <w:sz w:val="24"/>
          <w:lang w:val="en-US" w:eastAsia="zh-CN"/>
        </w:rPr>
        <w:t>需认真查看条款内容，投标即为接受条款约定）</w:t>
      </w:r>
    </w:p>
    <w:p w14:paraId="71A71D54">
      <w:pPr>
        <w:spacing w:line="360" w:lineRule="auto"/>
        <w:ind w:firstLine="480"/>
        <w:rPr>
          <w:rFonts w:hint="eastAsia" w:ascii="宋体" w:hAnsi="宋体" w:eastAsia="宋体"/>
          <w:sz w:val="24"/>
          <w:lang w:val="en-US" w:eastAsia="zh-CN"/>
        </w:rPr>
      </w:pPr>
      <w:r>
        <w:rPr>
          <w:rFonts w:hint="eastAsia" w:ascii="宋体" w:hAnsi="宋体" w:eastAsia="宋体"/>
          <w:sz w:val="24"/>
          <w:lang w:val="en-US" w:eastAsia="zh-CN"/>
        </w:rPr>
        <w:t>（此合同书仅供签订正式合同时参考用，正式合同书应包括此参考格式之内容。）合同文本包括但不限于以下内容：</w:t>
      </w:r>
    </w:p>
    <w:p w14:paraId="2F1A3141">
      <w:pPr>
        <w:spacing w:line="360" w:lineRule="auto"/>
        <w:ind w:firstLine="480"/>
        <w:rPr>
          <w:rFonts w:hint="eastAsia" w:ascii="宋体" w:hAnsi="宋体" w:eastAsia="宋体"/>
          <w:sz w:val="24"/>
          <w:lang w:val="en-US" w:eastAsia="zh-CN"/>
        </w:rPr>
      </w:pPr>
    </w:p>
    <w:p w14:paraId="46F90666">
      <w:pPr>
        <w:numPr>
          <w:ilvl w:val="0"/>
          <w:numId w:val="2"/>
        </w:numPr>
        <w:bidi w:val="0"/>
        <w:ind w:left="420" w:leftChars="0" w:firstLine="0" w:firstLineChars="0"/>
        <w:outlineLvl w:val="1"/>
        <w:rPr>
          <w:rFonts w:hint="eastAsia" w:ascii="仿宋" w:hAnsi="仿宋" w:eastAsia="仿宋" w:cs="仿宋"/>
          <w:b/>
          <w:bCs/>
          <w:sz w:val="22"/>
          <w:szCs w:val="22"/>
        </w:rPr>
      </w:pPr>
      <w:bookmarkStart w:id="6" w:name="_Toc25277"/>
      <w:bookmarkStart w:id="7" w:name="_Toc27459"/>
      <w:bookmarkStart w:id="8" w:name="_Toc10368"/>
      <w:bookmarkStart w:id="9" w:name="_Toc19117"/>
      <w:bookmarkStart w:id="10" w:name="_Toc13435"/>
      <w:r>
        <w:rPr>
          <w:rFonts w:hint="eastAsia" w:ascii="仿宋" w:hAnsi="仿宋" w:eastAsia="仿宋" w:cs="仿宋"/>
          <w:b/>
          <w:bCs/>
          <w:sz w:val="22"/>
          <w:szCs w:val="22"/>
        </w:rPr>
        <w:t>交付物清单</w:t>
      </w:r>
      <w:bookmarkEnd w:id="6"/>
      <w:bookmarkEnd w:id="7"/>
      <w:bookmarkEnd w:id="8"/>
      <w:bookmarkEnd w:id="9"/>
      <w:bookmarkEnd w:id="10"/>
    </w:p>
    <w:p w14:paraId="69CEB237">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乙方须按时提交以下交付物（模板需经甲方确认），任何交付物逾期提交或质量不合格，甲方有权在服务评价中扣分并依据惩罚条款处理。</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5757"/>
        <w:gridCol w:w="1487"/>
      </w:tblGrid>
      <w:tr w14:paraId="18B24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069D857A">
            <w:pPr>
              <w:pStyle w:val="5"/>
              <w:widowControl w:val="0"/>
              <w:snapToGrid w:val="0"/>
              <w:spacing w:line="240" w:lineRule="auto"/>
              <w:ind w:left="0" w:leftChars="0" w:right="0" w:rightChars="0" w:firstLine="0" w:firstLineChars="0"/>
              <w:jc w:val="center"/>
              <w:rPr>
                <w:rFonts w:hint="eastAsia" w:ascii="仿宋" w:hAnsi="仿宋" w:eastAsia="仿宋" w:cs="仿宋"/>
                <w:b/>
                <w:sz w:val="20"/>
                <w:szCs w:val="15"/>
              </w:rPr>
            </w:pPr>
            <w:r>
              <w:rPr>
                <w:rFonts w:hint="eastAsia" w:ascii="仿宋" w:hAnsi="仿宋" w:eastAsia="仿宋" w:cs="仿宋"/>
                <w:b/>
                <w:sz w:val="20"/>
                <w:szCs w:val="15"/>
              </w:rPr>
              <w:t>类别</w:t>
            </w:r>
          </w:p>
        </w:tc>
        <w:tc>
          <w:tcPr>
            <w:tcW w:w="0" w:type="auto"/>
            <w:vAlign w:val="center"/>
          </w:tcPr>
          <w:p w14:paraId="0924AC8B">
            <w:pPr>
              <w:pStyle w:val="5"/>
              <w:widowControl w:val="0"/>
              <w:snapToGrid w:val="0"/>
              <w:spacing w:line="240" w:lineRule="auto"/>
              <w:ind w:left="0" w:leftChars="0" w:right="0" w:rightChars="0" w:firstLine="0" w:firstLineChars="0"/>
              <w:jc w:val="center"/>
              <w:rPr>
                <w:rFonts w:hint="eastAsia" w:ascii="仿宋" w:hAnsi="仿宋" w:eastAsia="仿宋" w:cs="仿宋"/>
                <w:b/>
                <w:sz w:val="20"/>
                <w:szCs w:val="15"/>
                <w:lang w:eastAsia="zh-CN"/>
              </w:rPr>
            </w:pPr>
            <w:r>
              <w:rPr>
                <w:rFonts w:hint="eastAsia" w:ascii="仿宋" w:hAnsi="仿宋" w:eastAsia="仿宋" w:cs="仿宋"/>
                <w:b/>
                <w:sz w:val="20"/>
                <w:szCs w:val="15"/>
              </w:rPr>
              <w:t>交付物名称</w:t>
            </w:r>
          </w:p>
        </w:tc>
        <w:tc>
          <w:tcPr>
            <w:tcW w:w="0" w:type="auto"/>
            <w:vAlign w:val="center"/>
          </w:tcPr>
          <w:p w14:paraId="50BAF9F5">
            <w:pPr>
              <w:pStyle w:val="5"/>
              <w:widowControl w:val="0"/>
              <w:snapToGrid w:val="0"/>
              <w:spacing w:line="240" w:lineRule="auto"/>
              <w:ind w:left="0" w:leftChars="0" w:right="0" w:rightChars="0" w:firstLine="0" w:firstLineChars="0"/>
              <w:jc w:val="center"/>
              <w:rPr>
                <w:rFonts w:hint="eastAsia" w:ascii="仿宋" w:hAnsi="仿宋" w:eastAsia="仿宋" w:cs="仿宋"/>
                <w:b/>
                <w:sz w:val="20"/>
                <w:szCs w:val="15"/>
              </w:rPr>
            </w:pPr>
            <w:r>
              <w:rPr>
                <w:rFonts w:hint="eastAsia" w:ascii="仿宋" w:hAnsi="仿宋" w:eastAsia="仿宋" w:cs="仿宋"/>
                <w:b/>
                <w:sz w:val="20"/>
                <w:szCs w:val="15"/>
              </w:rPr>
              <w:t>提交频率</w:t>
            </w:r>
          </w:p>
        </w:tc>
      </w:tr>
      <w:tr w14:paraId="5DBD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154A30D">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调研</w:t>
            </w:r>
          </w:p>
        </w:tc>
        <w:tc>
          <w:tcPr>
            <w:tcW w:w="0" w:type="auto"/>
            <w:vAlign w:val="center"/>
          </w:tcPr>
          <w:p w14:paraId="1823118D">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eastAsia="zh-CN"/>
              </w:rPr>
            </w:pPr>
            <w:r>
              <w:rPr>
                <w:rFonts w:hint="eastAsia" w:ascii="仿宋" w:hAnsi="仿宋" w:eastAsia="仿宋" w:cs="仿宋"/>
                <w:sz w:val="20"/>
                <w:szCs w:val="15"/>
              </w:rPr>
              <w:t>《运维服务需求调研报告》</w:t>
            </w:r>
            <w:r>
              <w:rPr>
                <w:rFonts w:hint="eastAsia" w:ascii="仿宋" w:hAnsi="仿宋" w:eastAsia="仿宋" w:cs="仿宋"/>
                <w:sz w:val="20"/>
                <w:szCs w:val="15"/>
                <w:lang w:eastAsia="zh-CN"/>
              </w:rPr>
              <w:t>、《</w:t>
            </w:r>
            <w:r>
              <w:rPr>
                <w:rFonts w:hint="eastAsia" w:ascii="仿宋" w:hAnsi="仿宋" w:eastAsia="仿宋" w:cs="仿宋"/>
                <w:sz w:val="20"/>
                <w:szCs w:val="15"/>
                <w:lang w:val="en-US" w:eastAsia="zh-CN"/>
              </w:rPr>
              <w:t>武汉市肺科医院信息系统摸底表》</w:t>
            </w:r>
          </w:p>
        </w:tc>
        <w:tc>
          <w:tcPr>
            <w:tcW w:w="0" w:type="auto"/>
            <w:vAlign w:val="center"/>
          </w:tcPr>
          <w:p w14:paraId="00B2311F">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一次</w:t>
            </w:r>
          </w:p>
        </w:tc>
      </w:tr>
      <w:tr w14:paraId="124B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DFFA9B0">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方案</w:t>
            </w:r>
          </w:p>
        </w:tc>
        <w:tc>
          <w:tcPr>
            <w:tcW w:w="0" w:type="auto"/>
            <w:vAlign w:val="center"/>
          </w:tcPr>
          <w:p w14:paraId="45AD93F7">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eastAsia="zh-CN"/>
              </w:rPr>
            </w:pPr>
            <w:r>
              <w:rPr>
                <w:rFonts w:hint="eastAsia" w:ascii="仿宋" w:hAnsi="仿宋" w:eastAsia="仿宋" w:cs="仿宋"/>
                <w:sz w:val="20"/>
                <w:szCs w:val="15"/>
                <w:lang w:eastAsia="zh-CN"/>
              </w:rPr>
              <w:t>《</w:t>
            </w:r>
            <w:r>
              <w:rPr>
                <w:rFonts w:hint="eastAsia" w:ascii="仿宋" w:hAnsi="仿宋" w:eastAsia="仿宋" w:cs="仿宋"/>
                <w:sz w:val="20"/>
                <w:szCs w:val="15"/>
                <w:lang w:val="en-US" w:eastAsia="zh-CN"/>
              </w:rPr>
              <w:t>运维服务方案</w:t>
            </w:r>
            <w:r>
              <w:rPr>
                <w:rFonts w:hint="eastAsia" w:ascii="仿宋" w:hAnsi="仿宋" w:eastAsia="仿宋" w:cs="仿宋"/>
                <w:sz w:val="20"/>
                <w:szCs w:val="15"/>
                <w:lang w:eastAsia="zh-CN"/>
              </w:rPr>
              <w:t>》</w:t>
            </w:r>
          </w:p>
        </w:tc>
        <w:tc>
          <w:tcPr>
            <w:tcW w:w="0" w:type="auto"/>
            <w:vAlign w:val="center"/>
          </w:tcPr>
          <w:p w14:paraId="3C2CD31B">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一次</w:t>
            </w:r>
          </w:p>
        </w:tc>
      </w:tr>
      <w:tr w14:paraId="7BF1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C380F59">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培训</w:t>
            </w:r>
          </w:p>
        </w:tc>
        <w:tc>
          <w:tcPr>
            <w:tcW w:w="0" w:type="auto"/>
            <w:vAlign w:val="center"/>
          </w:tcPr>
          <w:p w14:paraId="08406B18">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rPr>
              <w:t>培训计划、培训签到表</w:t>
            </w:r>
            <w:r>
              <w:rPr>
                <w:rFonts w:hint="eastAsia" w:ascii="仿宋" w:hAnsi="仿宋" w:eastAsia="仿宋" w:cs="仿宋"/>
                <w:sz w:val="20"/>
                <w:szCs w:val="15"/>
                <w:lang w:val="en-US" w:eastAsia="zh-CN"/>
              </w:rPr>
              <w:t>等</w:t>
            </w:r>
          </w:p>
        </w:tc>
        <w:tc>
          <w:tcPr>
            <w:tcW w:w="0" w:type="auto"/>
            <w:vAlign w:val="center"/>
          </w:tcPr>
          <w:p w14:paraId="26C4708B">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rPr>
              <w:t>每次培训后</w:t>
            </w:r>
          </w:p>
        </w:tc>
      </w:tr>
      <w:tr w14:paraId="48EB7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1C78B79">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会议</w:t>
            </w:r>
          </w:p>
        </w:tc>
        <w:tc>
          <w:tcPr>
            <w:tcW w:w="0" w:type="auto"/>
            <w:vAlign w:val="center"/>
          </w:tcPr>
          <w:p w14:paraId="26BF45A2">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eastAsia="zh-CN"/>
              </w:rPr>
            </w:pPr>
            <w:r>
              <w:rPr>
                <w:rFonts w:hint="eastAsia" w:ascii="仿宋" w:hAnsi="仿宋" w:eastAsia="仿宋" w:cs="仿宋"/>
                <w:color w:val="FF0000"/>
                <w:sz w:val="20"/>
                <w:szCs w:val="15"/>
                <w:highlight w:val="none"/>
                <w:lang w:val="en-US" w:eastAsia="zh-CN"/>
              </w:rPr>
              <w:t>季</w:t>
            </w:r>
            <w:r>
              <w:rPr>
                <w:rFonts w:hint="eastAsia" w:ascii="仿宋" w:hAnsi="仿宋" w:eastAsia="仿宋" w:cs="仿宋"/>
                <w:sz w:val="20"/>
                <w:szCs w:val="15"/>
              </w:rPr>
              <w:t>度会议纪要</w:t>
            </w:r>
            <w:r>
              <w:rPr>
                <w:rFonts w:hint="eastAsia" w:ascii="仿宋" w:hAnsi="仿宋" w:eastAsia="仿宋" w:cs="仿宋"/>
                <w:sz w:val="20"/>
                <w:szCs w:val="15"/>
                <w:lang w:eastAsia="zh-CN"/>
              </w:rPr>
              <w:t>、年度总结会议纪要</w:t>
            </w:r>
          </w:p>
        </w:tc>
        <w:tc>
          <w:tcPr>
            <w:tcW w:w="0" w:type="auto"/>
            <w:vAlign w:val="center"/>
          </w:tcPr>
          <w:p w14:paraId="0AF0E7FA">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每</w:t>
            </w:r>
            <w:r>
              <w:rPr>
                <w:rFonts w:hint="eastAsia" w:ascii="仿宋" w:hAnsi="仿宋" w:eastAsia="仿宋" w:cs="仿宋"/>
                <w:color w:val="FF0000"/>
                <w:sz w:val="20"/>
                <w:szCs w:val="15"/>
                <w:highlight w:val="none"/>
                <w:lang w:val="en-US" w:eastAsia="zh-CN"/>
              </w:rPr>
              <w:t>季/年</w:t>
            </w:r>
          </w:p>
        </w:tc>
      </w:tr>
      <w:tr w14:paraId="774AD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71B18BD">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巡检</w:t>
            </w:r>
          </w:p>
        </w:tc>
        <w:tc>
          <w:tcPr>
            <w:tcW w:w="0" w:type="auto"/>
            <w:vAlign w:val="center"/>
          </w:tcPr>
          <w:p w14:paraId="26869784">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color w:val="FF0000"/>
                <w:sz w:val="20"/>
                <w:szCs w:val="15"/>
                <w:highlight w:val="none"/>
                <w:lang w:val="en-US" w:eastAsia="zh-CN"/>
              </w:rPr>
              <w:t>季度</w:t>
            </w:r>
            <w:r>
              <w:rPr>
                <w:rFonts w:hint="eastAsia" w:ascii="仿宋" w:hAnsi="仿宋" w:eastAsia="仿宋" w:cs="仿宋"/>
                <w:sz w:val="20"/>
                <w:szCs w:val="15"/>
                <w:lang w:val="en-US" w:eastAsia="zh-CN"/>
              </w:rPr>
              <w:t>巡检报告</w:t>
            </w:r>
          </w:p>
        </w:tc>
        <w:tc>
          <w:tcPr>
            <w:tcW w:w="0" w:type="auto"/>
            <w:vAlign w:val="center"/>
          </w:tcPr>
          <w:p w14:paraId="04275DB6">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rPr>
              <w:t>每次</w:t>
            </w:r>
            <w:r>
              <w:rPr>
                <w:rFonts w:hint="eastAsia" w:ascii="仿宋" w:hAnsi="仿宋" w:eastAsia="仿宋" w:cs="仿宋"/>
                <w:sz w:val="20"/>
                <w:szCs w:val="15"/>
                <w:lang w:val="en-US" w:eastAsia="zh-CN"/>
              </w:rPr>
              <w:t>巡检</w:t>
            </w:r>
            <w:r>
              <w:rPr>
                <w:rFonts w:hint="eastAsia" w:ascii="仿宋" w:hAnsi="仿宋" w:eastAsia="仿宋" w:cs="仿宋"/>
                <w:sz w:val="20"/>
                <w:szCs w:val="15"/>
              </w:rPr>
              <w:t>后</w:t>
            </w:r>
          </w:p>
        </w:tc>
      </w:tr>
      <w:tr w14:paraId="385D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9F8FCE8">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报告</w:t>
            </w:r>
          </w:p>
        </w:tc>
        <w:tc>
          <w:tcPr>
            <w:tcW w:w="0" w:type="auto"/>
            <w:vAlign w:val="center"/>
          </w:tcPr>
          <w:p w14:paraId="24583F25">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rPr>
              <w:t>《</w:t>
            </w:r>
            <w:r>
              <w:rPr>
                <w:rFonts w:hint="eastAsia" w:ascii="仿宋" w:hAnsi="仿宋" w:eastAsia="仿宋" w:cs="仿宋"/>
                <w:color w:val="FF0000"/>
                <w:sz w:val="20"/>
                <w:szCs w:val="15"/>
                <w:lang w:val="en-US" w:eastAsia="zh-CN"/>
              </w:rPr>
              <w:t>季</w:t>
            </w:r>
            <w:r>
              <w:rPr>
                <w:rFonts w:hint="eastAsia" w:ascii="仿宋" w:hAnsi="仿宋" w:eastAsia="仿宋" w:cs="仿宋"/>
                <w:color w:val="FF0000"/>
                <w:sz w:val="20"/>
                <w:szCs w:val="15"/>
              </w:rPr>
              <w:t>度</w:t>
            </w:r>
            <w:r>
              <w:rPr>
                <w:rFonts w:hint="eastAsia" w:ascii="仿宋" w:hAnsi="仿宋" w:eastAsia="仿宋" w:cs="仿宋"/>
                <w:sz w:val="20"/>
                <w:szCs w:val="15"/>
              </w:rPr>
              <w:t>运维报告》</w:t>
            </w:r>
            <w:r>
              <w:rPr>
                <w:rFonts w:hint="eastAsia" w:ascii="仿宋" w:hAnsi="仿宋" w:eastAsia="仿宋" w:cs="仿宋"/>
                <w:sz w:val="20"/>
                <w:szCs w:val="15"/>
                <w:lang w:eastAsia="zh-CN"/>
              </w:rPr>
              <w:t>、</w:t>
            </w:r>
            <w:r>
              <w:rPr>
                <w:rFonts w:hint="eastAsia" w:ascii="仿宋" w:hAnsi="仿宋" w:eastAsia="仿宋" w:cs="仿宋"/>
                <w:sz w:val="20"/>
                <w:szCs w:val="15"/>
              </w:rPr>
              <w:t>《</w:t>
            </w:r>
            <w:r>
              <w:rPr>
                <w:rFonts w:hint="eastAsia" w:ascii="仿宋" w:hAnsi="仿宋" w:eastAsia="仿宋" w:cs="仿宋"/>
                <w:sz w:val="20"/>
                <w:szCs w:val="15"/>
                <w:lang w:val="en-US" w:eastAsia="zh-CN"/>
              </w:rPr>
              <w:t>年度</w:t>
            </w:r>
            <w:r>
              <w:rPr>
                <w:rFonts w:hint="eastAsia" w:ascii="仿宋" w:hAnsi="仿宋" w:eastAsia="仿宋" w:cs="仿宋"/>
                <w:sz w:val="20"/>
                <w:szCs w:val="15"/>
              </w:rPr>
              <w:t>运维</w:t>
            </w:r>
            <w:r>
              <w:rPr>
                <w:rFonts w:hint="eastAsia" w:ascii="仿宋" w:hAnsi="仿宋" w:eastAsia="仿宋" w:cs="仿宋"/>
                <w:sz w:val="20"/>
                <w:szCs w:val="15"/>
                <w:lang w:val="en-US" w:eastAsia="zh-CN"/>
              </w:rPr>
              <w:t>总结</w:t>
            </w:r>
            <w:r>
              <w:rPr>
                <w:rFonts w:hint="eastAsia" w:ascii="仿宋" w:hAnsi="仿宋" w:eastAsia="仿宋" w:cs="仿宋"/>
                <w:sz w:val="20"/>
                <w:szCs w:val="15"/>
              </w:rPr>
              <w:t>报告》</w:t>
            </w:r>
          </w:p>
        </w:tc>
        <w:tc>
          <w:tcPr>
            <w:tcW w:w="0" w:type="auto"/>
            <w:vAlign w:val="center"/>
          </w:tcPr>
          <w:p w14:paraId="1A866313">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rPr>
            </w:pPr>
            <w:r>
              <w:rPr>
                <w:rFonts w:hint="eastAsia" w:ascii="仿宋" w:hAnsi="仿宋" w:eastAsia="仿宋" w:cs="仿宋"/>
                <w:sz w:val="20"/>
                <w:szCs w:val="15"/>
                <w:lang w:val="en-US" w:eastAsia="zh-CN"/>
              </w:rPr>
              <w:t>每</w:t>
            </w:r>
            <w:r>
              <w:rPr>
                <w:rFonts w:hint="eastAsia" w:ascii="仿宋" w:hAnsi="仿宋" w:eastAsia="仿宋" w:cs="仿宋"/>
                <w:color w:val="FF0000"/>
                <w:sz w:val="20"/>
                <w:szCs w:val="15"/>
                <w:highlight w:val="none"/>
                <w:lang w:val="en-US" w:eastAsia="zh-CN"/>
              </w:rPr>
              <w:t>季/年</w:t>
            </w:r>
          </w:p>
        </w:tc>
      </w:tr>
      <w:tr w14:paraId="01A6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7" w:type="dxa"/>
            <w:vAlign w:val="center"/>
          </w:tcPr>
          <w:p w14:paraId="1AEECE6E">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故障事件</w:t>
            </w:r>
          </w:p>
        </w:tc>
        <w:tc>
          <w:tcPr>
            <w:tcW w:w="5757" w:type="dxa"/>
            <w:vAlign w:val="center"/>
          </w:tcPr>
          <w:p w14:paraId="33F5E567">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lang w:val="en-US" w:eastAsia="zh-CN"/>
              </w:rPr>
              <w:t>《故障事件处理报告》</w:t>
            </w:r>
          </w:p>
        </w:tc>
        <w:tc>
          <w:tcPr>
            <w:tcW w:w="1487" w:type="dxa"/>
            <w:vAlign w:val="center"/>
          </w:tcPr>
          <w:p w14:paraId="45276364">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一级、二级故障事件发生后</w:t>
            </w:r>
          </w:p>
        </w:tc>
      </w:tr>
      <w:tr w14:paraId="5356A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7" w:type="dxa"/>
            <w:vAlign w:val="center"/>
          </w:tcPr>
          <w:p w14:paraId="4A4E52FD">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手册</w:t>
            </w:r>
          </w:p>
        </w:tc>
        <w:tc>
          <w:tcPr>
            <w:tcW w:w="5757" w:type="dxa"/>
            <w:vAlign w:val="center"/>
          </w:tcPr>
          <w:p w14:paraId="4735237E">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rPr>
              <w:t>《运维手册》及更新版本</w:t>
            </w:r>
            <w:r>
              <w:rPr>
                <w:rFonts w:hint="eastAsia" w:ascii="仿宋" w:hAnsi="仿宋" w:eastAsia="仿宋" w:cs="仿宋"/>
                <w:sz w:val="20"/>
                <w:szCs w:val="15"/>
                <w:lang w:eastAsia="zh-CN"/>
              </w:rPr>
              <w:t>（</w:t>
            </w:r>
            <w:r>
              <w:rPr>
                <w:rFonts w:hint="eastAsia" w:ascii="仿宋" w:hAnsi="仿宋" w:eastAsia="仿宋" w:cs="仿宋"/>
                <w:sz w:val="20"/>
                <w:szCs w:val="15"/>
                <w:lang w:val="en-US" w:eastAsia="zh-CN"/>
              </w:rPr>
              <w:t>含系统</w:t>
            </w:r>
            <w:r>
              <w:rPr>
                <w:rFonts w:hint="eastAsia" w:ascii="仿宋" w:hAnsi="仿宋" w:eastAsia="仿宋" w:cs="仿宋"/>
                <w:sz w:val="20"/>
                <w:szCs w:val="15"/>
              </w:rPr>
              <w:t>故障处理</w:t>
            </w:r>
            <w:r>
              <w:rPr>
                <w:rFonts w:hint="eastAsia" w:ascii="仿宋" w:hAnsi="仿宋" w:eastAsia="仿宋" w:cs="仿宋"/>
                <w:sz w:val="20"/>
                <w:szCs w:val="15"/>
                <w:lang w:val="en-US" w:eastAsia="zh-CN"/>
              </w:rPr>
              <w:t>表等）</w:t>
            </w:r>
          </w:p>
        </w:tc>
        <w:tc>
          <w:tcPr>
            <w:tcW w:w="1487" w:type="dxa"/>
            <w:vAlign w:val="center"/>
          </w:tcPr>
          <w:p w14:paraId="3555D93C">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rPr>
              <w:t>变更时</w:t>
            </w:r>
          </w:p>
        </w:tc>
      </w:tr>
      <w:tr w14:paraId="52D3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77" w:type="dxa"/>
            <w:vAlign w:val="center"/>
          </w:tcPr>
          <w:p w14:paraId="20DC8965">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应急预案</w:t>
            </w:r>
          </w:p>
        </w:tc>
        <w:tc>
          <w:tcPr>
            <w:tcW w:w="5757" w:type="dxa"/>
            <w:vAlign w:val="center"/>
          </w:tcPr>
          <w:p w14:paraId="09A1E520">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《应急预案》及更新版本</w:t>
            </w:r>
          </w:p>
        </w:tc>
        <w:tc>
          <w:tcPr>
            <w:tcW w:w="1487" w:type="dxa"/>
            <w:vAlign w:val="center"/>
          </w:tcPr>
          <w:p w14:paraId="6DC937B3">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变更时</w:t>
            </w:r>
          </w:p>
        </w:tc>
      </w:tr>
      <w:tr w14:paraId="7905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77" w:type="dxa"/>
            <w:vAlign w:val="center"/>
          </w:tcPr>
          <w:p w14:paraId="23234FEF">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rPr>
            </w:pPr>
            <w:r>
              <w:rPr>
                <w:rFonts w:hint="eastAsia" w:ascii="仿宋" w:hAnsi="仿宋" w:eastAsia="仿宋" w:cs="仿宋"/>
                <w:sz w:val="20"/>
                <w:szCs w:val="15"/>
              </w:rPr>
              <w:t>评价</w:t>
            </w:r>
          </w:p>
        </w:tc>
        <w:tc>
          <w:tcPr>
            <w:tcW w:w="5757" w:type="dxa"/>
            <w:vAlign w:val="center"/>
          </w:tcPr>
          <w:p w14:paraId="17CE4EEA">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eastAsia="zh-CN"/>
              </w:rPr>
            </w:pPr>
            <w:r>
              <w:rPr>
                <w:rFonts w:hint="eastAsia" w:ascii="仿宋" w:hAnsi="仿宋" w:eastAsia="仿宋" w:cs="仿宋"/>
                <w:sz w:val="20"/>
                <w:szCs w:val="15"/>
                <w:lang w:val="en-US" w:eastAsia="zh-CN"/>
              </w:rPr>
              <w:t>《运维</w:t>
            </w:r>
            <w:r>
              <w:rPr>
                <w:rFonts w:hint="eastAsia" w:ascii="仿宋" w:hAnsi="仿宋" w:eastAsia="仿宋" w:cs="仿宋"/>
                <w:sz w:val="20"/>
                <w:szCs w:val="15"/>
              </w:rPr>
              <w:t>服务评价表</w:t>
            </w:r>
            <w:r>
              <w:rPr>
                <w:rFonts w:hint="eastAsia" w:ascii="仿宋" w:hAnsi="仿宋" w:eastAsia="仿宋" w:cs="仿宋"/>
                <w:sz w:val="20"/>
                <w:szCs w:val="15"/>
                <w:lang w:val="en-US" w:eastAsia="zh-CN"/>
              </w:rPr>
              <w:t>》</w:t>
            </w:r>
            <w:r>
              <w:rPr>
                <w:rFonts w:hint="eastAsia" w:ascii="仿宋" w:hAnsi="仿宋" w:eastAsia="仿宋" w:cs="仿宋"/>
                <w:sz w:val="20"/>
                <w:szCs w:val="15"/>
                <w:lang w:eastAsia="zh-CN"/>
              </w:rPr>
              <w:t>、《</w:t>
            </w:r>
            <w:r>
              <w:rPr>
                <w:rFonts w:hint="eastAsia" w:ascii="仿宋" w:hAnsi="仿宋" w:eastAsia="仿宋" w:cs="仿宋"/>
                <w:sz w:val="20"/>
                <w:szCs w:val="15"/>
                <w:lang w:val="en-US" w:eastAsia="zh-CN"/>
              </w:rPr>
              <w:t>运维服务满意度评价表</w:t>
            </w:r>
            <w:r>
              <w:rPr>
                <w:rFonts w:hint="eastAsia" w:ascii="仿宋" w:hAnsi="仿宋" w:eastAsia="仿宋" w:cs="仿宋"/>
                <w:sz w:val="20"/>
                <w:szCs w:val="15"/>
                <w:lang w:eastAsia="zh-CN"/>
              </w:rPr>
              <w:t>》</w:t>
            </w:r>
          </w:p>
        </w:tc>
        <w:tc>
          <w:tcPr>
            <w:tcW w:w="1487" w:type="dxa"/>
            <w:vAlign w:val="center"/>
          </w:tcPr>
          <w:p w14:paraId="78786552">
            <w:pPr>
              <w:pStyle w:val="5"/>
              <w:widowControl w:val="0"/>
              <w:snapToGrid w:val="0"/>
              <w:spacing w:line="240" w:lineRule="auto"/>
              <w:ind w:left="0" w:leftChars="0" w:right="0" w:rightChars="0" w:firstLine="0" w:firstLineChars="0"/>
              <w:jc w:val="both"/>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每</w:t>
            </w:r>
            <w:r>
              <w:rPr>
                <w:rFonts w:hint="eastAsia" w:ascii="仿宋" w:hAnsi="仿宋" w:eastAsia="仿宋" w:cs="仿宋"/>
                <w:color w:val="FF0000"/>
                <w:sz w:val="20"/>
                <w:szCs w:val="15"/>
                <w:lang w:val="en-US" w:eastAsia="zh-CN"/>
              </w:rPr>
              <w:t>季/年</w:t>
            </w:r>
          </w:p>
        </w:tc>
      </w:tr>
    </w:tbl>
    <w:p w14:paraId="2AED6C03">
      <w:pPr>
        <w:numPr>
          <w:ilvl w:val="0"/>
          <w:numId w:val="3"/>
        </w:numPr>
        <w:bidi w:val="0"/>
        <w:ind w:left="420" w:leftChars="0" w:firstLine="0" w:firstLineChars="0"/>
        <w:outlineLvl w:val="1"/>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考核条款</w:t>
      </w:r>
    </w:p>
    <w:p w14:paraId="49BB6A4D">
      <w:pPr>
        <w:spacing w:line="360" w:lineRule="auto"/>
        <w:ind w:firstLine="480"/>
        <w:outlineLvl w:val="2"/>
        <w:rPr>
          <w:rFonts w:hint="eastAsia" w:ascii="仿宋" w:hAnsi="仿宋" w:eastAsia="仿宋" w:cs="仿宋"/>
          <w:b w:val="0"/>
          <w:bCs w:val="0"/>
          <w:sz w:val="22"/>
          <w:szCs w:val="21"/>
          <w:lang w:val="en-US" w:eastAsia="zh-CN"/>
        </w:rPr>
      </w:pPr>
      <w:r>
        <w:rPr>
          <w:rFonts w:hint="eastAsia" w:ascii="仿宋" w:hAnsi="仿宋" w:eastAsia="仿宋" w:cs="仿宋"/>
          <w:b w:val="0"/>
          <w:bCs w:val="0"/>
          <w:sz w:val="22"/>
          <w:szCs w:val="21"/>
          <w:lang w:val="en-US" w:eastAsia="zh-CN"/>
        </w:rPr>
        <w:t>7.1服务考核</w:t>
      </w:r>
    </w:p>
    <w:p w14:paraId="2361DCDE">
      <w:pPr>
        <w:spacing w:line="360" w:lineRule="auto"/>
        <w:ind w:firstLine="480"/>
        <w:rPr>
          <w:rFonts w:hint="eastAsia" w:ascii="仿宋" w:hAnsi="仿宋" w:eastAsia="仿宋" w:cs="仿宋"/>
          <w:color w:val="FF0000"/>
          <w:sz w:val="22"/>
          <w:szCs w:val="21"/>
          <w:lang w:val="en-US" w:eastAsia="zh-CN"/>
        </w:rPr>
      </w:pPr>
      <w:r>
        <w:rPr>
          <w:rFonts w:hint="eastAsia" w:ascii="仿宋" w:hAnsi="仿宋" w:eastAsia="仿宋" w:cs="仿宋"/>
          <w:color w:val="FF0000"/>
          <w:sz w:val="22"/>
          <w:szCs w:val="21"/>
          <w:lang w:val="en-US" w:eastAsia="zh-CN"/>
        </w:rPr>
        <w:t>若服务评价得分大于或等于85分，该期甲方将全额支付款项；若服务评价得分在60分（含）至85分（不含）之间，该期支付金额按照以下公式计算：支付金额 = 每期运维服务费总额 - 每期运维服务费总额 × (85 - 实际评分) × 1%；若评分低于60分，则视为出现严重服务质量违约情况，该期服务费不予支付。</w:t>
      </w:r>
    </w:p>
    <w:p w14:paraId="2972A452">
      <w:pPr>
        <w:spacing w:line="360" w:lineRule="auto"/>
        <w:ind w:firstLine="480"/>
        <w:outlineLvl w:val="2"/>
        <w:rPr>
          <w:rFonts w:hint="eastAsia" w:ascii="仿宋" w:hAnsi="仿宋" w:eastAsia="仿宋" w:cs="仿宋"/>
          <w:b w:val="0"/>
          <w:bCs w:val="0"/>
          <w:sz w:val="22"/>
          <w:szCs w:val="21"/>
          <w:lang w:val="en-US" w:eastAsia="zh-CN"/>
        </w:rPr>
      </w:pPr>
      <w:r>
        <w:rPr>
          <w:rFonts w:hint="eastAsia" w:ascii="仿宋" w:hAnsi="仿宋" w:eastAsia="仿宋" w:cs="仿宋"/>
          <w:b w:val="0"/>
          <w:bCs w:val="0"/>
          <w:sz w:val="22"/>
          <w:szCs w:val="21"/>
          <w:lang w:val="en-US" w:eastAsia="zh-CN"/>
        </w:rPr>
        <w:t>7.2服务严重不达标惩罚</w:t>
      </w:r>
    </w:p>
    <w:tbl>
      <w:tblPr>
        <w:tblStyle w:val="9"/>
        <w:tblW w:w="7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5"/>
      </w:tblGrid>
      <w:tr w14:paraId="4B71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485" w:type="dxa"/>
            <w:vAlign w:val="center"/>
          </w:tcPr>
          <w:p w14:paraId="5C50FB7C">
            <w:pPr>
              <w:pStyle w:val="5"/>
              <w:widowControl w:val="0"/>
              <w:snapToGrid w:val="0"/>
              <w:spacing w:line="240" w:lineRule="auto"/>
              <w:ind w:left="0" w:leftChars="0" w:right="0" w:rightChars="0" w:firstLine="0" w:firstLineChars="0"/>
              <w:jc w:val="center"/>
              <w:rPr>
                <w:rFonts w:hint="eastAsia" w:ascii="仿宋" w:hAnsi="仿宋" w:eastAsia="仿宋" w:cs="仿宋"/>
                <w:b/>
                <w:sz w:val="20"/>
                <w:szCs w:val="15"/>
                <w:lang w:val="en-US" w:eastAsia="zh-CN"/>
              </w:rPr>
            </w:pPr>
            <w:r>
              <w:rPr>
                <w:rFonts w:hint="eastAsia" w:ascii="仿宋" w:hAnsi="仿宋" w:eastAsia="仿宋" w:cs="仿宋"/>
                <w:b/>
                <w:sz w:val="20"/>
                <w:szCs w:val="15"/>
                <w:lang w:val="en-US" w:eastAsia="zh-CN"/>
              </w:rPr>
              <w:t>重大故障、服务严重不达标情况</w:t>
            </w:r>
          </w:p>
        </w:tc>
      </w:tr>
      <w:tr w14:paraId="0AC5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85" w:type="dxa"/>
            <w:vAlign w:val="center"/>
          </w:tcPr>
          <w:p w14:paraId="28512023">
            <w:pPr>
              <w:pStyle w:val="5"/>
              <w:widowControl w:val="0"/>
              <w:snapToGrid w:val="0"/>
              <w:spacing w:line="240" w:lineRule="auto"/>
              <w:ind w:left="0" w:leftChars="0" w:right="0" w:rightChars="0" w:firstLine="0" w:firstLineChars="0"/>
              <w:jc w:val="left"/>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一级故障</w:t>
            </w:r>
            <w:r>
              <w:rPr>
                <w:rFonts w:hint="eastAsia" w:ascii="仿宋" w:hAnsi="仿宋" w:eastAsia="仿宋" w:cs="仿宋"/>
                <w:sz w:val="20"/>
                <w:szCs w:val="20"/>
                <w:lang w:val="en-US" w:eastAsia="zh-CN"/>
              </w:rPr>
              <w:t>彻底</w:t>
            </w:r>
            <w:r>
              <w:rPr>
                <w:rFonts w:hint="eastAsia" w:ascii="仿宋" w:hAnsi="仿宋" w:eastAsia="仿宋" w:cs="仿宋"/>
                <w:sz w:val="20"/>
                <w:szCs w:val="20"/>
              </w:rPr>
              <w:t>修复时间</w:t>
            </w:r>
            <w:r>
              <w:rPr>
                <w:rFonts w:hint="eastAsia" w:ascii="仿宋" w:hAnsi="仿宋" w:eastAsia="仿宋" w:cs="仿宋"/>
                <w:sz w:val="20"/>
                <w:szCs w:val="15"/>
                <w:lang w:val="en-US" w:eastAsia="zh-CN"/>
              </w:rPr>
              <w:t>＞24小时</w:t>
            </w:r>
          </w:p>
        </w:tc>
      </w:tr>
      <w:tr w14:paraId="478D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85" w:type="dxa"/>
            <w:shd w:val="clear" w:color="auto" w:fill="auto"/>
            <w:vAlign w:val="center"/>
          </w:tcPr>
          <w:p w14:paraId="3E8027A2">
            <w:pPr>
              <w:pStyle w:val="5"/>
              <w:widowControl w:val="0"/>
              <w:snapToGrid w:val="0"/>
              <w:spacing w:line="240" w:lineRule="auto"/>
              <w:ind w:left="0" w:leftChars="0" w:right="0" w:rightChars="0" w:firstLine="0" w:firstLineChars="0"/>
              <w:jc w:val="left"/>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二级故障</w:t>
            </w:r>
            <w:r>
              <w:rPr>
                <w:rFonts w:hint="eastAsia" w:ascii="仿宋" w:hAnsi="仿宋" w:eastAsia="仿宋" w:cs="仿宋"/>
                <w:sz w:val="20"/>
                <w:szCs w:val="20"/>
                <w:lang w:val="en-US" w:eastAsia="zh-CN"/>
              </w:rPr>
              <w:t>彻底</w:t>
            </w:r>
            <w:r>
              <w:rPr>
                <w:rFonts w:hint="eastAsia" w:ascii="仿宋" w:hAnsi="仿宋" w:eastAsia="仿宋" w:cs="仿宋"/>
                <w:sz w:val="20"/>
                <w:szCs w:val="20"/>
              </w:rPr>
              <w:t>修复时间</w:t>
            </w:r>
            <w:r>
              <w:rPr>
                <w:rFonts w:hint="eastAsia" w:ascii="仿宋" w:hAnsi="仿宋" w:eastAsia="仿宋" w:cs="仿宋"/>
                <w:sz w:val="20"/>
                <w:szCs w:val="15"/>
                <w:lang w:val="en-US" w:eastAsia="zh-CN"/>
              </w:rPr>
              <w:t>＞</w:t>
            </w:r>
            <w:r>
              <w:rPr>
                <w:rFonts w:hint="eastAsia" w:ascii="仿宋" w:hAnsi="仿宋" w:eastAsia="仿宋" w:cs="仿宋"/>
                <w:sz w:val="20"/>
                <w:szCs w:val="18"/>
                <w:lang w:val="en-US" w:eastAsia="zh-CN"/>
              </w:rPr>
              <w:t>72</w:t>
            </w:r>
            <w:r>
              <w:rPr>
                <w:rFonts w:hint="eastAsia" w:ascii="仿宋" w:hAnsi="仿宋" w:eastAsia="仿宋" w:cs="仿宋"/>
                <w:sz w:val="20"/>
                <w:szCs w:val="15"/>
                <w:lang w:val="en-US" w:eastAsia="zh-CN"/>
              </w:rPr>
              <w:t>小时</w:t>
            </w:r>
          </w:p>
        </w:tc>
      </w:tr>
      <w:tr w14:paraId="3C56C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85" w:type="dxa"/>
            <w:vAlign w:val="center"/>
          </w:tcPr>
          <w:p w14:paraId="45F89D85">
            <w:pPr>
              <w:pStyle w:val="5"/>
              <w:widowControl w:val="0"/>
              <w:snapToGrid w:val="0"/>
              <w:spacing w:line="240" w:lineRule="auto"/>
              <w:ind w:left="0" w:leftChars="0" w:right="0" w:rightChars="0" w:firstLine="0" w:firstLineChars="0"/>
              <w:jc w:val="left"/>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发生数据丢失情况，但后续完成恢复，未造成直接损失</w:t>
            </w:r>
          </w:p>
        </w:tc>
      </w:tr>
      <w:tr w14:paraId="55FA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85" w:type="dxa"/>
            <w:shd w:val="clear" w:color="auto" w:fill="auto"/>
            <w:vAlign w:val="center"/>
          </w:tcPr>
          <w:p w14:paraId="5441C3BB">
            <w:pPr>
              <w:pStyle w:val="5"/>
              <w:widowControl w:val="0"/>
              <w:snapToGrid w:val="0"/>
              <w:spacing w:line="240" w:lineRule="auto"/>
              <w:ind w:left="0" w:leftChars="0" w:right="0" w:rightChars="0" w:firstLine="0" w:firstLineChars="0"/>
              <w:jc w:val="left"/>
              <w:rPr>
                <w:rFonts w:hint="eastAsia" w:ascii="仿宋" w:hAnsi="仿宋" w:eastAsia="仿宋" w:cs="仿宋"/>
                <w:sz w:val="20"/>
                <w:szCs w:val="15"/>
                <w:lang w:val="en-US" w:eastAsia="zh-CN"/>
              </w:rPr>
            </w:pPr>
            <w:r>
              <w:rPr>
                <w:rFonts w:hint="eastAsia" w:ascii="仿宋" w:hAnsi="仿宋" w:eastAsia="仿宋" w:cs="仿宋"/>
                <w:sz w:val="20"/>
                <w:szCs w:val="15"/>
                <w:lang w:val="en-US" w:eastAsia="zh-CN"/>
              </w:rPr>
              <w:t>发生网络安全事件，但及时采取弥补措施，未造成损失</w:t>
            </w:r>
          </w:p>
        </w:tc>
      </w:tr>
    </w:tbl>
    <w:p w14:paraId="19FD6BDB">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发生以上任意情形之一的，当期服务质量评价和考核结果为不合格，视为出现服务质量违约，同时按以下条款进行增加处罚：</w:t>
      </w:r>
    </w:p>
    <w:p w14:paraId="0649E768">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（1）一级故障MTTR指标不达标，每次扣减合同总金额的5%；</w:t>
      </w:r>
    </w:p>
    <w:p w14:paraId="1971DC66">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（2）二级故障MTTR指标不达标，每次扣减合同总金额的3%；</w:t>
      </w:r>
    </w:p>
    <w:p w14:paraId="285C9F31">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（3）发生数据丢失但已恢复未造成直接损失的，每次扣减合同总金额的3%；</w:t>
      </w:r>
    </w:p>
    <w:p w14:paraId="07AC740F">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（4）发生网络安全事件未造成直接损失的，每次扣减合同总金额的2%；</w:t>
      </w:r>
    </w:p>
    <w:p w14:paraId="69B0D00D">
      <w:pPr>
        <w:spacing w:line="360" w:lineRule="auto"/>
        <w:ind w:firstLine="480"/>
        <w:outlineLvl w:val="2"/>
        <w:rPr>
          <w:rFonts w:hint="eastAsia" w:ascii="仿宋" w:hAnsi="仿宋" w:eastAsia="仿宋" w:cs="仿宋"/>
          <w:b w:val="0"/>
          <w:bCs w:val="0"/>
          <w:sz w:val="22"/>
          <w:szCs w:val="21"/>
          <w:lang w:val="en-US" w:eastAsia="zh-CN"/>
        </w:rPr>
      </w:pPr>
      <w:r>
        <w:rPr>
          <w:rFonts w:hint="eastAsia" w:ascii="仿宋" w:hAnsi="仿宋" w:eastAsia="仿宋" w:cs="仿宋"/>
          <w:b w:val="0"/>
          <w:bCs w:val="0"/>
          <w:sz w:val="22"/>
          <w:szCs w:val="21"/>
          <w:lang w:val="en-US" w:eastAsia="zh-CN"/>
        </w:rPr>
        <w:t>7.3严重违约情形</w:t>
      </w:r>
    </w:p>
    <w:p w14:paraId="4AEF47A8">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发生以下情形之一的，甲方有权单方解除合同，乙方应退还全部已支付费用，并赔偿甲方因此造成的直接经济损失：</w:t>
      </w:r>
    </w:p>
    <w:p w14:paraId="056772A1">
      <w:pPr>
        <w:spacing w:line="360" w:lineRule="auto"/>
        <w:ind w:firstLine="480"/>
        <w:outlineLvl w:val="9"/>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 xml:space="preserve">（1）因乙方原因导致甲方重要医疗数据丢失且无法恢复；  </w:t>
      </w:r>
    </w:p>
    <w:p w14:paraId="514C7678">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 xml:space="preserve">（2）因乙方原因致使甲方遭遇网络安全事件，且该事件被上级部门通报，并给医院造成损失（包括但不限于经济损失和声誉损失等）； </w:t>
      </w:r>
    </w:p>
    <w:p w14:paraId="3119627D">
      <w:pPr>
        <w:spacing w:line="360" w:lineRule="auto"/>
        <w:ind w:firstLine="480"/>
        <w:rPr>
          <w:rFonts w:hint="eastAsia" w:ascii="仿宋" w:hAnsi="仿宋" w:eastAsia="仿宋" w:cs="仿宋"/>
          <w:sz w:val="22"/>
          <w:szCs w:val="21"/>
          <w:lang w:val="en-US" w:eastAsia="zh-CN"/>
        </w:rPr>
      </w:pPr>
      <w:r>
        <w:rPr>
          <w:rFonts w:hint="eastAsia" w:ascii="仿宋" w:hAnsi="仿宋" w:eastAsia="仿宋" w:cs="仿宋"/>
          <w:sz w:val="22"/>
          <w:szCs w:val="21"/>
          <w:lang w:val="en-US" w:eastAsia="zh-CN"/>
        </w:rPr>
        <w:t>（3）乙方服务评价结果连续【</w:t>
      </w:r>
      <w:r>
        <w:rPr>
          <w:rFonts w:hint="eastAsia" w:ascii="仿宋" w:hAnsi="仿宋" w:eastAsia="仿宋" w:cs="仿宋"/>
          <w:color w:val="FF0000"/>
          <w:sz w:val="22"/>
          <w:szCs w:val="21"/>
          <w:lang w:val="en-US" w:eastAsia="zh-CN"/>
        </w:rPr>
        <w:t>两个季度</w:t>
      </w:r>
      <w:r>
        <w:rPr>
          <w:rFonts w:hint="eastAsia" w:ascii="仿宋" w:hAnsi="仿宋" w:eastAsia="仿宋" w:cs="仿宋"/>
          <w:sz w:val="22"/>
          <w:szCs w:val="21"/>
          <w:lang w:val="en-US" w:eastAsia="zh-CN"/>
        </w:rPr>
        <w:t>】不合格或全年累计不合格评价结果次数占比≥40%。</w:t>
      </w:r>
    </w:p>
    <w:p w14:paraId="31DD4BB4">
      <w:pPr>
        <w:spacing w:line="360" w:lineRule="auto"/>
        <w:rPr>
          <w:rFonts w:ascii="宋体" w:hAnsi="宋体" w:eastAsia="宋体"/>
          <w:sz w:val="24"/>
        </w:rPr>
      </w:pPr>
    </w:p>
    <w:p w14:paraId="66FC9C0D">
      <w:pPr>
        <w:spacing w:line="360" w:lineRule="auto"/>
        <w:outlineLvl w:val="4"/>
        <w:rPr>
          <w:rFonts w:ascii="宋体" w:hAnsi="宋体" w:eastAsia="宋体"/>
          <w:b/>
          <w:sz w:val="24"/>
        </w:rPr>
      </w:pPr>
      <w:r>
        <w:rPr>
          <w:rFonts w:hint="eastAsia" w:ascii="宋体" w:hAnsi="宋体" w:eastAsia="宋体"/>
          <w:b/>
          <w:sz w:val="24"/>
        </w:rPr>
        <w:t>五、其他要求</w:t>
      </w:r>
    </w:p>
    <w:p w14:paraId="6259DD98">
      <w:pPr>
        <w:spacing w:line="360" w:lineRule="auto"/>
        <w:ind w:firstLine="480"/>
        <w:outlineLvl w:val="0"/>
        <w:rPr>
          <w:rFonts w:ascii="宋体" w:hAnsi="宋体" w:eastAsia="宋体"/>
          <w:sz w:val="24"/>
        </w:rPr>
      </w:pPr>
      <w:r>
        <w:rPr>
          <w:rFonts w:hint="eastAsia" w:ascii="宋体" w:hAnsi="宋体" w:eastAsia="宋体"/>
          <w:sz w:val="24"/>
        </w:rPr>
        <w:t>1、投标人应提供详细的技术、售后服务方案；</w:t>
      </w:r>
    </w:p>
    <w:p w14:paraId="1E257398">
      <w:pPr>
        <w:spacing w:line="360" w:lineRule="auto"/>
        <w:ind w:firstLine="480"/>
        <w:rPr>
          <w:rFonts w:ascii="宋体" w:hAnsi="宋体" w:eastAsia="宋体"/>
          <w:sz w:val="24"/>
        </w:rPr>
      </w:pPr>
      <w:r>
        <w:rPr>
          <w:rFonts w:hint="eastAsia" w:ascii="宋体" w:hAnsi="宋体" w:eastAsia="宋体"/>
          <w:sz w:val="24"/>
        </w:rPr>
        <w:t>2、投标人的报价为包干价，应包含本项目实施的全部各项费用，如有缺失，视为投标人免费提供，采购人不会再另行支付任何费用；</w:t>
      </w:r>
    </w:p>
    <w:p w14:paraId="4037E35E">
      <w:pPr>
        <w:spacing w:line="360" w:lineRule="auto"/>
        <w:ind w:firstLine="480"/>
        <w:rPr>
          <w:rFonts w:ascii="宋体" w:hAnsi="宋体" w:eastAsia="宋体"/>
          <w:sz w:val="24"/>
        </w:rPr>
      </w:pPr>
      <w:r>
        <w:rPr>
          <w:rFonts w:hint="eastAsia" w:ascii="宋体" w:hAnsi="宋体" w:eastAsia="宋体"/>
          <w:sz w:val="24"/>
        </w:rPr>
        <w:t>3、本项目拟派项目负责人一经确认，原则上不予更换，如若必须更换，须经采购人同意，且更换人员必须做好项目工作交接，不得耽误项目服务进程；</w:t>
      </w:r>
    </w:p>
    <w:p w14:paraId="200C4605">
      <w:pPr>
        <w:spacing w:line="360" w:lineRule="auto"/>
        <w:ind w:firstLine="480"/>
        <w:rPr>
          <w:rFonts w:ascii="宋体" w:hAnsi="宋体" w:eastAsia="宋体"/>
          <w:sz w:val="24"/>
        </w:rPr>
      </w:pPr>
      <w:r>
        <w:rPr>
          <w:rFonts w:hint="eastAsia" w:ascii="宋体" w:hAnsi="宋体" w:eastAsia="宋体"/>
          <w:sz w:val="24"/>
        </w:rPr>
        <w:t>4、投标人应考虑在项目实施过程中所存在或潜在的一切风险。发生的安全事故、人员伤亡等所带来的经济责任与法律责任均由成交投标人承担；</w:t>
      </w:r>
    </w:p>
    <w:p w14:paraId="22EA0FE8">
      <w:pPr>
        <w:spacing w:line="360" w:lineRule="auto"/>
        <w:ind w:firstLine="480"/>
        <w:rPr>
          <w:rFonts w:ascii="宋体" w:hAnsi="宋体" w:eastAsia="宋体"/>
          <w:sz w:val="24"/>
        </w:rPr>
      </w:pPr>
      <w:r>
        <w:rPr>
          <w:rFonts w:hint="eastAsia" w:ascii="宋体" w:hAnsi="宋体" w:eastAsia="宋体"/>
          <w:sz w:val="24"/>
        </w:rPr>
        <w:t>5、在本项目的采购公告期内，采购人或采购代理机构有权对参与本次投标的投标人所提供的资质证明进行考察取证，对于提供虚假证明材料的投标人，采购人或采购代理机构有权拒绝其参与本项目的投标或取消中标资格；</w:t>
      </w:r>
    </w:p>
    <w:p w14:paraId="6FEAF076">
      <w:pPr>
        <w:spacing w:line="360" w:lineRule="auto"/>
        <w:ind w:firstLine="480"/>
        <w:outlineLvl w:val="0"/>
        <w:rPr>
          <w:rFonts w:hint="eastAsia" w:ascii="宋体" w:hAnsi="宋体" w:eastAsia="宋体"/>
          <w:sz w:val="24"/>
        </w:rPr>
      </w:pPr>
      <w:r>
        <w:rPr>
          <w:rFonts w:hint="eastAsia" w:ascii="宋体" w:hAnsi="宋体" w:eastAsia="宋体"/>
          <w:sz w:val="24"/>
        </w:rPr>
        <w:t>6、中标人不得将本项目进行转包。</w:t>
      </w:r>
    </w:p>
    <w:p w14:paraId="6F1C21FE">
      <w:pPr>
        <w:rPr>
          <w:rFonts w:hint="eastAsia" w:ascii="宋体" w:hAnsi="宋体" w:eastAsia="宋体"/>
          <w:sz w:val="24"/>
          <w:lang w:val="en-US" w:eastAsia="zh-CN"/>
        </w:rPr>
      </w:pPr>
      <w:r>
        <w:rPr>
          <w:rFonts w:hint="eastAsia" w:ascii="宋体" w:hAnsi="宋体" w:eastAsia="宋体"/>
          <w:sz w:val="24"/>
          <w:lang w:val="en-US" w:eastAsia="zh-CN"/>
        </w:rPr>
        <w:br w:type="page"/>
      </w:r>
    </w:p>
    <w:p w14:paraId="188125C2">
      <w:pPr>
        <w:numPr>
          <w:ilvl w:val="0"/>
          <w:numId w:val="0"/>
        </w:numPr>
        <w:spacing w:line="360" w:lineRule="auto"/>
        <w:outlineLvl w:val="0"/>
        <w:rPr>
          <w:rFonts w:hint="eastAsia" w:ascii="宋体" w:hAnsi="宋体" w:eastAsia="宋体"/>
          <w:sz w:val="24"/>
          <w:lang w:val="en-US" w:eastAsia="zh-CN"/>
        </w:rPr>
      </w:pPr>
      <w:r>
        <w:rPr>
          <w:rFonts w:hint="eastAsia" w:ascii="宋体" w:hAnsi="宋体" w:eastAsia="宋体"/>
          <w:sz w:val="24"/>
          <w:lang w:val="en-US" w:eastAsia="zh-CN"/>
        </w:rPr>
        <w:t>附件一</w:t>
      </w:r>
    </w:p>
    <w:p w14:paraId="51AEC45E">
      <w:pPr>
        <w:pStyle w:val="15"/>
      </w:pPr>
      <w:r>
        <w:rPr>
          <w:rFonts w:hint="eastAsia"/>
          <w:u w:val="single"/>
          <w:lang w:val="en-US" w:eastAsia="zh-CN"/>
        </w:rPr>
        <w:t xml:space="preserve">          </w:t>
      </w:r>
      <w:r>
        <w:t>运维服务</w:t>
      </w:r>
      <w:r>
        <w:rPr>
          <w:rFonts w:hint="eastAsia"/>
          <w:u w:val="single"/>
          <w:lang w:val="en-US" w:eastAsia="zh-CN"/>
        </w:rPr>
        <w:t xml:space="preserve">    </w:t>
      </w:r>
      <w:r>
        <w:rPr>
          <w:rFonts w:hint="eastAsia"/>
          <w:color w:val="FF0000"/>
          <w:lang w:val="en-US" w:eastAsia="zh-CN"/>
        </w:rPr>
        <w:t>季</w:t>
      </w:r>
      <w:r>
        <w:rPr>
          <w:color w:val="auto"/>
        </w:rPr>
        <w:t>度</w:t>
      </w:r>
      <w:r>
        <w:t>评价表</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464"/>
        <w:gridCol w:w="6662"/>
        <w:gridCol w:w="387"/>
      </w:tblGrid>
      <w:tr w14:paraId="5B392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93" w:type="dxa"/>
            <w:vAlign w:val="center"/>
          </w:tcPr>
          <w:p w14:paraId="4DF20BCD">
            <w:pPr>
              <w:pStyle w:val="5"/>
              <w:widowControl w:val="0"/>
              <w:snapToGrid w:val="0"/>
              <w:spacing w:line="240" w:lineRule="auto"/>
              <w:ind w:left="0" w:leftChars="0" w:right="0" w:rightChars="0" w:firstLine="0" w:firstLineChars="0"/>
              <w:jc w:val="center"/>
              <w:rPr>
                <w:rFonts w:hint="eastAsia" w:ascii="宋体" w:hAnsi="宋体" w:eastAsia="宋体" w:cs="宋体"/>
                <w:b/>
                <w:sz w:val="18"/>
                <w:szCs w:val="18"/>
                <w:vertAlign w:val="baseline"/>
              </w:rPr>
            </w:pPr>
            <w:r>
              <w:rPr>
                <w:rFonts w:hint="eastAsia" w:ascii="宋体" w:hAnsi="宋体" w:eastAsia="宋体" w:cs="宋体"/>
                <w:b/>
                <w:sz w:val="18"/>
                <w:szCs w:val="18"/>
              </w:rPr>
              <w:t>评价维度</w:t>
            </w:r>
          </w:p>
        </w:tc>
        <w:tc>
          <w:tcPr>
            <w:tcW w:w="464" w:type="dxa"/>
            <w:vAlign w:val="center"/>
          </w:tcPr>
          <w:p w14:paraId="7CCE4271">
            <w:pPr>
              <w:pStyle w:val="5"/>
              <w:widowControl w:val="0"/>
              <w:snapToGrid w:val="0"/>
              <w:spacing w:line="240" w:lineRule="auto"/>
              <w:ind w:left="0" w:leftChars="0" w:right="0" w:rightChars="0" w:firstLine="0" w:firstLineChars="0"/>
              <w:jc w:val="center"/>
              <w:rPr>
                <w:rFonts w:hint="eastAsia" w:ascii="宋体" w:hAnsi="宋体" w:eastAsia="宋体" w:cs="宋体"/>
                <w:b/>
                <w:sz w:val="18"/>
                <w:szCs w:val="18"/>
                <w:lang w:val="en-US" w:eastAsia="zh-CN"/>
              </w:rPr>
            </w:pPr>
            <w:r>
              <w:rPr>
                <w:rFonts w:hint="eastAsia" w:ascii="宋体" w:hAnsi="宋体" w:cs="宋体"/>
                <w:b/>
                <w:sz w:val="18"/>
                <w:szCs w:val="18"/>
                <w:lang w:val="en-US" w:eastAsia="zh-CN"/>
              </w:rPr>
              <w:t>分值</w:t>
            </w:r>
          </w:p>
        </w:tc>
        <w:tc>
          <w:tcPr>
            <w:tcW w:w="6661" w:type="dxa"/>
            <w:vAlign w:val="center"/>
          </w:tcPr>
          <w:p w14:paraId="0F72A6D1">
            <w:pPr>
              <w:pStyle w:val="5"/>
              <w:widowControl w:val="0"/>
              <w:snapToGrid w:val="0"/>
              <w:spacing w:line="240" w:lineRule="auto"/>
              <w:ind w:left="0" w:leftChars="0" w:right="0" w:rightChars="0" w:firstLine="0" w:firstLineChars="0"/>
              <w:jc w:val="center"/>
              <w:rPr>
                <w:rFonts w:hint="eastAsia" w:ascii="宋体" w:hAnsi="宋体" w:eastAsia="宋体" w:cs="宋体"/>
                <w:b/>
                <w:sz w:val="18"/>
                <w:szCs w:val="18"/>
                <w:vertAlign w:val="baseline"/>
              </w:rPr>
            </w:pPr>
            <w:r>
              <w:rPr>
                <w:rFonts w:hint="eastAsia" w:ascii="宋体" w:hAnsi="宋体" w:eastAsia="宋体" w:cs="宋体"/>
                <w:b/>
                <w:sz w:val="18"/>
                <w:szCs w:val="18"/>
              </w:rPr>
              <w:t>评分标准</w:t>
            </w:r>
          </w:p>
        </w:tc>
        <w:tc>
          <w:tcPr>
            <w:tcW w:w="387" w:type="dxa"/>
            <w:vAlign w:val="center"/>
          </w:tcPr>
          <w:p w14:paraId="2A714439">
            <w:pPr>
              <w:pStyle w:val="5"/>
              <w:widowControl w:val="0"/>
              <w:snapToGrid w:val="0"/>
              <w:spacing w:line="240" w:lineRule="auto"/>
              <w:ind w:left="0" w:leftChars="0" w:right="0" w:rightChars="0" w:firstLine="0" w:firstLineChars="0"/>
              <w:jc w:val="center"/>
              <w:rPr>
                <w:rFonts w:hint="eastAsia" w:ascii="宋体" w:hAnsi="宋体" w:eastAsia="宋体" w:cs="宋体"/>
                <w:b/>
                <w:sz w:val="18"/>
                <w:szCs w:val="18"/>
                <w:vertAlign w:val="baseline"/>
              </w:rPr>
            </w:pPr>
            <w:r>
              <w:rPr>
                <w:rFonts w:hint="eastAsia" w:ascii="宋体" w:hAnsi="宋体" w:eastAsia="宋体" w:cs="宋体"/>
                <w:b/>
                <w:sz w:val="18"/>
                <w:szCs w:val="18"/>
              </w:rPr>
              <w:t>得分</w:t>
            </w:r>
          </w:p>
        </w:tc>
      </w:tr>
      <w:tr w14:paraId="7B0B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0FEC838A">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需求调研与手册完备性</w:t>
            </w:r>
          </w:p>
        </w:tc>
        <w:tc>
          <w:tcPr>
            <w:tcW w:w="464" w:type="dxa"/>
            <w:vAlign w:val="center"/>
          </w:tcPr>
          <w:p w14:paraId="290B6E7B">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8</w:t>
            </w:r>
          </w:p>
        </w:tc>
        <w:tc>
          <w:tcPr>
            <w:tcW w:w="6661" w:type="dxa"/>
            <w:vAlign w:val="center"/>
          </w:tcPr>
          <w:p w14:paraId="7989EC0A">
            <w:pPr>
              <w:pStyle w:val="5"/>
              <w:widowControl w:val="0"/>
              <w:snapToGrid w:val="0"/>
              <w:spacing w:line="240" w:lineRule="auto"/>
              <w:ind w:left="0" w:leftChars="0" w:right="0" w:rightChars="0" w:firstLine="0" w:firstLineChars="0"/>
              <w:jc w:val="left"/>
              <w:rPr>
                <w:rFonts w:hint="eastAsia" w:ascii="宋体" w:hAnsi="宋体" w:eastAsia="宋体" w:cs="宋体"/>
                <w:sz w:val="18"/>
                <w:szCs w:val="18"/>
                <w:lang w:val="en-US" w:eastAsia="zh-CN"/>
              </w:rPr>
            </w:pPr>
            <w:r>
              <w:rPr>
                <w:rFonts w:hint="eastAsia" w:ascii="宋体" w:hAnsi="宋体" w:cs="宋体"/>
                <w:sz w:val="18"/>
                <w:szCs w:val="18"/>
                <w:lang w:val="en-US" w:eastAsia="zh-CN"/>
              </w:rPr>
              <w:t>优秀（7-8分）：完成需求调研，需求文档规范；系统操作/维护/常见故障手册完整，及时更新，版本管理清晰。</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合格（5-6分）：基本完成调研，手册内容覆盖主要模块，但存在多处更新滞后或小缺失。</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不合格（0-4分）：未开展必要调研；手册内容缺失严重或超</w:t>
            </w:r>
            <w:r>
              <w:rPr>
                <w:rFonts w:hint="eastAsia" w:ascii="宋体" w:hAnsi="宋体" w:cs="宋体"/>
                <w:color w:val="auto"/>
                <w:sz w:val="18"/>
                <w:szCs w:val="18"/>
                <w:lang w:val="en-US" w:eastAsia="zh-CN"/>
              </w:rPr>
              <w:t>过三个月</w:t>
            </w:r>
            <w:r>
              <w:rPr>
                <w:rFonts w:hint="eastAsia" w:ascii="宋体" w:hAnsi="宋体" w:cs="宋体"/>
                <w:sz w:val="18"/>
                <w:szCs w:val="18"/>
                <w:lang w:val="en-US" w:eastAsia="zh-CN"/>
              </w:rPr>
              <w:t>未交付，影响运维交接。</w:t>
            </w:r>
          </w:p>
        </w:tc>
        <w:tc>
          <w:tcPr>
            <w:tcW w:w="387" w:type="dxa"/>
            <w:vAlign w:val="center"/>
          </w:tcPr>
          <w:p w14:paraId="6D9E1E5B">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r w14:paraId="3DA47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170DD4D7">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培训质量</w:t>
            </w:r>
          </w:p>
        </w:tc>
        <w:tc>
          <w:tcPr>
            <w:tcW w:w="464" w:type="dxa"/>
            <w:vAlign w:val="center"/>
          </w:tcPr>
          <w:p w14:paraId="6A134355">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10</w:t>
            </w:r>
          </w:p>
        </w:tc>
        <w:tc>
          <w:tcPr>
            <w:tcW w:w="6661" w:type="dxa"/>
            <w:vAlign w:val="center"/>
          </w:tcPr>
          <w:p w14:paraId="4AA435C7">
            <w:pPr>
              <w:pStyle w:val="5"/>
              <w:widowControl w:val="0"/>
              <w:snapToGrid w:val="0"/>
              <w:spacing w:line="240" w:lineRule="auto"/>
              <w:ind w:left="0" w:leftChars="0" w:right="0" w:rightChars="0" w:firstLine="0" w:firstLineChars="0"/>
              <w:jc w:val="left"/>
              <w:rPr>
                <w:rFonts w:hint="eastAsia" w:ascii="宋体" w:hAnsi="宋体" w:eastAsia="宋体" w:cs="宋体"/>
                <w:sz w:val="18"/>
                <w:szCs w:val="18"/>
                <w:lang w:val="en-US" w:eastAsia="zh-CN"/>
              </w:rPr>
            </w:pPr>
            <w:r>
              <w:rPr>
                <w:rFonts w:hint="eastAsia" w:ascii="宋体" w:hAnsi="宋体" w:cs="宋体"/>
                <w:sz w:val="18"/>
                <w:szCs w:val="18"/>
                <w:lang w:val="en-US" w:eastAsia="zh-CN"/>
              </w:rPr>
              <w:t>优秀（9-10分）：培训计划执行率100%，资料完备。</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合格（6-8分）：计划执行率≥80%。</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不合格（0-5分）：培训延期未补、计划执行率＜80%，或因培训不足导致重要操作失误。</w:t>
            </w:r>
          </w:p>
        </w:tc>
        <w:tc>
          <w:tcPr>
            <w:tcW w:w="387" w:type="dxa"/>
            <w:vAlign w:val="center"/>
          </w:tcPr>
          <w:p w14:paraId="6814845A">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r w14:paraId="3D46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275DE87D">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会议及报告规范性</w:t>
            </w:r>
          </w:p>
        </w:tc>
        <w:tc>
          <w:tcPr>
            <w:tcW w:w="464" w:type="dxa"/>
            <w:vAlign w:val="center"/>
          </w:tcPr>
          <w:p w14:paraId="2CE8D65D">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5</w:t>
            </w:r>
          </w:p>
        </w:tc>
        <w:tc>
          <w:tcPr>
            <w:tcW w:w="6661" w:type="dxa"/>
            <w:vAlign w:val="center"/>
          </w:tcPr>
          <w:p w14:paraId="068DFD50">
            <w:pPr>
              <w:pStyle w:val="5"/>
              <w:widowControl w:val="0"/>
              <w:snapToGrid w:val="0"/>
              <w:spacing w:line="240" w:lineRule="auto"/>
              <w:ind w:left="0" w:leftChars="0" w:right="0" w:rightChars="0" w:firstLine="0" w:firstLineChars="0"/>
              <w:jc w:val="left"/>
              <w:rPr>
                <w:rFonts w:hint="eastAsia" w:ascii="宋体" w:hAnsi="宋体" w:eastAsia="宋体" w:cs="宋体"/>
                <w:sz w:val="18"/>
                <w:szCs w:val="18"/>
                <w:lang w:val="en-US" w:eastAsia="zh-CN"/>
              </w:rPr>
            </w:pPr>
            <w:r>
              <w:rPr>
                <w:rFonts w:hint="eastAsia" w:ascii="宋体" w:hAnsi="宋体" w:cs="宋体"/>
                <w:sz w:val="18"/>
                <w:szCs w:val="18"/>
                <w:lang w:val="en-US" w:eastAsia="zh-CN"/>
              </w:rPr>
              <w:t>优秀（5分）：按时召开例会；月报、季报、故障分析报告等零延迟提交，内容详实、数据准确、有改进分析。</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合格（3-4分）：未按时召开例会，报告迟交，内容基本完整无关键错误。</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不合格（0-2分）：无故不召开例会，或报告多次迟交、数据严重失实、质量低劣。</w:t>
            </w:r>
          </w:p>
        </w:tc>
        <w:tc>
          <w:tcPr>
            <w:tcW w:w="387" w:type="dxa"/>
            <w:vAlign w:val="center"/>
          </w:tcPr>
          <w:p w14:paraId="43C2A93B">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r w14:paraId="5D50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53FA185A">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巡检到位率</w:t>
            </w:r>
          </w:p>
        </w:tc>
        <w:tc>
          <w:tcPr>
            <w:tcW w:w="464" w:type="dxa"/>
            <w:vAlign w:val="center"/>
          </w:tcPr>
          <w:p w14:paraId="7E825AD9">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15</w:t>
            </w:r>
          </w:p>
        </w:tc>
        <w:tc>
          <w:tcPr>
            <w:tcW w:w="6661" w:type="dxa"/>
            <w:vAlign w:val="center"/>
          </w:tcPr>
          <w:p w14:paraId="072094C4">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18"/>
                <w:szCs w:val="18"/>
                <w:lang w:val="en-US" w:eastAsia="zh-CN"/>
              </w:rPr>
            </w:pPr>
            <w:r>
              <w:rPr>
                <w:rFonts w:hint="eastAsia" w:ascii="宋体" w:hAnsi="宋体" w:cs="宋体"/>
                <w:sz w:val="18"/>
                <w:szCs w:val="18"/>
                <w:lang w:val="en-US" w:eastAsia="zh-CN"/>
              </w:rPr>
              <w:t>到位率 = （实际完成巡检数÷计划巡检数）×100%</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到位率100%且记录详实：15分；</w:t>
            </w:r>
          </w:p>
          <w:p w14:paraId="2A33BAA1">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18"/>
                <w:szCs w:val="18"/>
                <w:lang w:val="en-US" w:eastAsia="zh-CN"/>
              </w:rPr>
            </w:pPr>
            <w:r>
              <w:rPr>
                <w:rFonts w:hint="eastAsia" w:ascii="宋体" w:hAnsi="宋体" w:cs="宋体"/>
                <w:sz w:val="18"/>
                <w:szCs w:val="18"/>
                <w:lang w:val="en-US" w:eastAsia="zh-CN"/>
              </w:rPr>
              <w:t>95%≤到位率＜100%：12-14分；</w:t>
            </w:r>
          </w:p>
          <w:p w14:paraId="276E4060">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18"/>
                <w:szCs w:val="18"/>
                <w:lang w:val="en-US" w:eastAsia="zh-CN"/>
              </w:rPr>
            </w:pPr>
            <w:r>
              <w:rPr>
                <w:rFonts w:hint="eastAsia" w:ascii="宋体" w:hAnsi="宋体" w:cs="宋体"/>
                <w:sz w:val="18"/>
                <w:szCs w:val="18"/>
                <w:lang w:val="en-US" w:eastAsia="zh-CN"/>
              </w:rPr>
              <w:t>90%≤到位率＜95%：9-11分；</w:t>
            </w:r>
          </w:p>
          <w:p w14:paraId="6C1EB981">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18"/>
                <w:szCs w:val="18"/>
                <w:lang w:val="en-US" w:eastAsia="zh-CN"/>
              </w:rPr>
            </w:pPr>
            <w:r>
              <w:rPr>
                <w:rFonts w:hint="eastAsia" w:ascii="宋体" w:hAnsi="宋体" w:cs="宋体"/>
                <w:sz w:val="18"/>
                <w:szCs w:val="18"/>
                <w:lang w:val="en-US" w:eastAsia="zh-CN"/>
              </w:rPr>
              <w:t>到位率＜90%：0-8分。</w:t>
            </w:r>
          </w:p>
          <w:p w14:paraId="0D28E5FA">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18"/>
                <w:szCs w:val="18"/>
                <w:lang w:val="en-US" w:eastAsia="zh-CN"/>
              </w:rPr>
            </w:pPr>
            <w:r>
              <w:rPr>
                <w:rFonts w:hint="eastAsia" w:ascii="宋体" w:hAnsi="宋体" w:cs="宋体"/>
                <w:sz w:val="18"/>
                <w:szCs w:val="18"/>
                <w:lang w:val="en-US" w:eastAsia="zh-CN"/>
              </w:rPr>
              <w:t>发现巡检记录造假，本项计0分。</w:t>
            </w:r>
          </w:p>
        </w:tc>
        <w:tc>
          <w:tcPr>
            <w:tcW w:w="387" w:type="dxa"/>
            <w:vAlign w:val="center"/>
          </w:tcPr>
          <w:p w14:paraId="081F01E6">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r w14:paraId="44084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7BBAA2C2">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应急预案</w:t>
            </w:r>
          </w:p>
        </w:tc>
        <w:tc>
          <w:tcPr>
            <w:tcW w:w="464" w:type="dxa"/>
            <w:vAlign w:val="center"/>
          </w:tcPr>
          <w:p w14:paraId="6664C22C">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10</w:t>
            </w:r>
          </w:p>
        </w:tc>
        <w:tc>
          <w:tcPr>
            <w:tcW w:w="6661" w:type="dxa"/>
            <w:vAlign w:val="center"/>
          </w:tcPr>
          <w:p w14:paraId="1F5E611C">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eastAsia="宋体" w:cs="宋体"/>
                <w:sz w:val="18"/>
                <w:szCs w:val="18"/>
                <w:lang w:val="en-US" w:eastAsia="zh-CN"/>
              </w:rPr>
            </w:pPr>
            <w:r>
              <w:rPr>
                <w:rFonts w:hint="eastAsia" w:ascii="宋体" w:hAnsi="宋体" w:cs="宋体"/>
                <w:sz w:val="18"/>
                <w:szCs w:val="18"/>
                <w:lang w:val="en-US" w:eastAsia="zh-CN"/>
              </w:rPr>
              <w:t>优秀（9-10分）：预案覆盖所有核心系统，内容科学可执行；</w:t>
            </w:r>
          </w:p>
          <w:p w14:paraId="1FC03AEB">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18"/>
                <w:szCs w:val="18"/>
                <w:lang w:val="en-US" w:eastAsia="zh-CN"/>
              </w:rPr>
            </w:pPr>
            <w:r>
              <w:rPr>
                <w:rFonts w:hint="eastAsia" w:ascii="宋体" w:hAnsi="宋体" w:cs="宋体"/>
                <w:sz w:val="18"/>
                <w:szCs w:val="18"/>
                <w:lang w:val="en-US" w:eastAsia="zh-CN"/>
              </w:rPr>
              <w:t>合格（6-8分）：预案基本完备，有演练文本。</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不合格（0-5分）：预案缺失</w:t>
            </w:r>
            <w:r>
              <w:rPr>
                <w:rFonts w:hint="eastAsia" w:ascii="宋体" w:hAnsi="宋体" w:eastAsia="宋体" w:cs="宋体"/>
                <w:sz w:val="18"/>
                <w:szCs w:val="18"/>
                <w:lang w:val="en-US" w:eastAsia="zh-CN"/>
              </w:rPr>
              <w:t>、</w:t>
            </w:r>
            <w:r>
              <w:rPr>
                <w:rFonts w:hint="eastAsia" w:ascii="宋体" w:hAnsi="宋体" w:cs="宋体"/>
                <w:sz w:val="18"/>
                <w:szCs w:val="18"/>
                <w:lang w:val="en-US" w:eastAsia="zh-CN"/>
              </w:rPr>
              <w:t>无演练文本。</w:t>
            </w:r>
          </w:p>
        </w:tc>
        <w:tc>
          <w:tcPr>
            <w:tcW w:w="387" w:type="dxa"/>
            <w:vAlign w:val="center"/>
          </w:tcPr>
          <w:p w14:paraId="6AEEE644">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r w14:paraId="380A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7172BB6E">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交付物提交质量</w:t>
            </w:r>
          </w:p>
        </w:tc>
        <w:tc>
          <w:tcPr>
            <w:tcW w:w="464" w:type="dxa"/>
            <w:vAlign w:val="center"/>
          </w:tcPr>
          <w:p w14:paraId="16C3D09C">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7</w:t>
            </w:r>
          </w:p>
        </w:tc>
        <w:tc>
          <w:tcPr>
            <w:tcW w:w="6661" w:type="dxa"/>
            <w:vAlign w:val="center"/>
          </w:tcPr>
          <w:p w14:paraId="6E9F5ACD">
            <w:pPr>
              <w:pStyle w:val="5"/>
              <w:widowControl w:val="0"/>
              <w:snapToGrid w:val="0"/>
              <w:spacing w:line="240" w:lineRule="auto"/>
              <w:ind w:left="0" w:leftChars="0" w:right="0" w:rightChars="0" w:firstLine="0" w:firstLineChars="0"/>
              <w:jc w:val="left"/>
              <w:rPr>
                <w:rFonts w:hint="eastAsia" w:ascii="宋体" w:hAnsi="宋体" w:cs="宋体"/>
                <w:sz w:val="18"/>
                <w:szCs w:val="18"/>
                <w:lang w:val="en-US" w:eastAsia="zh-CN"/>
              </w:rPr>
            </w:pPr>
            <w:r>
              <w:rPr>
                <w:rFonts w:hint="eastAsia" w:ascii="宋体" w:hAnsi="宋体" w:cs="宋体"/>
                <w:sz w:val="18"/>
                <w:szCs w:val="18"/>
                <w:lang w:val="en-US" w:eastAsia="zh-CN"/>
              </w:rPr>
              <w:t>优秀（7分）：所有约定交付物（报告、记录单等）按时提交，格式规范，无需退回修改。</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合格（5-6分）：基本按时，存在个别退回修改但不超过3次。</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不合格（0-4分）：频繁迟交，质量粗糙，驳回超过3次，影响服务或评价。</w:t>
            </w:r>
          </w:p>
        </w:tc>
        <w:tc>
          <w:tcPr>
            <w:tcW w:w="387" w:type="dxa"/>
            <w:vAlign w:val="center"/>
          </w:tcPr>
          <w:p w14:paraId="72122052">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r w14:paraId="20310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405DFDA5">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故障响应及时性</w:t>
            </w:r>
          </w:p>
        </w:tc>
        <w:tc>
          <w:tcPr>
            <w:tcW w:w="464" w:type="dxa"/>
            <w:vAlign w:val="center"/>
          </w:tcPr>
          <w:p w14:paraId="1641A1FE">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25</w:t>
            </w:r>
          </w:p>
        </w:tc>
        <w:tc>
          <w:tcPr>
            <w:tcW w:w="6661" w:type="dxa"/>
            <w:vAlign w:val="center"/>
          </w:tcPr>
          <w:p w14:paraId="50789E7E">
            <w:pPr>
              <w:widowControl/>
              <w:numPr>
                <w:ilvl w:val="0"/>
                <w:numId w:val="0"/>
              </w:numPr>
              <w:snapToGrid w:val="0"/>
              <w:spacing w:before="72" w:afterAutospacing="1"/>
              <w:ind w:left="0" w:leftChars="0" w:right="0" w:rightChars="0" w:firstLineChars="0"/>
              <w:jc w:val="left"/>
              <w:rPr>
                <w:rFonts w:hint="eastAsia" w:ascii="宋体" w:hAnsi="宋体" w:cs="宋体"/>
                <w:sz w:val="18"/>
                <w:szCs w:val="18"/>
                <w:lang w:val="en-US" w:eastAsia="zh-CN"/>
              </w:rPr>
            </w:pPr>
            <w:r>
              <w:rPr>
                <w:rFonts w:hint="default" w:ascii="宋体" w:hAnsi="宋体" w:eastAsia="宋体" w:cs="宋体"/>
                <w:kern w:val="0"/>
                <w:sz w:val="18"/>
                <w:szCs w:val="18"/>
                <w:lang w:val="en-US" w:eastAsia="zh-CN"/>
              </w:rPr>
              <w:t>考核三级故障和四级故障的</w:t>
            </w:r>
            <w:r>
              <w:rPr>
                <w:rFonts w:hint="eastAsia" w:ascii="宋体" w:hAnsi="宋体" w:eastAsia="宋体" w:cs="宋体"/>
                <w:kern w:val="0"/>
                <w:sz w:val="18"/>
                <w:szCs w:val="18"/>
                <w:lang w:val="en-US" w:eastAsia="zh-CN"/>
              </w:rPr>
              <w:t>故障响应与修复时限</w:t>
            </w:r>
            <w:r>
              <w:rPr>
                <w:rFonts w:hint="default" w:ascii="宋体" w:hAnsi="宋体" w:eastAsia="宋体" w:cs="宋体"/>
                <w:kern w:val="0"/>
                <w:sz w:val="18"/>
                <w:szCs w:val="18"/>
                <w:lang w:val="en-US" w:eastAsia="zh-CN"/>
              </w:rPr>
              <w:t>。</w:t>
            </w:r>
            <w:r>
              <w:rPr>
                <w:rFonts w:hint="default" w:ascii="宋体" w:hAnsi="宋体" w:eastAsia="宋体" w:cs="宋体"/>
                <w:kern w:val="0"/>
                <w:sz w:val="18"/>
                <w:szCs w:val="18"/>
                <w:lang w:val="en-US" w:eastAsia="zh-CN"/>
              </w:rPr>
              <w:br w:type="textWrapping"/>
            </w:r>
            <w:r>
              <w:rPr>
                <w:rFonts w:hint="eastAsia" w:ascii="宋体" w:hAnsi="宋体" w:eastAsia="宋体" w:cs="宋体"/>
                <w:i w:val="0"/>
                <w:iCs w:val="0"/>
                <w:caps w:val="0"/>
                <w:color w:val="auto"/>
                <w:spacing w:val="0"/>
                <w:kern w:val="0"/>
                <w:sz w:val="18"/>
                <w:szCs w:val="18"/>
                <w:shd w:val="clear" w:fill="auto"/>
              </w:rPr>
              <w:t>优秀（21-25分）</w:t>
            </w:r>
            <w:r>
              <w:rPr>
                <w:rFonts w:hint="default" w:ascii="宋体" w:hAnsi="宋体" w:eastAsia="宋体" w:cs="宋体"/>
                <w:i w:val="0"/>
                <w:iCs w:val="0"/>
                <w:caps w:val="0"/>
                <w:color w:val="auto"/>
                <w:spacing w:val="0"/>
                <w:kern w:val="0"/>
                <w:sz w:val="18"/>
                <w:szCs w:val="18"/>
                <w:shd w:val="clear" w:fill="auto"/>
                <w:lang w:eastAsia="zh-CN"/>
              </w:rPr>
              <w:t>：</w:t>
            </w:r>
            <w:r>
              <w:rPr>
                <w:rFonts w:hint="default" w:ascii="宋体" w:hAnsi="宋体" w:eastAsia="宋体" w:cs="宋体"/>
                <w:i w:val="0"/>
                <w:iCs w:val="0"/>
                <w:caps w:val="0"/>
                <w:spacing w:val="0"/>
                <w:kern w:val="0"/>
                <w:sz w:val="18"/>
                <w:szCs w:val="18"/>
                <w:shd w:val="clear"/>
                <w:lang w:val="en-US" w:eastAsia="zh-CN"/>
              </w:rPr>
              <w:t>周期类</w:t>
            </w:r>
            <w:r>
              <w:rPr>
                <w:rFonts w:hint="eastAsia" w:ascii="宋体" w:hAnsi="宋体" w:eastAsia="宋体" w:cs="宋体"/>
                <w:i w:val="0"/>
                <w:iCs w:val="0"/>
                <w:caps w:val="0"/>
                <w:color w:val="auto"/>
                <w:spacing w:val="0"/>
                <w:kern w:val="0"/>
                <w:sz w:val="18"/>
                <w:szCs w:val="18"/>
                <w:shd w:val="clear" w:fill="auto"/>
              </w:rPr>
              <w:t>所有三级、四级故障均在合同约定的SLA时限内完成响应</w:t>
            </w:r>
            <w:r>
              <w:rPr>
                <w:rFonts w:hint="default" w:ascii="宋体" w:hAnsi="宋体" w:eastAsia="宋体" w:cs="宋体"/>
                <w:i w:val="0"/>
                <w:iCs w:val="0"/>
                <w:caps w:val="0"/>
                <w:color w:val="auto"/>
                <w:spacing w:val="0"/>
                <w:kern w:val="0"/>
                <w:sz w:val="18"/>
                <w:szCs w:val="18"/>
                <w:shd w:val="clear" w:fill="auto"/>
                <w:lang w:eastAsia="zh-CN"/>
              </w:rPr>
              <w:t>；</w:t>
            </w:r>
            <w:r>
              <w:rPr>
                <w:rFonts w:hint="eastAsia" w:ascii="宋体" w:hAnsi="宋体" w:eastAsia="宋体" w:cs="宋体"/>
                <w:i w:val="0"/>
                <w:iCs w:val="0"/>
                <w:caps w:val="0"/>
                <w:color w:val="auto"/>
                <w:spacing w:val="0"/>
                <w:kern w:val="0"/>
                <w:sz w:val="18"/>
                <w:szCs w:val="18"/>
                <w:shd w:val="clear" w:fill="auto"/>
              </w:rPr>
              <w:t>偶有轻微超时，但未对业务运行及用户使用造成可感知影响；故障处理记录完整规范，无用户投诉或科室不满反馈。</w:t>
            </w:r>
            <w:r>
              <w:rPr>
                <w:rFonts w:hint="eastAsia" w:ascii="宋体" w:hAnsi="宋体" w:eastAsia="宋体" w:cs="宋体"/>
                <w:i w:val="0"/>
                <w:iCs w:val="0"/>
                <w:caps w:val="0"/>
                <w:color w:val="auto"/>
                <w:spacing w:val="0"/>
                <w:kern w:val="0"/>
                <w:sz w:val="18"/>
                <w:szCs w:val="18"/>
                <w:shd w:val="clear" w:fill="auto"/>
              </w:rPr>
              <w:br w:type="textWrapping"/>
            </w:r>
            <w:r>
              <w:rPr>
                <w:rFonts w:hint="eastAsia" w:ascii="宋体" w:hAnsi="宋体" w:eastAsia="宋体" w:cs="宋体"/>
                <w:i w:val="0"/>
                <w:iCs w:val="0"/>
                <w:caps w:val="0"/>
                <w:color w:val="auto"/>
                <w:spacing w:val="0"/>
                <w:kern w:val="0"/>
                <w:sz w:val="18"/>
                <w:szCs w:val="18"/>
                <w:shd w:val="clear" w:fill="auto"/>
              </w:rPr>
              <w:t>合格（13-20分）</w:t>
            </w:r>
            <w:r>
              <w:rPr>
                <w:rFonts w:hint="default" w:ascii="宋体" w:hAnsi="宋体" w:eastAsia="宋体" w:cs="宋体"/>
                <w:i w:val="0"/>
                <w:iCs w:val="0"/>
                <w:caps w:val="0"/>
                <w:color w:val="auto"/>
                <w:spacing w:val="0"/>
                <w:kern w:val="0"/>
                <w:sz w:val="18"/>
                <w:szCs w:val="18"/>
                <w:shd w:val="clear" w:fill="auto"/>
                <w:lang w:eastAsia="zh-CN"/>
              </w:rPr>
              <w:t>：</w:t>
            </w:r>
            <w:r>
              <w:rPr>
                <w:rFonts w:hint="default" w:ascii="宋体" w:hAnsi="宋体" w:eastAsia="宋体" w:cs="宋体"/>
                <w:i w:val="0"/>
                <w:iCs w:val="0"/>
                <w:caps w:val="0"/>
                <w:spacing w:val="0"/>
                <w:kern w:val="0"/>
                <w:sz w:val="18"/>
                <w:szCs w:val="18"/>
                <w:shd w:val="clear"/>
                <w:lang w:val="en-US" w:eastAsia="zh-CN"/>
              </w:rPr>
              <w:t>周期类所有三级、四级故障存在少量超时；</w:t>
            </w:r>
            <w:r>
              <w:rPr>
                <w:rFonts w:hint="eastAsia" w:ascii="宋体" w:hAnsi="宋体" w:eastAsia="宋体" w:cs="宋体"/>
                <w:i w:val="0"/>
                <w:iCs w:val="0"/>
                <w:caps w:val="0"/>
                <w:color w:val="auto"/>
                <w:spacing w:val="0"/>
                <w:kern w:val="0"/>
                <w:sz w:val="18"/>
                <w:szCs w:val="18"/>
                <w:shd w:val="clear" w:fill="auto"/>
              </w:rPr>
              <w:t>未引发用户书面投诉或科室正式催促</w:t>
            </w:r>
            <w:r>
              <w:rPr>
                <w:rFonts w:hint="default" w:ascii="宋体" w:hAnsi="宋体" w:eastAsia="宋体" w:cs="宋体"/>
                <w:i w:val="0"/>
                <w:iCs w:val="0"/>
                <w:caps w:val="0"/>
                <w:spacing w:val="0"/>
                <w:kern w:val="0"/>
                <w:sz w:val="18"/>
                <w:szCs w:val="18"/>
                <w:shd w:val="clear"/>
                <w:lang w:val="en-US" w:eastAsia="zh-CN"/>
              </w:rPr>
              <w:t>；</w:t>
            </w:r>
            <w:r>
              <w:rPr>
                <w:rFonts w:hint="eastAsia" w:ascii="宋体" w:hAnsi="宋体" w:eastAsia="宋体" w:cs="宋体"/>
                <w:i w:val="0"/>
                <w:iCs w:val="0"/>
                <w:caps w:val="0"/>
                <w:color w:val="auto"/>
                <w:spacing w:val="0"/>
                <w:kern w:val="0"/>
                <w:sz w:val="18"/>
                <w:szCs w:val="18"/>
                <w:shd w:val="clear" w:fill="auto"/>
              </w:rPr>
              <w:t>故障处理记录基本完整，存在个别疏漏但经提醒后能及时补正</w:t>
            </w:r>
            <w:r>
              <w:rPr>
                <w:rFonts w:hint="default" w:ascii="宋体" w:hAnsi="宋体" w:eastAsia="宋体" w:cs="宋体"/>
                <w:i w:val="0"/>
                <w:iCs w:val="0"/>
                <w:caps w:val="0"/>
                <w:spacing w:val="0"/>
                <w:kern w:val="0"/>
                <w:sz w:val="18"/>
                <w:szCs w:val="18"/>
                <w:shd w:val="clear"/>
                <w:lang w:val="en-US" w:eastAsia="zh-CN"/>
              </w:rPr>
              <w:t>。</w:t>
            </w:r>
            <w:r>
              <w:rPr>
                <w:rFonts w:hint="default" w:ascii="宋体" w:hAnsi="宋体" w:eastAsia="宋体" w:cs="宋体"/>
                <w:i w:val="0"/>
                <w:iCs w:val="0"/>
                <w:caps w:val="0"/>
                <w:spacing w:val="0"/>
                <w:kern w:val="0"/>
                <w:sz w:val="18"/>
                <w:szCs w:val="18"/>
                <w:shd w:val="clear"/>
                <w:lang w:val="en-US" w:eastAsia="zh-CN"/>
              </w:rPr>
              <w:br w:type="textWrapping"/>
            </w:r>
            <w:r>
              <w:rPr>
                <w:rFonts w:hint="eastAsia" w:ascii="宋体" w:hAnsi="宋体" w:eastAsia="宋体" w:cs="宋体"/>
                <w:i w:val="0"/>
                <w:iCs w:val="0"/>
                <w:caps w:val="0"/>
                <w:color w:val="0F1115"/>
                <w:spacing w:val="0"/>
                <w:kern w:val="0"/>
                <w:sz w:val="18"/>
                <w:szCs w:val="18"/>
                <w:shd w:val="clear" w:fill="FFFFFF"/>
                <w:lang w:val="en-US" w:eastAsia="zh-CN"/>
              </w:rPr>
              <w:t>不合格（0-12分）</w:t>
            </w:r>
            <w:r>
              <w:rPr>
                <w:rFonts w:hint="default" w:ascii="宋体" w:hAnsi="宋体" w:eastAsia="宋体" w:cs="宋体"/>
                <w:i w:val="0"/>
                <w:iCs w:val="0"/>
                <w:caps w:val="0"/>
                <w:color w:val="0F1115"/>
                <w:spacing w:val="0"/>
                <w:kern w:val="0"/>
                <w:sz w:val="18"/>
                <w:szCs w:val="18"/>
                <w:shd w:val="clear" w:fill="FFFFFF"/>
                <w:lang w:val="en-US" w:eastAsia="zh-CN"/>
              </w:rPr>
              <w:t>：</w:t>
            </w:r>
            <w:r>
              <w:rPr>
                <w:rFonts w:hint="default" w:ascii="宋体" w:hAnsi="宋体" w:eastAsia="宋体" w:cs="宋体"/>
                <w:i w:val="0"/>
                <w:iCs w:val="0"/>
                <w:caps w:val="0"/>
                <w:spacing w:val="0"/>
                <w:kern w:val="0"/>
                <w:sz w:val="18"/>
                <w:szCs w:val="18"/>
                <w:shd w:val="clear"/>
                <w:lang w:val="en-US" w:eastAsia="zh-CN"/>
              </w:rPr>
              <w:t>周期类所有三级、四级故障存在多次严重超时；</w:t>
            </w:r>
            <w:r>
              <w:rPr>
                <w:rFonts w:hint="eastAsia" w:ascii="宋体" w:hAnsi="宋体" w:eastAsia="宋体" w:cs="宋体"/>
                <w:i w:val="0"/>
                <w:iCs w:val="0"/>
                <w:caps w:val="0"/>
                <w:color w:val="0F1115"/>
                <w:spacing w:val="0"/>
                <w:kern w:val="0"/>
                <w:sz w:val="18"/>
                <w:szCs w:val="18"/>
                <w:shd w:val="clear" w:fill="FFFFFF"/>
                <w:lang w:val="en-US" w:eastAsia="zh-CN"/>
              </w:rPr>
              <w:t>因响应修复严重延误导致业务受阻、引发用户正式投诉</w:t>
            </w:r>
            <w:r>
              <w:rPr>
                <w:rFonts w:hint="default" w:ascii="宋体" w:hAnsi="宋体" w:eastAsia="宋体" w:cs="宋体"/>
                <w:i w:val="0"/>
                <w:iCs w:val="0"/>
                <w:caps w:val="0"/>
                <w:spacing w:val="0"/>
                <w:kern w:val="0"/>
                <w:sz w:val="18"/>
                <w:szCs w:val="18"/>
                <w:shd w:val="clear"/>
                <w:lang w:val="en-US" w:eastAsia="zh-CN"/>
              </w:rPr>
              <w:t>；</w:t>
            </w:r>
            <w:r>
              <w:rPr>
                <w:rFonts w:hint="eastAsia" w:ascii="宋体" w:hAnsi="宋体" w:eastAsia="宋体" w:cs="宋体"/>
                <w:i w:val="0"/>
                <w:iCs w:val="0"/>
                <w:caps w:val="0"/>
                <w:color w:val="0F1115"/>
                <w:spacing w:val="0"/>
                <w:kern w:val="0"/>
                <w:sz w:val="18"/>
                <w:szCs w:val="18"/>
                <w:shd w:val="clear" w:fill="FFFFFF"/>
                <w:lang w:val="en-US" w:eastAsia="zh-CN"/>
              </w:rPr>
              <w:t>故障处理记录缺失、混乱或失真，影响服务质量评价和事件追溯</w:t>
            </w:r>
            <w:r>
              <w:rPr>
                <w:rFonts w:hint="default" w:ascii="宋体" w:hAnsi="宋体" w:eastAsia="宋体" w:cs="宋体"/>
                <w:i w:val="0"/>
                <w:iCs w:val="0"/>
                <w:caps w:val="0"/>
                <w:spacing w:val="0"/>
                <w:kern w:val="0"/>
                <w:sz w:val="18"/>
                <w:szCs w:val="18"/>
                <w:shd w:val="clear"/>
                <w:lang w:val="en-US" w:eastAsia="zh-CN"/>
              </w:rPr>
              <w:t>。</w:t>
            </w:r>
          </w:p>
        </w:tc>
        <w:tc>
          <w:tcPr>
            <w:tcW w:w="387" w:type="dxa"/>
            <w:vAlign w:val="center"/>
          </w:tcPr>
          <w:p w14:paraId="2EEE9A9F">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r w14:paraId="0DF7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028DECE4">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用户满意度</w:t>
            </w:r>
          </w:p>
        </w:tc>
        <w:tc>
          <w:tcPr>
            <w:tcW w:w="464" w:type="dxa"/>
            <w:vAlign w:val="center"/>
          </w:tcPr>
          <w:p w14:paraId="1185B63C">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sz w:val="18"/>
                <w:szCs w:val="18"/>
                <w:lang w:val="en-US" w:eastAsia="zh-CN"/>
              </w:rPr>
              <w:t>20</w:t>
            </w:r>
          </w:p>
        </w:tc>
        <w:tc>
          <w:tcPr>
            <w:tcW w:w="6661" w:type="dxa"/>
            <w:vAlign w:val="center"/>
          </w:tcPr>
          <w:p w14:paraId="66DB588E">
            <w:pPr>
              <w:pStyle w:val="5"/>
              <w:widowControl w:val="0"/>
              <w:snapToGrid w:val="0"/>
              <w:spacing w:line="240" w:lineRule="auto"/>
              <w:ind w:left="0" w:leftChars="0" w:right="0" w:rightChars="0" w:firstLine="0" w:firstLineChars="0"/>
              <w:jc w:val="left"/>
              <w:rPr>
                <w:rFonts w:hint="eastAsia" w:ascii="宋体" w:hAnsi="宋体" w:cs="宋体"/>
                <w:sz w:val="18"/>
                <w:szCs w:val="18"/>
                <w:lang w:val="en-US" w:eastAsia="zh-CN"/>
              </w:rPr>
            </w:pPr>
            <w:r>
              <w:rPr>
                <w:rFonts w:hint="eastAsia" w:ascii="宋体" w:hAnsi="宋体" w:cs="宋体"/>
                <w:sz w:val="18"/>
                <w:szCs w:val="18"/>
                <w:lang w:val="en-US" w:eastAsia="zh-CN"/>
              </w:rPr>
              <w:t>由主要使用科室代表按</w:t>
            </w:r>
            <w:r>
              <w:rPr>
                <w:rFonts w:hint="eastAsia" w:ascii="宋体" w:hAnsi="宋体" w:cs="宋体"/>
                <w:color w:val="FF0000"/>
                <w:sz w:val="18"/>
                <w:szCs w:val="18"/>
                <w:lang w:val="en-US" w:eastAsia="zh-CN"/>
              </w:rPr>
              <w:t>季</w:t>
            </w:r>
            <w:r>
              <w:rPr>
                <w:rFonts w:hint="eastAsia" w:ascii="宋体" w:hAnsi="宋体" w:cs="宋体"/>
                <w:sz w:val="18"/>
                <w:szCs w:val="18"/>
                <w:lang w:val="en-US" w:eastAsia="zh-CN"/>
              </w:rPr>
              <w:t>打分（十分制），平均分×2 即为本项得分。</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问卷关键项：响应速度、服务态度、技术能力、沟通协调。</w:t>
            </w:r>
            <w:r>
              <w:rPr>
                <w:rFonts w:hint="eastAsia" w:ascii="宋体" w:hAnsi="宋体" w:cs="宋体"/>
                <w:sz w:val="18"/>
                <w:szCs w:val="18"/>
                <w:lang w:val="en-US" w:eastAsia="zh-CN"/>
              </w:rPr>
              <w:br w:type="textWrapping"/>
            </w:r>
            <w:r>
              <w:rPr>
                <w:rFonts w:hint="eastAsia" w:ascii="宋体" w:hAnsi="宋体" w:cs="宋体"/>
                <w:sz w:val="18"/>
                <w:szCs w:val="18"/>
                <w:lang w:val="en-US" w:eastAsia="zh-CN"/>
              </w:rPr>
              <w:t>平均分≥9：优秀； 6≤平均分＜9：合格； ＜6：不合格。</w:t>
            </w:r>
          </w:p>
        </w:tc>
        <w:tc>
          <w:tcPr>
            <w:tcW w:w="387" w:type="dxa"/>
            <w:vAlign w:val="center"/>
          </w:tcPr>
          <w:p w14:paraId="03F9735C">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r w14:paraId="4D8E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3" w:type="dxa"/>
            <w:vAlign w:val="center"/>
          </w:tcPr>
          <w:p w14:paraId="6E3008BD">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r>
              <w:rPr>
                <w:rFonts w:hint="eastAsia" w:ascii="宋体" w:hAnsi="宋体" w:cs="宋体"/>
                <w:b/>
                <w:bCs/>
                <w:sz w:val="18"/>
                <w:szCs w:val="18"/>
                <w:lang w:val="en-US" w:eastAsia="zh-CN"/>
              </w:rPr>
              <w:t>总分</w:t>
            </w:r>
          </w:p>
        </w:tc>
        <w:tc>
          <w:tcPr>
            <w:tcW w:w="7126" w:type="dxa"/>
            <w:gridSpan w:val="2"/>
            <w:vAlign w:val="center"/>
          </w:tcPr>
          <w:p w14:paraId="6B06827C">
            <w:pPr>
              <w:pStyle w:val="5"/>
              <w:widowControl w:val="0"/>
              <w:snapToGrid w:val="0"/>
              <w:spacing w:line="240" w:lineRule="auto"/>
              <w:ind w:left="0" w:leftChars="0" w:right="0" w:rightChars="0" w:firstLine="0" w:firstLineChars="0"/>
              <w:jc w:val="left"/>
              <w:rPr>
                <w:rFonts w:hint="eastAsia" w:ascii="宋体" w:hAnsi="宋体" w:cs="宋体"/>
                <w:sz w:val="18"/>
                <w:szCs w:val="18"/>
                <w:lang w:val="en-US" w:eastAsia="zh-CN"/>
              </w:rPr>
            </w:pPr>
          </w:p>
        </w:tc>
        <w:tc>
          <w:tcPr>
            <w:tcW w:w="387" w:type="dxa"/>
            <w:vAlign w:val="center"/>
          </w:tcPr>
          <w:p w14:paraId="6E46A404">
            <w:pPr>
              <w:pStyle w:val="5"/>
              <w:widowControl w:val="0"/>
              <w:snapToGrid w:val="0"/>
              <w:spacing w:line="240" w:lineRule="auto"/>
              <w:ind w:left="0" w:leftChars="0" w:right="0" w:rightChars="0" w:firstLine="0" w:firstLineChars="0"/>
              <w:jc w:val="center"/>
              <w:rPr>
                <w:rFonts w:hint="eastAsia" w:ascii="宋体" w:hAnsi="宋体" w:cs="宋体"/>
                <w:sz w:val="18"/>
                <w:szCs w:val="18"/>
                <w:lang w:val="en-US" w:eastAsia="zh-CN"/>
              </w:rPr>
            </w:pPr>
          </w:p>
        </w:tc>
      </w:tr>
    </w:tbl>
    <w:p w14:paraId="39B99D16">
      <w:pPr>
        <w:pStyle w:val="5"/>
        <w:widowControl/>
        <w:ind w:left="0" w:leftChars="0" w:firstLine="0" w:firstLineChars="0"/>
        <w:rPr>
          <w:rFonts w:hint="eastAsia" w:ascii="宋体" w:hAnsi="宋体" w:eastAsia="宋体" w:cs="宋体"/>
          <w:sz w:val="21"/>
          <w:szCs w:val="21"/>
        </w:rPr>
      </w:pPr>
      <w:r>
        <w:rPr>
          <w:rFonts w:hint="eastAsia" w:ascii="宋体" w:hAnsi="宋体" w:eastAsia="宋体" w:cs="宋体"/>
          <w:sz w:val="21"/>
          <w:szCs w:val="21"/>
        </w:rPr>
        <w:t>评价结论：</w:t>
      </w:r>
      <w:r>
        <w:rPr>
          <w:rFonts w:hint="eastAsia" w:ascii="宋体" w:hAnsi="宋体" w:eastAsia="宋体" w:cs="宋体"/>
          <w:sz w:val="21"/>
          <w:szCs w:val="21"/>
        </w:rPr>
        <w:sym w:font="Wingdings 2" w:char="00A3"/>
      </w:r>
      <w:r>
        <w:rPr>
          <w:rFonts w:hint="eastAsia" w:ascii="宋体" w:hAnsi="宋体" w:cs="宋体"/>
          <w:sz w:val="21"/>
          <w:szCs w:val="21"/>
          <w:lang w:val="en-US" w:eastAsia="zh-CN"/>
        </w:rPr>
        <w:t>优秀</w:t>
      </w:r>
      <w:r>
        <w:rPr>
          <w:rFonts w:hint="eastAsia" w:ascii="宋体" w:hAnsi="宋体" w:eastAsia="宋体" w:cs="宋体"/>
          <w:sz w:val="21"/>
          <w:szCs w:val="21"/>
        </w:rPr>
        <w:t>（</w:t>
      </w:r>
      <w:r>
        <w:rPr>
          <w:rFonts w:hint="eastAsia" w:ascii="宋体" w:hAnsi="宋体" w:cs="宋体"/>
          <w:sz w:val="21"/>
          <w:szCs w:val="21"/>
          <w:lang w:val="en-US" w:eastAsia="zh-CN"/>
        </w:rPr>
        <w:t>评分</w:t>
      </w:r>
      <w:r>
        <w:rPr>
          <w:rFonts w:hint="eastAsia" w:ascii="宋体" w:hAnsi="宋体" w:eastAsia="宋体" w:cs="宋体"/>
          <w:sz w:val="21"/>
          <w:szCs w:val="21"/>
        </w:rPr>
        <w:t>≥</w:t>
      </w:r>
      <w:r>
        <w:rPr>
          <w:rFonts w:hint="eastAsia" w:ascii="宋体" w:hAnsi="宋体" w:cs="宋体"/>
          <w:sz w:val="21"/>
          <w:szCs w:val="21"/>
          <w:lang w:val="en-US" w:eastAsia="zh-CN"/>
        </w:rPr>
        <w:t>85</w:t>
      </w:r>
      <w:r>
        <w:rPr>
          <w:rFonts w:hint="eastAsia" w:ascii="宋体" w:hAnsi="宋体" w:eastAsia="宋体" w:cs="宋体"/>
          <w:sz w:val="21"/>
          <w:szCs w:val="21"/>
        </w:rPr>
        <w:t>分）</w:t>
      </w:r>
      <w:r>
        <w:rPr>
          <w:rFonts w:hint="eastAsia" w:ascii="宋体" w:hAnsi="宋体" w:eastAsia="宋体" w:cs="宋体"/>
          <w:sz w:val="21"/>
          <w:szCs w:val="21"/>
        </w:rPr>
        <w:sym w:font="Wingdings 2" w:char="00A3"/>
      </w:r>
      <w:r>
        <w:rPr>
          <w:rFonts w:hint="eastAsia" w:ascii="宋体" w:hAnsi="宋体" w:cs="宋体"/>
          <w:sz w:val="21"/>
          <w:szCs w:val="21"/>
          <w:lang w:val="en-US" w:eastAsia="zh-CN"/>
        </w:rPr>
        <w:t>合格</w:t>
      </w:r>
      <w:r>
        <w:rPr>
          <w:rFonts w:hint="eastAsia" w:ascii="宋体" w:hAnsi="宋体" w:eastAsia="宋体" w:cs="宋体"/>
          <w:sz w:val="21"/>
          <w:szCs w:val="21"/>
        </w:rPr>
        <w:t>（</w:t>
      </w:r>
      <w:r>
        <w:rPr>
          <w:rFonts w:hint="eastAsia" w:ascii="宋体" w:hAnsi="宋体" w:cs="宋体"/>
          <w:sz w:val="21"/>
          <w:szCs w:val="21"/>
          <w:lang w:val="en-US" w:eastAsia="zh-CN"/>
        </w:rPr>
        <w:t>6</w:t>
      </w:r>
      <w:r>
        <w:rPr>
          <w:rFonts w:hint="eastAsia" w:ascii="宋体" w:hAnsi="宋体" w:eastAsia="宋体" w:cs="宋体"/>
          <w:sz w:val="21"/>
          <w:szCs w:val="21"/>
        </w:rPr>
        <w:t>0≤</w:t>
      </w:r>
      <w:r>
        <w:rPr>
          <w:rFonts w:hint="eastAsia" w:ascii="宋体" w:hAnsi="宋体" w:cs="宋体"/>
          <w:sz w:val="21"/>
          <w:szCs w:val="21"/>
          <w:lang w:val="en-US" w:eastAsia="zh-CN"/>
        </w:rPr>
        <w:t>评分</w:t>
      </w:r>
      <w:r>
        <w:rPr>
          <w:rFonts w:hint="eastAsia" w:ascii="宋体" w:hAnsi="宋体" w:eastAsia="宋体" w:cs="宋体"/>
          <w:sz w:val="21"/>
          <w:szCs w:val="21"/>
        </w:rPr>
        <w:t>&lt;85）</w:t>
      </w:r>
      <w:r>
        <w:rPr>
          <w:rFonts w:hint="eastAsia" w:ascii="宋体" w:hAnsi="宋体" w:eastAsia="宋体" w:cs="宋体"/>
          <w:sz w:val="21"/>
          <w:szCs w:val="21"/>
        </w:rPr>
        <w:sym w:font="Wingdings 2" w:char="00A3"/>
      </w:r>
      <w:r>
        <w:rPr>
          <w:rFonts w:hint="eastAsia" w:ascii="宋体" w:hAnsi="宋体" w:eastAsia="宋体" w:cs="宋体"/>
          <w:sz w:val="21"/>
          <w:szCs w:val="21"/>
        </w:rPr>
        <w:t>不合格（</w:t>
      </w:r>
      <w:r>
        <w:rPr>
          <w:rFonts w:hint="eastAsia" w:ascii="宋体" w:hAnsi="宋体" w:cs="宋体"/>
          <w:sz w:val="21"/>
          <w:szCs w:val="21"/>
          <w:lang w:val="en-US" w:eastAsia="zh-CN"/>
        </w:rPr>
        <w:t>评分</w:t>
      </w:r>
      <w:r>
        <w:rPr>
          <w:rFonts w:hint="eastAsia" w:ascii="宋体" w:hAnsi="宋体" w:eastAsia="宋体" w:cs="宋体"/>
          <w:sz w:val="21"/>
          <w:szCs w:val="21"/>
        </w:rPr>
        <w:t>&lt;</w:t>
      </w:r>
      <w:r>
        <w:rPr>
          <w:rFonts w:hint="eastAsia" w:ascii="宋体" w:hAnsi="宋体" w:cs="宋体"/>
          <w:sz w:val="21"/>
          <w:szCs w:val="21"/>
          <w:lang w:val="en-US" w:eastAsia="zh-CN"/>
        </w:rPr>
        <w:t>6</w:t>
      </w:r>
      <w:r>
        <w:rPr>
          <w:rFonts w:hint="eastAsia" w:ascii="宋体" w:hAnsi="宋体" w:eastAsia="宋体" w:cs="宋体"/>
          <w:sz w:val="21"/>
          <w:szCs w:val="21"/>
        </w:rPr>
        <w:t>0分）</w:t>
      </w:r>
    </w:p>
    <w:p w14:paraId="27C812C4">
      <w:pPr>
        <w:spacing w:after="120" w:afterAutospacing="0" w:line="300" w:lineRule="auto"/>
        <w:ind w:left="480" w:leftChars="0" w:firstLine="0" w:firstLineChars="0"/>
        <w:rPr>
          <w:rFonts w:hint="eastAsia" w:ascii="宋体" w:hAnsi="宋体" w:eastAsia="宋体" w:cs="宋体"/>
          <w:sz w:val="21"/>
          <w:szCs w:val="21"/>
        </w:rPr>
      </w:pPr>
    </w:p>
    <w:p w14:paraId="758DAE86">
      <w:pPr>
        <w:tabs>
          <w:tab w:val="left" w:pos="4200"/>
        </w:tabs>
        <w:spacing w:after="120" w:afterAutospacing="0" w:line="30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rPr>
        <w:t>甲方代表签字：_______ 日期：_______</w:t>
      </w:r>
      <w:r>
        <w:rPr>
          <w:rFonts w:hint="eastAsia" w:ascii="宋体" w:hAnsi="宋体" w:eastAsia="宋体" w:cs="宋体"/>
          <w:sz w:val="21"/>
          <w:szCs w:val="21"/>
          <w:lang w:val="en-US" w:eastAsia="zh-CN"/>
        </w:rPr>
        <w:tab/>
      </w:r>
      <w:r>
        <w:rPr>
          <w:rFonts w:hint="eastAsia" w:ascii="宋体" w:hAnsi="宋体" w:eastAsia="宋体" w:cs="宋体"/>
          <w:sz w:val="21"/>
          <w:szCs w:val="21"/>
        </w:rPr>
        <w:t xml:space="preserve">乙方代表签字：_______ 日期：_______  </w:t>
      </w:r>
    </w:p>
    <w:p w14:paraId="2383E0B6">
      <w:pPr>
        <w:rPr>
          <w:rFonts w:hint="eastAsia" w:ascii="宋体" w:hAnsi="宋体" w:eastAsia="宋体"/>
          <w:sz w:val="24"/>
          <w:lang w:val="en-US" w:eastAsia="zh-CN"/>
        </w:rPr>
      </w:pPr>
      <w:r>
        <w:rPr>
          <w:rFonts w:hint="eastAsia" w:ascii="宋体" w:hAnsi="宋体" w:eastAsia="宋体"/>
          <w:sz w:val="24"/>
          <w:lang w:val="en-US" w:eastAsia="zh-CN"/>
        </w:rPr>
        <w:br w:type="page"/>
      </w:r>
    </w:p>
    <w:p w14:paraId="0E24F070">
      <w:pPr>
        <w:rPr>
          <w:rFonts w:hint="eastAsia"/>
          <w:lang w:val="en-US" w:eastAsia="zh-CN"/>
        </w:rPr>
      </w:pPr>
      <w:r>
        <w:rPr>
          <w:rFonts w:hint="eastAsia" w:ascii="宋体" w:hAnsi="宋体" w:eastAsia="宋体"/>
          <w:sz w:val="24"/>
          <w:lang w:val="en-US" w:eastAsia="zh-CN"/>
        </w:rPr>
        <w:t>附件二</w:t>
      </w:r>
    </w:p>
    <w:p w14:paraId="3A5F3729">
      <w:pPr>
        <w:pStyle w:val="15"/>
        <w:outlineLvl w:val="1"/>
      </w:pPr>
      <w:r>
        <w:rPr>
          <w:rFonts w:hint="eastAsia"/>
          <w:u w:val="single"/>
          <w:lang w:val="en-US" w:eastAsia="zh-CN"/>
        </w:rPr>
        <w:t xml:space="preserve">          </w:t>
      </w:r>
      <w:r>
        <w:t>运维服务</w:t>
      </w:r>
      <w:r>
        <w:rPr>
          <w:rFonts w:hint="eastAsia"/>
          <w:u w:val="single"/>
          <w:lang w:val="en-US" w:eastAsia="zh-CN"/>
        </w:rPr>
        <w:t xml:space="preserve">    </w:t>
      </w:r>
      <w:r>
        <w:rPr>
          <w:rFonts w:hint="eastAsia"/>
          <w:color w:val="FF0000"/>
          <w:lang w:val="en-US" w:eastAsia="zh-CN"/>
        </w:rPr>
        <w:t>季</w:t>
      </w:r>
      <w:r>
        <w:t>度</w:t>
      </w:r>
      <w:r>
        <w:rPr>
          <w:rFonts w:hint="eastAsia"/>
          <w:lang w:val="en-US" w:eastAsia="zh-CN"/>
        </w:rPr>
        <w:t>满意度</w:t>
      </w:r>
      <w:r>
        <w:t>评价表</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4"/>
        <w:gridCol w:w="587"/>
        <w:gridCol w:w="6124"/>
        <w:gridCol w:w="587"/>
      </w:tblGrid>
      <w:tr w14:paraId="1E06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55A523AF">
            <w:pPr>
              <w:pStyle w:val="5"/>
              <w:widowControl w:val="0"/>
              <w:snapToGrid w:val="0"/>
              <w:spacing w:line="240" w:lineRule="auto"/>
              <w:ind w:left="0" w:leftChars="0" w:right="0" w:rightChars="0" w:firstLine="0" w:firstLineChars="0"/>
              <w:jc w:val="center"/>
              <w:rPr>
                <w:rFonts w:hint="eastAsia" w:ascii="宋体" w:hAnsi="宋体" w:eastAsia="宋体" w:cs="宋体"/>
                <w:b/>
                <w:sz w:val="21"/>
                <w:szCs w:val="21"/>
                <w:vertAlign w:val="baseline"/>
              </w:rPr>
            </w:pPr>
            <w:r>
              <w:rPr>
                <w:rFonts w:hint="eastAsia" w:ascii="宋体" w:hAnsi="宋体" w:eastAsia="宋体" w:cs="宋体"/>
                <w:b/>
                <w:sz w:val="21"/>
                <w:szCs w:val="21"/>
              </w:rPr>
              <w:t>评价维度</w:t>
            </w:r>
          </w:p>
        </w:tc>
        <w:tc>
          <w:tcPr>
            <w:tcW w:w="0" w:type="auto"/>
            <w:vAlign w:val="center"/>
          </w:tcPr>
          <w:p w14:paraId="3BA4AA44">
            <w:pPr>
              <w:pStyle w:val="5"/>
              <w:widowControl w:val="0"/>
              <w:snapToGrid w:val="0"/>
              <w:spacing w:line="240" w:lineRule="auto"/>
              <w:ind w:left="0" w:leftChars="0" w:right="0" w:rightChars="0" w:firstLine="0" w:firstLineChars="0"/>
              <w:jc w:val="center"/>
              <w:rPr>
                <w:rFonts w:hint="eastAsia" w:ascii="宋体" w:hAnsi="宋体" w:eastAsia="宋体" w:cs="宋体"/>
                <w:b/>
                <w:sz w:val="21"/>
                <w:szCs w:val="21"/>
                <w:lang w:val="en-US" w:eastAsia="zh-CN"/>
              </w:rPr>
            </w:pPr>
            <w:r>
              <w:rPr>
                <w:rFonts w:hint="eastAsia" w:ascii="宋体" w:hAnsi="宋体" w:cs="宋体"/>
                <w:b/>
                <w:sz w:val="21"/>
                <w:szCs w:val="21"/>
                <w:lang w:val="en-US" w:eastAsia="zh-CN"/>
              </w:rPr>
              <w:t>分值</w:t>
            </w:r>
          </w:p>
        </w:tc>
        <w:tc>
          <w:tcPr>
            <w:tcW w:w="0" w:type="auto"/>
            <w:vAlign w:val="center"/>
          </w:tcPr>
          <w:p w14:paraId="52AE0FD4">
            <w:pPr>
              <w:pStyle w:val="5"/>
              <w:widowControl w:val="0"/>
              <w:snapToGrid w:val="0"/>
              <w:spacing w:line="240" w:lineRule="auto"/>
              <w:ind w:left="0" w:leftChars="0" w:right="0" w:rightChars="0" w:firstLine="0" w:firstLineChars="0"/>
              <w:jc w:val="center"/>
              <w:rPr>
                <w:rFonts w:hint="eastAsia" w:ascii="宋体" w:hAnsi="宋体" w:eastAsia="宋体" w:cs="宋体"/>
                <w:b/>
                <w:sz w:val="21"/>
                <w:szCs w:val="21"/>
                <w:vertAlign w:val="baseline"/>
              </w:rPr>
            </w:pPr>
            <w:r>
              <w:rPr>
                <w:rFonts w:hint="eastAsia" w:ascii="宋体" w:hAnsi="宋体" w:eastAsia="宋体" w:cs="宋体"/>
                <w:b/>
                <w:sz w:val="21"/>
                <w:szCs w:val="21"/>
              </w:rPr>
              <w:t>评分标准</w:t>
            </w:r>
          </w:p>
        </w:tc>
        <w:tc>
          <w:tcPr>
            <w:tcW w:w="0" w:type="auto"/>
            <w:vAlign w:val="center"/>
          </w:tcPr>
          <w:p w14:paraId="75F9AF84">
            <w:pPr>
              <w:pStyle w:val="5"/>
              <w:widowControl w:val="0"/>
              <w:snapToGrid w:val="0"/>
              <w:spacing w:line="240" w:lineRule="auto"/>
              <w:ind w:left="0" w:leftChars="0" w:right="0" w:rightChars="0" w:firstLine="0" w:firstLineChars="0"/>
              <w:jc w:val="center"/>
              <w:rPr>
                <w:rFonts w:hint="eastAsia" w:ascii="宋体" w:hAnsi="宋体" w:eastAsia="宋体" w:cs="宋体"/>
                <w:b/>
                <w:sz w:val="21"/>
                <w:szCs w:val="21"/>
                <w:vertAlign w:val="baseline"/>
              </w:rPr>
            </w:pPr>
            <w:r>
              <w:rPr>
                <w:rFonts w:hint="eastAsia" w:ascii="宋体" w:hAnsi="宋体" w:eastAsia="宋体" w:cs="宋体"/>
                <w:b/>
                <w:sz w:val="21"/>
                <w:szCs w:val="21"/>
              </w:rPr>
              <w:t>得分</w:t>
            </w:r>
          </w:p>
        </w:tc>
      </w:tr>
      <w:tr w14:paraId="77D5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0" w:type="auto"/>
            <w:vAlign w:val="center"/>
          </w:tcPr>
          <w:p w14:paraId="126B43CD">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响应速度</w:t>
            </w:r>
          </w:p>
        </w:tc>
        <w:tc>
          <w:tcPr>
            <w:tcW w:w="0" w:type="auto"/>
            <w:vAlign w:val="center"/>
          </w:tcPr>
          <w:p w14:paraId="1126EAE2">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10</w:t>
            </w:r>
          </w:p>
        </w:tc>
        <w:tc>
          <w:tcPr>
            <w:tcW w:w="0" w:type="auto"/>
            <w:vAlign w:val="center"/>
          </w:tcPr>
          <w:p w14:paraId="200C4C81">
            <w:pPr>
              <w:pStyle w:val="5"/>
              <w:widowControl w:val="0"/>
              <w:snapToGrid w:val="0"/>
              <w:spacing w:line="240" w:lineRule="auto"/>
              <w:ind w:left="0" w:leftChars="0" w:right="0" w:rightChars="0" w:firstLine="0" w:firstLineChars="0"/>
              <w:jc w:val="left"/>
              <w:rPr>
                <w:rFonts w:hint="eastAsia" w:ascii="宋体" w:hAnsi="宋体" w:eastAsia="宋体" w:cs="宋体"/>
                <w:sz w:val="21"/>
                <w:szCs w:val="21"/>
                <w:lang w:val="en-US" w:eastAsia="zh-CN"/>
              </w:rPr>
            </w:pPr>
            <w:r>
              <w:rPr>
                <w:rFonts w:hint="eastAsia" w:ascii="宋体" w:hAnsi="宋体" w:cs="宋体"/>
                <w:sz w:val="21"/>
                <w:szCs w:val="21"/>
                <w:lang w:val="en-US" w:eastAsia="zh-CN"/>
              </w:rPr>
              <w:t>10分：报修后瞬间响应远优于SLA，到场极快。</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8-9分：严格满足SLA时限，基本无等待感。</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6-7分：偶有略超时但未影响业务。</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4-5分：频繁轻微超时，需反复催促才响应。</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1-3分：经常联系不上或严重超时，对诊疗造成明显阻碍。</w:t>
            </w:r>
          </w:p>
        </w:tc>
        <w:tc>
          <w:tcPr>
            <w:tcW w:w="0" w:type="auto"/>
            <w:vAlign w:val="center"/>
          </w:tcPr>
          <w:p w14:paraId="5F1B634A">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p>
        </w:tc>
      </w:tr>
      <w:tr w14:paraId="57F97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8221F93">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服务态度</w:t>
            </w:r>
          </w:p>
        </w:tc>
        <w:tc>
          <w:tcPr>
            <w:tcW w:w="0" w:type="auto"/>
            <w:vAlign w:val="center"/>
          </w:tcPr>
          <w:p w14:paraId="6B923318">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10</w:t>
            </w:r>
          </w:p>
        </w:tc>
        <w:tc>
          <w:tcPr>
            <w:tcW w:w="0" w:type="auto"/>
            <w:vAlign w:val="center"/>
          </w:tcPr>
          <w:p w14:paraId="50E0260D">
            <w:pPr>
              <w:pStyle w:val="5"/>
              <w:widowControl w:val="0"/>
              <w:snapToGrid w:val="0"/>
              <w:spacing w:line="240" w:lineRule="auto"/>
              <w:ind w:left="0" w:leftChars="0" w:right="0" w:rightChars="0" w:firstLine="0" w:firstLineChars="0"/>
              <w:jc w:val="left"/>
              <w:rPr>
                <w:rFonts w:hint="eastAsia" w:ascii="宋体" w:hAnsi="宋体" w:eastAsia="宋体" w:cs="宋体"/>
                <w:sz w:val="21"/>
                <w:szCs w:val="21"/>
                <w:lang w:val="en-US" w:eastAsia="zh-CN"/>
              </w:rPr>
            </w:pPr>
            <w:r>
              <w:rPr>
                <w:rFonts w:hint="eastAsia" w:ascii="宋体" w:hAnsi="宋体" w:cs="宋体"/>
                <w:sz w:val="21"/>
                <w:szCs w:val="21"/>
                <w:lang w:val="en-US" w:eastAsia="zh-CN"/>
              </w:rPr>
              <w:t>10分：态度热忱、主动，能安抚用户急躁情绪，主动跟进结果。</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8-9分：礼貌、耐心，沟通顺畅，用户感受良好。</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6-7分：态度正常，完成本职沟通，无投诉但也无亮点。</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4-5分：偶有语气急躁、推诿或不够耐心。</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1-3分：态度恶劣、与用户争执，或被多次投诉态度问题。</w:t>
            </w:r>
          </w:p>
        </w:tc>
        <w:tc>
          <w:tcPr>
            <w:tcW w:w="0" w:type="auto"/>
            <w:vAlign w:val="center"/>
          </w:tcPr>
          <w:p w14:paraId="719BEEC1">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p>
        </w:tc>
      </w:tr>
      <w:tr w14:paraId="7BA2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012A46B">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技术能力</w:t>
            </w:r>
          </w:p>
        </w:tc>
        <w:tc>
          <w:tcPr>
            <w:tcW w:w="0" w:type="auto"/>
            <w:vAlign w:val="center"/>
          </w:tcPr>
          <w:p w14:paraId="307070E6">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10</w:t>
            </w:r>
          </w:p>
        </w:tc>
        <w:tc>
          <w:tcPr>
            <w:tcW w:w="0" w:type="auto"/>
            <w:vAlign w:val="center"/>
          </w:tcPr>
          <w:p w14:paraId="752F50F0">
            <w:pPr>
              <w:pStyle w:val="5"/>
              <w:widowControl w:val="0"/>
              <w:snapToGrid w:val="0"/>
              <w:spacing w:line="240" w:lineRule="auto"/>
              <w:ind w:left="0" w:leftChars="0" w:right="0" w:rightChars="0" w:firstLine="0" w:firstLineChars="0"/>
              <w:jc w:val="left"/>
              <w:rPr>
                <w:rFonts w:hint="eastAsia" w:ascii="宋体" w:hAnsi="宋体" w:eastAsia="宋体" w:cs="宋体"/>
                <w:sz w:val="21"/>
                <w:szCs w:val="21"/>
                <w:lang w:val="en-US" w:eastAsia="zh-CN"/>
              </w:rPr>
            </w:pPr>
            <w:r>
              <w:rPr>
                <w:rFonts w:hint="eastAsia" w:ascii="宋体" w:hAnsi="宋体" w:cs="宋体"/>
                <w:sz w:val="21"/>
                <w:szCs w:val="21"/>
                <w:lang w:val="en-US" w:eastAsia="zh-CN"/>
              </w:rPr>
              <w:t>10分：无需转手，一次到场即精准确诊并解决复杂问题，能主动优化隐患。</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8-9分：能独立解决职责内的各类故障，偶需二线支持但效率较高。</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6-7分：常见问题能处理，疑难问题明显依赖后方，但最终能闭环。</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4-5分：基础技能不足，处理耗时过长，或相同故障反复出现。</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1-3分：技术严重欠缺，操作失误导致影响扩大或引发新故障。</w:t>
            </w:r>
          </w:p>
        </w:tc>
        <w:tc>
          <w:tcPr>
            <w:tcW w:w="0" w:type="auto"/>
            <w:vAlign w:val="center"/>
          </w:tcPr>
          <w:p w14:paraId="58BD2C4D">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p>
        </w:tc>
      </w:tr>
      <w:tr w14:paraId="5FBA0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D3873F5">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沟通协调</w:t>
            </w:r>
          </w:p>
        </w:tc>
        <w:tc>
          <w:tcPr>
            <w:tcW w:w="0" w:type="auto"/>
            <w:vAlign w:val="center"/>
          </w:tcPr>
          <w:p w14:paraId="496ACB7E">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10</w:t>
            </w:r>
          </w:p>
        </w:tc>
        <w:tc>
          <w:tcPr>
            <w:tcW w:w="0" w:type="auto"/>
            <w:vAlign w:val="center"/>
          </w:tcPr>
          <w:p w14:paraId="56A96F26">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21"/>
                <w:szCs w:val="21"/>
                <w:lang w:val="en-US" w:eastAsia="zh-CN"/>
              </w:rPr>
            </w:pPr>
            <w:r>
              <w:rPr>
                <w:rFonts w:hint="eastAsia" w:ascii="宋体" w:hAnsi="宋体" w:cs="宋体"/>
                <w:sz w:val="21"/>
                <w:szCs w:val="21"/>
                <w:lang w:val="en-US" w:eastAsia="zh-CN"/>
              </w:rPr>
              <w:t>10分：变更、升级、恢复等主动同步信息，跨厂商协调无需我方介入，过程透明。</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8-9分：关键节点主动告知，响应及时，多方配合顺畅。</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6-7分：被动式沟通，一问一答，但信息准确。</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4-5分：信息传递滞后或错漏，需我方反复确认协调。</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1-3分：隐瞒延误、推卸责任、协调完全失效导致故障扩大。</w:t>
            </w:r>
          </w:p>
        </w:tc>
        <w:tc>
          <w:tcPr>
            <w:tcW w:w="0" w:type="auto"/>
            <w:vAlign w:val="center"/>
          </w:tcPr>
          <w:p w14:paraId="25849014">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p>
        </w:tc>
      </w:tr>
      <w:tr w14:paraId="7DBE7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124158F">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问题解决效果</w:t>
            </w:r>
          </w:p>
        </w:tc>
        <w:tc>
          <w:tcPr>
            <w:tcW w:w="0" w:type="auto"/>
            <w:vAlign w:val="center"/>
          </w:tcPr>
          <w:p w14:paraId="3FE3509F">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10</w:t>
            </w:r>
          </w:p>
        </w:tc>
        <w:tc>
          <w:tcPr>
            <w:tcW w:w="0" w:type="auto"/>
            <w:vAlign w:val="center"/>
          </w:tcPr>
          <w:p w14:paraId="2BC6B460">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21"/>
                <w:szCs w:val="21"/>
                <w:lang w:val="en-US" w:eastAsia="zh-CN"/>
              </w:rPr>
            </w:pPr>
            <w:r>
              <w:rPr>
                <w:rFonts w:hint="eastAsia" w:ascii="宋体" w:hAnsi="宋体" w:cs="宋体"/>
                <w:sz w:val="21"/>
                <w:szCs w:val="21"/>
                <w:lang w:val="en-US" w:eastAsia="zh-CN"/>
              </w:rPr>
              <w:t>10分：彻底根治，近期未复发，且提供有效的自查建议或改进方案。</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8-9分：故障完全恢复，功能正常，用户认可解决结果。</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6-7分：主要功能恢复，但遗留小问题，或临时方案不够便捷。</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4-5分：解决不彻底，短期内复发，或临时方案严重降低效率。</w:t>
            </w:r>
            <w:r>
              <w:rPr>
                <w:rFonts w:hint="eastAsia" w:ascii="宋体" w:hAnsi="宋体" w:cs="宋体"/>
                <w:sz w:val="21"/>
                <w:szCs w:val="21"/>
                <w:lang w:val="en-US" w:eastAsia="zh-CN"/>
              </w:rPr>
              <w:br w:type="textWrapping"/>
            </w:r>
            <w:r>
              <w:rPr>
                <w:rFonts w:hint="eastAsia" w:ascii="宋体" w:hAnsi="宋体" w:cs="宋体"/>
                <w:sz w:val="21"/>
                <w:szCs w:val="21"/>
                <w:lang w:val="en-US" w:eastAsia="zh-CN"/>
              </w:rPr>
              <w:t>1-3分：未解决核心问题，或修复过程中造成数据丢失等衍生事故。</w:t>
            </w:r>
          </w:p>
        </w:tc>
        <w:tc>
          <w:tcPr>
            <w:tcW w:w="0" w:type="auto"/>
            <w:vAlign w:val="center"/>
          </w:tcPr>
          <w:p w14:paraId="0F3800F3">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p>
        </w:tc>
      </w:tr>
      <w:tr w14:paraId="5743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02D925D">
            <w:pPr>
              <w:pStyle w:val="5"/>
              <w:widowControl w:val="0"/>
              <w:snapToGrid w:val="0"/>
              <w:spacing w:line="240" w:lineRule="auto"/>
              <w:ind w:left="0" w:leftChars="0" w:right="0" w:rightChars="0" w:firstLine="0" w:firstLineChars="0"/>
              <w:jc w:val="center"/>
              <w:rPr>
                <w:rFonts w:hint="default" w:ascii="宋体" w:hAnsi="宋体" w:cs="宋体"/>
                <w:sz w:val="21"/>
                <w:szCs w:val="21"/>
                <w:lang w:val="en-US" w:eastAsia="zh-CN"/>
              </w:rPr>
            </w:pPr>
            <w:r>
              <w:rPr>
                <w:rFonts w:hint="eastAsia" w:ascii="宋体" w:hAnsi="宋体" w:eastAsia="宋体" w:cs="宋体"/>
                <w:sz w:val="21"/>
                <w:szCs w:val="21"/>
                <w:lang w:val="en-US" w:eastAsia="zh-CN"/>
              </w:rPr>
              <w:t>小计</w:t>
            </w:r>
          </w:p>
        </w:tc>
        <w:tc>
          <w:tcPr>
            <w:tcW w:w="0" w:type="auto"/>
            <w:gridSpan w:val="2"/>
            <w:vAlign w:val="center"/>
          </w:tcPr>
          <w:p w14:paraId="3021835E">
            <w:pPr>
              <w:pStyle w:val="5"/>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宋体" w:hAnsi="宋体" w:cs="宋体"/>
                <w:sz w:val="21"/>
                <w:szCs w:val="21"/>
                <w:lang w:val="en-US" w:eastAsia="zh-CN"/>
              </w:rPr>
            </w:pPr>
          </w:p>
        </w:tc>
        <w:tc>
          <w:tcPr>
            <w:tcW w:w="0" w:type="auto"/>
            <w:vAlign w:val="center"/>
          </w:tcPr>
          <w:p w14:paraId="088A568F">
            <w:pPr>
              <w:pStyle w:val="5"/>
              <w:widowControl w:val="0"/>
              <w:snapToGrid w:val="0"/>
              <w:spacing w:line="240" w:lineRule="auto"/>
              <w:ind w:left="0" w:leftChars="0" w:right="0" w:rightChars="0" w:firstLine="0" w:firstLineChars="0"/>
              <w:jc w:val="center"/>
              <w:rPr>
                <w:rFonts w:hint="eastAsia" w:ascii="宋体" w:hAnsi="宋体" w:cs="宋体"/>
                <w:sz w:val="21"/>
                <w:szCs w:val="21"/>
                <w:lang w:val="en-US" w:eastAsia="zh-CN"/>
              </w:rPr>
            </w:pPr>
          </w:p>
        </w:tc>
      </w:tr>
      <w:tr w14:paraId="59DB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E3028DD">
            <w:pPr>
              <w:pStyle w:val="5"/>
              <w:widowControl w:val="0"/>
              <w:snapToGrid w:val="0"/>
              <w:spacing w:line="240" w:lineRule="auto"/>
              <w:ind w:left="0" w:leftChars="0" w:right="0" w:rightChars="0" w:firstLine="0" w:firstLineChars="0"/>
              <w:jc w:val="center"/>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总分</w:t>
            </w:r>
          </w:p>
        </w:tc>
        <w:tc>
          <w:tcPr>
            <w:tcW w:w="0" w:type="auto"/>
            <w:gridSpan w:val="2"/>
            <w:vAlign w:val="center"/>
          </w:tcPr>
          <w:p w14:paraId="000B44ED">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Chars="0"/>
              <w:jc w:val="left"/>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rPr>
              <w:t>服务满意度得分 = 五个维度得分的算术平均值（保留一位小数）。</w:t>
            </w:r>
          </w:p>
        </w:tc>
        <w:tc>
          <w:tcPr>
            <w:tcW w:w="0" w:type="auto"/>
            <w:vAlign w:val="center"/>
          </w:tcPr>
          <w:p w14:paraId="4EB8B245">
            <w:pPr>
              <w:pStyle w:val="5"/>
              <w:widowControl w:val="0"/>
              <w:snapToGrid w:val="0"/>
              <w:spacing w:line="240" w:lineRule="auto"/>
              <w:ind w:left="0" w:leftChars="0" w:right="0" w:rightChars="0" w:firstLine="0" w:firstLineChars="0"/>
              <w:jc w:val="center"/>
              <w:rPr>
                <w:rFonts w:hint="eastAsia" w:ascii="宋体" w:hAnsi="宋体" w:eastAsia="宋体" w:cs="宋体"/>
                <w:sz w:val="21"/>
                <w:szCs w:val="21"/>
                <w:lang w:val="en-US" w:eastAsia="zh-CN"/>
              </w:rPr>
            </w:pPr>
          </w:p>
        </w:tc>
      </w:tr>
    </w:tbl>
    <w:p w14:paraId="10DE8368">
      <w:pPr>
        <w:pStyle w:val="5"/>
        <w:widowControl/>
        <w:ind w:left="0" w:leftChars="0" w:firstLine="0" w:firstLineChars="0"/>
        <w:rPr>
          <w:rFonts w:hint="eastAsia" w:ascii="宋体" w:hAnsi="宋体" w:eastAsia="宋体" w:cs="宋体"/>
          <w:sz w:val="21"/>
          <w:szCs w:val="21"/>
        </w:rPr>
      </w:pPr>
    </w:p>
    <w:p w14:paraId="00CCCC95">
      <w:pPr>
        <w:pStyle w:val="5"/>
        <w:widowControl/>
        <w:ind w:left="0" w:leftChars="0" w:firstLine="0" w:firstLineChars="0"/>
        <w:rPr>
          <w:rFonts w:hint="eastAsia" w:ascii="宋体" w:hAnsi="宋体" w:eastAsia="宋体" w:cs="宋体"/>
          <w:sz w:val="21"/>
          <w:szCs w:val="21"/>
        </w:rPr>
      </w:pPr>
      <w:r>
        <w:rPr>
          <w:rFonts w:hint="eastAsia" w:ascii="宋体" w:hAnsi="宋体" w:eastAsia="宋体" w:cs="宋体"/>
          <w:sz w:val="21"/>
          <w:szCs w:val="21"/>
        </w:rPr>
        <w:t>评价结论：</w:t>
      </w:r>
      <w:r>
        <w:rPr>
          <w:rFonts w:hint="eastAsia" w:ascii="宋体" w:hAnsi="宋体" w:eastAsia="宋体" w:cs="宋体"/>
          <w:sz w:val="21"/>
          <w:szCs w:val="21"/>
        </w:rPr>
        <w:sym w:font="Wingdings 2" w:char="00A3"/>
      </w:r>
      <w:r>
        <w:rPr>
          <w:rFonts w:hint="eastAsia" w:ascii="宋体" w:hAnsi="宋体" w:eastAsia="宋体" w:cs="宋体"/>
          <w:sz w:val="21"/>
          <w:szCs w:val="21"/>
          <w:lang w:val="en-US" w:eastAsia="zh-CN"/>
        </w:rPr>
        <w:t>优秀</w:t>
      </w:r>
      <w:r>
        <w:rPr>
          <w:rFonts w:hint="eastAsia" w:ascii="宋体" w:hAnsi="宋体" w:eastAsia="宋体" w:cs="宋体"/>
          <w:sz w:val="21"/>
          <w:szCs w:val="21"/>
        </w:rPr>
        <w:t>（</w:t>
      </w:r>
      <w:r>
        <w:rPr>
          <w:rFonts w:hint="eastAsia" w:ascii="宋体" w:hAnsi="宋体" w:eastAsia="宋体" w:cs="宋体"/>
          <w:sz w:val="21"/>
          <w:szCs w:val="21"/>
          <w:lang w:val="en-US" w:eastAsia="zh-CN"/>
        </w:rPr>
        <w:t>评分</w:t>
      </w:r>
      <w:r>
        <w:rPr>
          <w:rFonts w:hint="eastAsia" w:ascii="宋体" w:hAnsi="宋体" w:eastAsia="宋体" w:cs="宋体"/>
          <w:sz w:val="21"/>
          <w:szCs w:val="21"/>
        </w:rPr>
        <w:t>≥</w:t>
      </w:r>
      <w:r>
        <w:rPr>
          <w:rFonts w:hint="eastAsia" w:ascii="宋体" w:hAnsi="宋体" w:cs="宋体"/>
          <w:sz w:val="21"/>
          <w:szCs w:val="21"/>
          <w:lang w:val="en-US" w:eastAsia="zh-CN"/>
        </w:rPr>
        <w:t>9</w:t>
      </w:r>
      <w:r>
        <w:rPr>
          <w:rFonts w:hint="eastAsia" w:ascii="宋体" w:hAnsi="宋体" w:eastAsia="宋体" w:cs="宋体"/>
          <w:sz w:val="21"/>
          <w:szCs w:val="21"/>
        </w:rPr>
        <w:t>分）</w:t>
      </w:r>
      <w:r>
        <w:rPr>
          <w:rFonts w:hint="eastAsia" w:ascii="宋体" w:hAnsi="宋体" w:eastAsia="宋体" w:cs="宋体"/>
          <w:sz w:val="21"/>
          <w:szCs w:val="21"/>
        </w:rPr>
        <w:sym w:font="Wingdings 2" w:char="00A3"/>
      </w:r>
      <w:r>
        <w:rPr>
          <w:rFonts w:hint="eastAsia" w:ascii="宋体" w:hAnsi="宋体" w:eastAsia="宋体" w:cs="宋体"/>
          <w:sz w:val="21"/>
          <w:szCs w:val="21"/>
          <w:lang w:val="en-US" w:eastAsia="zh-CN"/>
        </w:rPr>
        <w:t>合格</w:t>
      </w: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w:t>
      </w:r>
      <w:r>
        <w:rPr>
          <w:rFonts w:hint="eastAsia" w:ascii="宋体" w:hAnsi="宋体" w:eastAsia="宋体" w:cs="宋体"/>
          <w:sz w:val="21"/>
          <w:szCs w:val="21"/>
          <w:lang w:val="en-US" w:eastAsia="zh-CN"/>
        </w:rPr>
        <w:t>评分</w:t>
      </w:r>
      <w:r>
        <w:rPr>
          <w:rFonts w:hint="eastAsia" w:ascii="宋体" w:hAnsi="宋体" w:eastAsia="宋体" w:cs="宋体"/>
          <w:sz w:val="21"/>
          <w:szCs w:val="21"/>
        </w:rPr>
        <w:t>&lt;</w:t>
      </w:r>
      <w:r>
        <w:rPr>
          <w:rFonts w:hint="eastAsia" w:ascii="宋体" w:hAnsi="宋体" w:cs="宋体"/>
          <w:sz w:val="21"/>
          <w:szCs w:val="21"/>
          <w:lang w:val="en-US" w:eastAsia="zh-CN"/>
        </w:rPr>
        <w:t>9</w:t>
      </w:r>
      <w:r>
        <w:rPr>
          <w:rFonts w:hint="eastAsia" w:ascii="宋体" w:hAnsi="宋体" w:eastAsia="宋体" w:cs="宋体"/>
          <w:sz w:val="21"/>
          <w:szCs w:val="21"/>
        </w:rPr>
        <w:t>）</w:t>
      </w:r>
      <w:r>
        <w:rPr>
          <w:rFonts w:hint="eastAsia" w:ascii="宋体" w:hAnsi="宋体" w:eastAsia="宋体" w:cs="宋体"/>
          <w:sz w:val="21"/>
          <w:szCs w:val="21"/>
        </w:rPr>
        <w:sym w:font="Wingdings 2" w:char="00A3"/>
      </w:r>
      <w:r>
        <w:rPr>
          <w:rFonts w:hint="eastAsia" w:ascii="宋体" w:hAnsi="宋体" w:eastAsia="宋体" w:cs="宋体"/>
          <w:sz w:val="21"/>
          <w:szCs w:val="21"/>
        </w:rPr>
        <w:t>不合格（</w:t>
      </w:r>
      <w:r>
        <w:rPr>
          <w:rFonts w:hint="eastAsia" w:ascii="宋体" w:hAnsi="宋体" w:eastAsia="宋体" w:cs="宋体"/>
          <w:sz w:val="21"/>
          <w:szCs w:val="21"/>
          <w:lang w:val="en-US" w:eastAsia="zh-CN"/>
        </w:rPr>
        <w:t>评分</w:t>
      </w:r>
      <w:r>
        <w:rPr>
          <w:rFonts w:hint="eastAsia" w:ascii="宋体" w:hAnsi="宋体" w:eastAsia="宋体" w:cs="宋体"/>
          <w:sz w:val="21"/>
          <w:szCs w:val="21"/>
        </w:rPr>
        <w:t>&lt;</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37B6268A">
      <w:pPr>
        <w:pStyle w:val="5"/>
        <w:widowControl/>
        <w:ind w:left="0" w:leftChars="0" w:firstLine="0" w:firstLineChars="0"/>
        <w:rPr>
          <w:rFonts w:hint="eastAsia" w:ascii="宋体" w:hAnsi="宋体" w:eastAsia="宋体" w:cs="宋体"/>
          <w:sz w:val="21"/>
          <w:szCs w:val="21"/>
        </w:rPr>
      </w:pPr>
      <w:r>
        <w:rPr>
          <w:rFonts w:hint="eastAsia" w:ascii="宋体" w:hAnsi="宋体" w:eastAsia="宋体" w:cs="宋体"/>
          <w:sz w:val="21"/>
          <w:szCs w:val="21"/>
        </w:rPr>
        <w:t>甲方</w:t>
      </w:r>
      <w:r>
        <w:rPr>
          <w:rFonts w:hint="eastAsia" w:ascii="宋体" w:hAnsi="宋体" w:eastAsia="宋体" w:cs="宋体"/>
          <w:sz w:val="21"/>
          <w:szCs w:val="21"/>
          <w:lang w:val="en-US" w:eastAsia="zh-CN"/>
        </w:rPr>
        <w:t>用户科室</w:t>
      </w:r>
      <w:r>
        <w:rPr>
          <w:rFonts w:hint="eastAsia" w:ascii="宋体" w:hAnsi="宋体" w:cs="宋体"/>
          <w:sz w:val="21"/>
          <w:szCs w:val="21"/>
          <w:lang w:val="en-US" w:eastAsia="zh-CN"/>
        </w:rPr>
        <w:t>：</w:t>
      </w:r>
    </w:p>
    <w:p w14:paraId="37271DD3">
      <w:pPr>
        <w:tabs>
          <w:tab w:val="left" w:pos="4200"/>
        </w:tabs>
        <w:spacing w:after="120" w:afterAutospacing="0" w:line="300" w:lineRule="auto"/>
        <w:ind w:left="0" w:leftChars="0" w:firstLine="0" w:firstLineChars="0"/>
        <w:rPr>
          <w:rFonts w:hint="eastAsia" w:ascii="宋体" w:hAnsi="宋体" w:eastAsia="宋体"/>
          <w:sz w:val="24"/>
          <w:lang w:val="en-US" w:eastAsia="zh-CN"/>
        </w:rPr>
      </w:pPr>
      <w:r>
        <w:rPr>
          <w:rFonts w:hint="eastAsia" w:ascii="宋体" w:hAnsi="宋体" w:eastAsia="宋体" w:cs="宋体"/>
          <w:sz w:val="21"/>
          <w:szCs w:val="21"/>
        </w:rPr>
        <w:t>甲方</w:t>
      </w:r>
      <w:r>
        <w:rPr>
          <w:rFonts w:hint="eastAsia" w:ascii="宋体" w:hAnsi="宋体" w:eastAsia="宋体" w:cs="宋体"/>
          <w:sz w:val="21"/>
          <w:szCs w:val="21"/>
          <w:lang w:val="en-US" w:eastAsia="zh-CN"/>
        </w:rPr>
        <w:t>用户代表</w:t>
      </w:r>
      <w:r>
        <w:rPr>
          <w:rFonts w:hint="eastAsia" w:ascii="宋体" w:hAnsi="宋体" w:eastAsia="宋体" w:cs="宋体"/>
          <w:sz w:val="21"/>
          <w:szCs w:val="21"/>
        </w:rPr>
        <w:t>签字：_______ 日期：_______</w:t>
      </w:r>
      <w:r>
        <w:rPr>
          <w:rFonts w:hint="eastAsia" w:ascii="宋体" w:hAnsi="宋体" w:eastAsia="宋体" w:cs="宋体"/>
          <w:sz w:val="21"/>
          <w:szCs w:val="21"/>
          <w:lang w:val="en-US" w:eastAsia="zh-CN"/>
        </w:rPr>
        <w:tab/>
      </w:r>
      <w:r>
        <w:rPr>
          <w:rFonts w:hint="eastAsia" w:ascii="宋体" w:hAnsi="宋体" w:eastAsia="宋体" w:cs="宋体"/>
          <w:sz w:val="21"/>
          <w:szCs w:val="21"/>
        </w:rPr>
        <w:t xml:space="preserve">乙方代表签字：_______ 日期：_______  </w:t>
      </w:r>
    </w:p>
    <w:p w14:paraId="0384F00F">
      <w:pPr>
        <w:spacing w:line="360" w:lineRule="auto"/>
        <w:outlineLvl w:val="0"/>
        <w:rPr>
          <w:rFonts w:hint="eastAsia" w:ascii="宋体" w:hAnsi="宋体" w:eastAsia="宋体"/>
          <w:sz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F311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8548F3">
                          <w:pPr>
                            <w:pStyle w:val="6"/>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48548F3">
                    <w:pPr>
                      <w:pStyle w:val="6"/>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C1D5D6"/>
    <w:multiLevelType w:val="singleLevel"/>
    <w:tmpl w:val="AAC1D5D6"/>
    <w:lvl w:ilvl="0" w:tentative="0">
      <w:start w:val="7"/>
      <w:numFmt w:val="chineseCounting"/>
      <w:lvlText w:val="第%1条"/>
      <w:lvlJc w:val="left"/>
      <w:pPr>
        <w:tabs>
          <w:tab w:val="left" w:pos="630"/>
        </w:tabs>
        <w:ind w:left="420" w:firstLine="0"/>
      </w:pPr>
      <w:rPr>
        <w:rFonts w:hint="eastAsia"/>
      </w:rPr>
    </w:lvl>
  </w:abstractNum>
  <w:abstractNum w:abstractNumId="1">
    <w:nsid w:val="0C9FFDE3"/>
    <w:multiLevelType w:val="singleLevel"/>
    <w:tmpl w:val="0C9FFDE3"/>
    <w:lvl w:ilvl="0" w:tentative="0">
      <w:start w:val="4"/>
      <w:numFmt w:val="chineseCounting"/>
      <w:lvlText w:val="第%1条"/>
      <w:lvlJc w:val="left"/>
      <w:pPr>
        <w:tabs>
          <w:tab w:val="left" w:pos="630"/>
        </w:tabs>
        <w:ind w:left="420" w:firstLine="0"/>
      </w:pPr>
      <w:rPr>
        <w:rFonts w:hint="eastAsia"/>
      </w:rPr>
    </w:lvl>
  </w:abstractNum>
  <w:abstractNum w:abstractNumId="2">
    <w:nsid w:val="66AD55D2"/>
    <w:multiLevelType w:val="singleLevel"/>
    <w:tmpl w:val="66AD55D2"/>
    <w:lvl w:ilvl="0" w:tentative="0">
      <w:start w:val="2"/>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26D"/>
    <w:rsid w:val="00061117"/>
    <w:rsid w:val="00137D5D"/>
    <w:rsid w:val="002635EA"/>
    <w:rsid w:val="00412B49"/>
    <w:rsid w:val="004C6291"/>
    <w:rsid w:val="005245CD"/>
    <w:rsid w:val="00592618"/>
    <w:rsid w:val="006B0BD0"/>
    <w:rsid w:val="006E77DB"/>
    <w:rsid w:val="00765B0A"/>
    <w:rsid w:val="007725B3"/>
    <w:rsid w:val="008E6D96"/>
    <w:rsid w:val="009615E9"/>
    <w:rsid w:val="00A407A5"/>
    <w:rsid w:val="00A72A39"/>
    <w:rsid w:val="00C13AF8"/>
    <w:rsid w:val="00CB60EE"/>
    <w:rsid w:val="00D667F2"/>
    <w:rsid w:val="00DF1C3C"/>
    <w:rsid w:val="00F457D9"/>
    <w:rsid w:val="00FA13F5"/>
    <w:rsid w:val="00FA226D"/>
    <w:rsid w:val="00FE4AF6"/>
    <w:rsid w:val="09687438"/>
    <w:rsid w:val="10DE34C7"/>
    <w:rsid w:val="1A281877"/>
    <w:rsid w:val="23DE2CA1"/>
    <w:rsid w:val="25553969"/>
    <w:rsid w:val="25FC0E1D"/>
    <w:rsid w:val="26392D57"/>
    <w:rsid w:val="2BA40D9F"/>
    <w:rsid w:val="35321145"/>
    <w:rsid w:val="36AC0DE8"/>
    <w:rsid w:val="3CAE2E2B"/>
    <w:rsid w:val="3CC82E69"/>
    <w:rsid w:val="3E1B570B"/>
    <w:rsid w:val="402D50EC"/>
    <w:rsid w:val="418C7217"/>
    <w:rsid w:val="41956357"/>
    <w:rsid w:val="442F526C"/>
    <w:rsid w:val="49135564"/>
    <w:rsid w:val="5118586E"/>
    <w:rsid w:val="52FE2FD7"/>
    <w:rsid w:val="5AFB5D92"/>
    <w:rsid w:val="5FCD32BF"/>
    <w:rsid w:val="6C5C59D5"/>
    <w:rsid w:val="6F096986"/>
    <w:rsid w:val="7E5740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autoSpaceDE w:val="0"/>
      <w:autoSpaceDN w:val="0"/>
      <w:adjustRightInd w:val="0"/>
      <w:spacing w:before="340" w:after="330" w:line="578" w:lineRule="atLeast"/>
      <w:jc w:val="center"/>
      <w:outlineLvl w:val="0"/>
    </w:pPr>
    <w:rPr>
      <w:rFonts w:ascii="宋体"/>
      <w:b/>
      <w:kern w:val="0"/>
      <w:sz w:val="44"/>
    </w:rPr>
  </w:style>
  <w:style w:type="paragraph" w:styleId="3">
    <w:name w:val="heading 2"/>
    <w:next w:val="1"/>
    <w:unhideWhenUsed/>
    <w:qFormat/>
    <w:uiPriority w:val="0"/>
    <w:pPr>
      <w:keepNext w:val="0"/>
      <w:keepLines w:val="0"/>
      <w:widowControl w:val="0"/>
      <w:spacing w:before="120"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basedOn w:val="1"/>
    <w:next w:val="1"/>
    <w:qFormat/>
    <w:uiPriority w:val="0"/>
    <w:pPr>
      <w:spacing w:before="50" w:beforeLines="50" w:after="50" w:afterLines="50" w:line="360" w:lineRule="auto"/>
      <w:outlineLvl w:val="2"/>
    </w:pPr>
    <w:rPr>
      <w:b/>
      <w:sz w:val="21"/>
      <w:szCs w:val="27"/>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Body Text"/>
    <w:qFormat/>
    <w:uiPriority w:val="0"/>
    <w:pPr>
      <w:spacing w:after="120" w:afterAutospacing="0" w:line="300" w:lineRule="auto"/>
      <w:ind w:firstLine="420" w:firstLineChars="200"/>
    </w:pPr>
    <w:rPr>
      <w:rFonts w:ascii="Times New Roman" w:hAnsi="Times New Roman" w:eastAsia="宋体" w:cs="Times New Roman"/>
      <w:sz w:val="24"/>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qFormat/>
    <w:uiPriority w:val="20"/>
    <w:rPr>
      <w:i/>
    </w:rPr>
  </w:style>
  <w:style w:type="paragraph" w:customStyle="1" w:styleId="12">
    <w:name w:val="Table Text"/>
    <w:basedOn w:val="1"/>
    <w:semiHidden/>
    <w:qFormat/>
    <w:uiPriority w:val="0"/>
    <w:rPr>
      <w:rFonts w:ascii="宋体" w:hAnsi="宋体" w:eastAsia="宋体" w:cs="宋体"/>
      <w:sz w:val="24"/>
      <w:szCs w:val="24"/>
      <w:lang w:val="en-US" w:eastAsia="en-US" w:bidi="ar-SA"/>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附录标题"/>
    <w:next w:val="1"/>
    <w:qFormat/>
    <w:uiPriority w:val="0"/>
    <w:pPr>
      <w:keepNext w:val="0"/>
      <w:keepLines w:val="0"/>
      <w:widowControl w:val="0"/>
      <w:spacing w:before="240" w:after="120" w:line="360" w:lineRule="auto"/>
      <w:jc w:val="left"/>
      <w:outlineLvl w:val="0"/>
    </w:pPr>
    <w:rPr>
      <w:rFonts w:ascii="Times New Roman" w:hAnsi="Times New Roman" w:eastAsia="宋体" w:cs="Times New Roman"/>
      <w:b/>
      <w:sz w:val="24"/>
    </w:rPr>
  </w:style>
  <w:style w:type="paragraph" w:customStyle="1" w:styleId="15">
    <w:name w:val="表格标题"/>
    <w:next w:val="1"/>
    <w:qFormat/>
    <w:uiPriority w:val="0"/>
    <w:pPr>
      <w:widowControl w:val="0"/>
      <w:spacing w:after="120" w:line="300" w:lineRule="auto"/>
      <w:jc w:val="center"/>
    </w:pPr>
    <w:rPr>
      <w:rFonts w:ascii="宋体" w:hAnsi="宋体" w:eastAsia="宋体" w:cs="宋体"/>
      <w:b/>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965</Words>
  <Characters>1006</Characters>
  <Lines>7</Lines>
  <Paragraphs>2</Paragraphs>
  <TotalTime>1</TotalTime>
  <ScaleCrop>false</ScaleCrop>
  <LinksUpToDate>false</LinksUpToDate>
  <CharactersWithSpaces>1006</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2022-06-07T03:57:00Z</dcterms:created>
  <dc:creator>张三</dc:creator>
  <cp:lastModifiedBy>xxkmhw</cp:lastModifiedBy>
  <dcterms:modified xsi:type="dcterms:W3CDTF">2026-06-17T08:27:47Z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44E28E399A9A4887998E4F1D6FF97031_13</vt:lpwstr>
  </property>
</Properties>
</file>