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7"/>
        <w:spacing w:after="0" w:afterLines="0" w:line="240" w:lineRule="auto"/>
        <w:rPr>
          <w:rFonts w:hint="eastAsia" w:ascii="方正小标宋_GBK" w:hAnsi="方正小标宋_GBK" w:eastAsia="方正小标宋_GBK" w:cs="方正小标宋_GBK"/>
          <w:sz w:val="44"/>
          <w:szCs w:val="44"/>
        </w:rPr>
      </w:pPr>
      <w:bookmarkStart w:id="0" w:name="_GoBack"/>
      <w:r>
        <w:rPr>
          <w:rFonts w:hint="eastAsia" w:ascii="方正小标宋_GBK" w:hAnsi="方正小标宋_GBK" w:eastAsia="方正小标宋_GBK" w:cs="方正小标宋_GBK"/>
          <w:sz w:val="44"/>
          <w:szCs w:val="44"/>
        </w:rPr>
        <w:t>武汉市市场监管局信息系统2025-2026</w:t>
      </w:r>
    </w:p>
    <w:p>
      <w:pPr>
        <w:pStyle w:val="87"/>
        <w:spacing w:after="0" w:afterLines="0" w:line="240" w:lineRule="auto"/>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年度运维服务项目采购需求</w:t>
      </w:r>
      <w:bookmarkEnd w:id="0"/>
    </w:p>
    <w:p>
      <w:pPr>
        <w:pStyle w:val="87"/>
        <w:spacing w:after="0" w:afterLines="0" w:line="240" w:lineRule="auto"/>
        <w:rPr>
          <w:rFonts w:ascii="方正小标宋_GBK" w:hAnsi="方正小标宋_GBK" w:eastAsia="方正小标宋_GBK" w:cs="方正小标宋_GBK"/>
          <w:sz w:val="44"/>
          <w:szCs w:val="44"/>
        </w:rPr>
      </w:pPr>
    </w:p>
    <w:p>
      <w:pPr>
        <w:pStyle w:val="2"/>
        <w:spacing w:before="156" w:after="62"/>
      </w:pPr>
      <w:r>
        <w:rPr>
          <w:rFonts w:hint="eastAsia"/>
        </w:rPr>
        <w:t>项目概况</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为推动市场监管领域信息化系统集约化、标准化、专业化运维管理，切实提升系统运行稳定性、数据安全性和服务响应效率，武汉市市场监督管理局拟整合现有多个核心业务系统的运维工作，实施信息化平台一体化运维服务采购项目。</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次采购旨在通过引入一家具备综合技术能力、丰富行业经验、稳定服务体系的总包型技术服务商，统一承担武汉市气瓶信息化监管系统、特种设备安全监察检验管理系统、智慧电梯定期检验与监督检查系统、武汉市智慧电梯综合信息服务平台、武汉市智慧电梯应急处置平台运维服务、知识产权发展项目资助申报系统运维服务、武汉市食品药品综合监管平台运维服务等七大核心业务系统的一体化运维服务，实现“统一入口、统一标准、统一调度、统一保障”的运维新模式，全面提升信息化系统的运行质量与管理效能。</w:t>
      </w:r>
    </w:p>
    <w:p>
      <w:pPr>
        <w:pStyle w:val="2"/>
        <w:spacing w:before="156" w:after="62"/>
      </w:pPr>
      <w:r>
        <w:t>采购项目目标</w:t>
      </w:r>
    </w:p>
    <w:p>
      <w:pPr>
        <w:pStyle w:val="25"/>
        <w:numPr>
          <w:ilvl w:val="0"/>
          <w:numId w:val="8"/>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建立覆盖“应用—数据库—中间件—操作系统—网络环境”的全栈式运维服务体系，确保各业务系统全年可用率不低于99.9%；</w:t>
      </w:r>
    </w:p>
    <w:p>
      <w:pPr>
        <w:pStyle w:val="25"/>
        <w:numPr>
          <w:ilvl w:val="0"/>
          <w:numId w:val="8"/>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实现故障响应即时化、问题处理闭环化、巡检防控常态化，重大故障恢复时间不超过2小时，一般问题解决时限不超过4小时；</w:t>
      </w:r>
    </w:p>
    <w:p>
      <w:pPr>
        <w:pStyle w:val="25"/>
        <w:numPr>
          <w:ilvl w:val="0"/>
          <w:numId w:val="8"/>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通过专业团队驻场与后台支撑相结合的方式，构建“5×8+7×24”双轨响应机制，保障日常与应急状态下服务不断档；</w:t>
      </w:r>
    </w:p>
    <w:p>
      <w:pPr>
        <w:pStyle w:val="25"/>
        <w:numPr>
          <w:ilvl w:val="0"/>
          <w:numId w:val="8"/>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统筹开展系统安全加固、数据备份恢复、性能优化、接口适配、临时统计分析、重大活动保障等服务，支撑全局监管执法业务平稳运行；</w:t>
      </w:r>
    </w:p>
    <w:p>
      <w:pPr>
        <w:pStyle w:val="25"/>
        <w:numPr>
          <w:ilvl w:val="0"/>
          <w:numId w:val="8"/>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推动跨系统协同运维能力建设，解决多头管理、资源分散、标准不一的问题，降低运维管理成本，提升整体服务质量和决策支撑能力。</w:t>
      </w:r>
    </w:p>
    <w:p>
      <w:pPr>
        <w:pStyle w:val="2"/>
        <w:tabs>
          <w:tab w:val="left" w:pos="-420"/>
        </w:tabs>
        <w:spacing w:before="156" w:after="62"/>
      </w:pPr>
      <w:r>
        <w:rPr>
          <w:rFonts w:hint="eastAsia"/>
        </w:rPr>
        <w:t>业务系统简介</w:t>
      </w:r>
    </w:p>
    <w:p>
      <w:pPr>
        <w:pStyle w:val="3"/>
        <w:spacing w:before="156" w:after="62"/>
      </w:pPr>
      <w:r>
        <w:t>武汉市食品药品综合监管平台</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武汉市食品药品综合监管平台深度整合了武汉市市场监督管理局食药业务，覆盖了机构改革后市、区、所三级食品药品监管执法业务，构建了食品、药品、保健食品、化妆品和医疗器械从生产、流通到消费使用全环节的信息化监管体系。实现了基础数据、监管数据、业务数据的深度整合与共享。</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平台能否正常运转关系到武汉全市食品药品监管执法工作能否顺利开展。因此，平台的运维服务保障就尤为重要。为保障平台正常稳定运行，武汉市市场监管局专门采购第三方技术公司的专业运维服务，确保武汉市市场监督管理局食药监管业务的正常开展。</w:t>
      </w:r>
    </w:p>
    <w:p>
      <w:pPr>
        <w:pStyle w:val="3"/>
        <w:spacing w:before="156" w:after="62"/>
      </w:pPr>
      <w:r>
        <w:t>武汉市智慧电梯综合信息服务平台</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武汉市智慧电梯综合信息服务平台建设于2016年，该项目采用“1+8”模式：1个数据中心管理平台和地理信息、监察管理、定检管理、维保管理、使用单位管理、应急处置服务、公众服务、决策指导等8个分工明确又相互衔接的子系统。具体包括数据中心管理平台、电梯维护保养系统、使用单位服务平台、公众服务平台和电梯决策指导系统的建设，集成了电梯地理信息系统、电梯定检监察系统、电梯监督检查监察系统、电梯应急处置服务平台，实现了与特种设备安全监察检验管理系统4.0、武汉市市长热线系统、武汉人社社保系统和第三方维保系统数据对接。</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为满足业务需求，保障智慧电梯综合信息服务平台持续稳定运行，需要采购第三方技术公司的专业运维服务，满足日常工作需求。</w:t>
      </w:r>
    </w:p>
    <w:p>
      <w:pPr>
        <w:pStyle w:val="3"/>
        <w:spacing w:before="156" w:after="62"/>
      </w:pPr>
      <w:r>
        <w:t>武汉市气瓶信息化管理平台</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武汉市市场监督管理局气瓶信息化管理平台（以下简称气瓶信息化管理平台），是武汉市市场监督管理局在互联网上设立的一套武汉市气瓶全寿命追溯管理信息化平台。通过有效的技术措施对气瓶（液化气瓶、工业气瓶及车用气瓶）的数量、充装、检验以及流转进行动态管理，通过线上系统数据的分析管理（气瓶质量安全追溯系统）和线下现场检查与企业的联动管理的结合（云监管APP），从而实现对气瓶的全生命追踪溯源管理。</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近年来，按照国家和湖北省有关政府网站建设管理工作部署和要求，我们持续加强网站日常运维管理，着力提升网站政府信息公开规范化水平，优化网上政务服务体验，畅通政民互动交流渠道，取得了一定成效。做好网站日常运维服务保障是网站建设取得突出成效的关键环节。</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气瓶信息化管理平台基于武汉市网站集约化平台建设，在网站日常的运行中，针对政府网站的各项考核要求以及各业务处室的工作需求越来越多，需要第三方技术支持单位通过运维的方式提供功能保障，优化、完善和拓展。</w:t>
      </w:r>
    </w:p>
    <w:p>
      <w:pPr>
        <w:pStyle w:val="3"/>
        <w:spacing w:before="156" w:after="62"/>
      </w:pPr>
      <w:r>
        <w:t>武汉市智慧电梯应急处置平台</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武汉市智慧电梯应急处置平台建设于2017年，由电梯应急处置指挥系统、呼叫中心系统和电梯数据接口系统三部分组成，该系统为武汉市电梯救援提供了全面的报警、指挥、救援能力，实现了武汉市电梯困人的及时上报、及时救援，平台的建设极大提高了武汉市电梯应急救援的信息化水平，是保障和改善民生、贯彻高质量发展和高水平安全发展理念的重要举措。为满足业务需求，保证平台持续稳定运行，每年需对平台功能进行升级调整，开展日常维护，满足日常工作需求。</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武汉市智慧电梯应急处置平台以智慧城市、平安武汉为载体，建立了覆盖全市电梯应急处理体系。通过该平台的建设，建立了标准化电梯应急接警服务流程，完善了应急处置任务调度体系，同时整合了全市电梯应急相关基础数据，提供了丰富的电梯应急处置统计分析维度，提高了全市电梯应急处置的信息化能力。为保证平台持续稳定运行，每年需对平台进行调整和完善，开展日常维护，满足日常工作需求。</w:t>
      </w:r>
    </w:p>
    <w:p>
      <w:pPr>
        <w:pStyle w:val="3"/>
        <w:spacing w:before="156" w:after="62"/>
      </w:pPr>
      <w:r>
        <w:t xml:space="preserve">武汉市特种设备安全监察检验系统4.0 </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武汉市特种设备安全监察检验系统 4.0 建设于 2012 年，2014 年正式投入使用，项目已稳定运行 10 年。该项目包括监察管理子系统、检验管理子系统、作业人员子系统，项目服务用户覆盖了武汉市、区县级监察机构、检验机构，以及特种设备使用单位、安改维单位用户。系统属于武汉市特种设备信息管理基础性平台，近十年的特种设备数据积累为武汉市特种设备安全监管工作、检验工作、安全使用以及从业人员考培工作提供服务，同时为众多其他政府部门及企事业单位提供数据支撑，实现与武汉市智慧电梯、湖北省特种设备监管平台、湖北省特种设备检验检测研究院检验系统、国家特种设备作业人员考试平台、武汉市市场监督管理局信息中心数据中台、湖北省行政许可系统等系统进行了数据对接。为满足业务需求，保证平台持续稳定运行，每年需对平台功能进行升级调整，开展日常维护，满足日常工作需求。</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监察管理子系统主要实现对特种设备信息、单位信息、备案信息进行管理，同时打通与检验机构的协同，每年对特种设备进行计划管理和跟踪。主要功能包括设备管理、单位管理、设备备案、日常管理、计划管理、管理对象分析、联络单流转、联络单状态分析。</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检验管理子系统主要实现对特种设备分解到月度计划并进行跟踪，调度安排检验工作，出具检验报告并发放给用户，同时为监察系统提供检验数据支撑。主要功能包括检验计划平台、检验调度平台、检验操作平台、产品报检、内部考核、报告书判废。作业人员子系统主要实现特种设备作业人员报名、培训、考试、打证全流程服务，主要功能包括计划管理、复审管理、取证管理、考试管理、发证管理、报表统计。</w:t>
      </w:r>
    </w:p>
    <w:p>
      <w:pPr>
        <w:pStyle w:val="3"/>
        <w:spacing w:before="156" w:after="62"/>
      </w:pPr>
      <w:r>
        <w:rPr>
          <w:rFonts w:hint="eastAsia"/>
        </w:rPr>
        <w:t>武汉市电梯定期检验与监督检查系统</w:t>
      </w:r>
    </w:p>
    <w:p>
      <w:p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武汉市电梯定期检验与监督检查系统建设于2015年，2016年正式投入使用，2020又在其基础上建设了电梯按需维保子系统，项目已稳定运行8年。该项目包括电梯监督检查子系统、电梯按需维保子系统和电梯定期检验子系统，项目主要服务武汉市、区县级监察机构、检验机构。系统属于武汉市特种设备信息管理基础性平台，近7年的特种设备数据积累为武汉市电梯特种设备安全监管工作、检验工作提供数据服务和支撑，系统实现了与武汉市智慧电梯数据中心进行对接。</w:t>
      </w:r>
    </w:p>
    <w:p>
      <w:p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电梯监督检查子系统主要实现对电梯设备、单位、人员基础信息管理，对电梯的监察检验单位协同督促设备检验，以及现场监察等。系统功能包括作业人员管理、设备信息管理、使用单位管理、生产单位管理、监督检查管理、公文流转管理、安全隐患管理、投诉举报管理、法律法规管理、综合数据管理。</w:t>
      </w:r>
    </w:p>
    <w:p>
      <w:p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电梯按需维保子系统主要实现对有意愿参与按需维保的企业进行资格审核，以及参与按需维保后的质量评定，以确保其达到具备按需维保的要求。系统功能包括按需维保综合展示、自我声明确认功能、按需维保资格确认、按需维保单位终止、按需维保质量评价、按需维保综合查询、按需维保统计分析、按需维保地图展示、按需维保预警查询、按需维保公示信息</w:t>
      </w:r>
    </w:p>
    <w:p>
      <w:p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电梯定期检验子系统主要实现现场电梯数据采集，以及对检验计划的跟踪和检验结果不合格的情况跟踪，此外对检验质量进行考核。系统功能包括检验计划管理、安全隐患管理、检验意见管理、质量考核管理、检验案例管理、作业指南文件、统计分析。为满足业务需求，保证平台持续稳定运行，每年需对平台功能进行升级调整，开展日常维护，满足日常工作需求。</w:t>
      </w:r>
    </w:p>
    <w:p>
      <w:pPr>
        <w:pStyle w:val="3"/>
        <w:spacing w:before="156" w:after="62"/>
      </w:pPr>
      <w:r>
        <w:rPr>
          <w:rFonts w:hint="eastAsia"/>
        </w:rPr>
        <w:t>知识产权项目管理平台</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知识产权项目管理平台涵盖武汉市市场监督管理局所受理知识产权补贴类项目和计划项目的申报服务及管理业务，完全实现知识产权项目申报的网络化办理和流程化管理。内容包括补贴类项目网上申报和审核；计划项目网上申报；计划项目专家评审；计划项目管理；项目统计；项目体系管理；资源库建设；外部集成。</w:t>
      </w:r>
    </w:p>
    <w:p>
      <w:pPr>
        <w:pStyle w:val="2"/>
        <w:spacing w:before="156" w:after="62"/>
      </w:pPr>
      <w:r>
        <w:rPr>
          <w:rFonts w:hint="eastAsia"/>
        </w:rPr>
        <w:t>服务内容</w:t>
      </w:r>
    </w:p>
    <w:p>
      <w:pPr>
        <w:pStyle w:val="3"/>
        <w:spacing w:before="156" w:after="62"/>
      </w:pPr>
      <w:r>
        <w:t>运维服务范围</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本项目运维服务涵盖以下七个核心业务系统，具体内容包括其所属子系统、数据库、中间件、应用平台及支撑环境的全面维护与技术支持：</w:t>
      </w:r>
    </w:p>
    <w:p>
      <w:pPr>
        <w:pStyle w:val="3"/>
        <w:spacing w:before="156" w:after="62"/>
      </w:pPr>
      <w:r>
        <w:t>运维服务内容</w:t>
      </w:r>
    </w:p>
    <w:p>
      <w:pPr>
        <w:pStyle w:val="25"/>
        <w:spacing w:after="62"/>
        <w:rPr>
          <w:rFonts w:ascii="仿宋_GB2312" w:hAnsi="仿宋_GB2312" w:eastAsia="仿宋_GB2312" w:cs="仿宋_GB2312"/>
          <w:sz w:val="28"/>
          <w:szCs w:val="28"/>
        </w:rPr>
      </w:pPr>
      <w:r>
        <w:rPr>
          <w:rFonts w:hint="eastAsia" w:ascii="仿宋_GB2312" w:hAnsi="仿宋_GB2312" w:eastAsia="仿宋_GB2312" w:cs="仿宋_GB2312"/>
          <w:sz w:val="28"/>
          <w:szCs w:val="28"/>
        </w:rPr>
        <w:t>供应商应提供涵盖以下五大类别的全方位、全周期运维服务：</w:t>
      </w:r>
    </w:p>
    <w:p>
      <w:pPr>
        <w:pStyle w:val="4"/>
        <w:spacing w:before="156" w:after="62"/>
      </w:pPr>
      <w:r>
        <w:t>应用系统运维服务</w:t>
      </w:r>
    </w:p>
    <w:p>
      <w:pPr>
        <w:pStyle w:val="25"/>
        <w:numPr>
          <w:ilvl w:val="0"/>
          <w:numId w:val="9"/>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对上述七个系统的全部功能模块进行日常巡检、使用支持和技术响应；</w:t>
      </w:r>
    </w:p>
    <w:p>
      <w:pPr>
        <w:pStyle w:val="25"/>
        <w:numPr>
          <w:ilvl w:val="0"/>
          <w:numId w:val="9"/>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及时处理用户在使用过程中遇到的操作问题、流程困惑和权限申请；</w:t>
      </w:r>
    </w:p>
    <w:p>
      <w:pPr>
        <w:pStyle w:val="25"/>
        <w:numPr>
          <w:ilvl w:val="0"/>
          <w:numId w:val="9"/>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修复系统运行中的软件缺陷（Bug），并在不影响架构的前提下完成简单功能调整；</w:t>
      </w:r>
    </w:p>
    <w:p>
      <w:pPr>
        <w:pStyle w:val="25"/>
        <w:numPr>
          <w:ilvl w:val="0"/>
          <w:numId w:val="9"/>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配合完成系统升级、补丁更新、版本迭代等工作；</w:t>
      </w:r>
    </w:p>
    <w:p>
      <w:pPr>
        <w:pStyle w:val="25"/>
        <w:numPr>
          <w:ilvl w:val="0"/>
          <w:numId w:val="9"/>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提供系统用户培训、操作指导、问题答疑服务，组织必要的集中或远程培训；</w:t>
      </w:r>
    </w:p>
    <w:p>
      <w:pPr>
        <w:pStyle w:val="25"/>
        <w:numPr>
          <w:ilvl w:val="0"/>
          <w:numId w:val="9"/>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协助甲方完成临时性数据统计、报表生成、运行分析报告编制；</w:t>
      </w:r>
    </w:p>
    <w:p>
      <w:pPr>
        <w:pStyle w:val="25"/>
        <w:numPr>
          <w:ilvl w:val="0"/>
          <w:numId w:val="9"/>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支持市场监管业务整合过程中的数据迁移、系统对接与接口开发；</w:t>
      </w:r>
    </w:p>
    <w:p>
      <w:pPr>
        <w:pStyle w:val="25"/>
        <w:numPr>
          <w:ilvl w:val="0"/>
          <w:numId w:val="9"/>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承担重大会议、参观接待、应急演练期间的现场技术支持与演示保障。</w:t>
      </w:r>
    </w:p>
    <w:p>
      <w:pPr>
        <w:pStyle w:val="25"/>
        <w:numPr>
          <w:ilvl w:val="0"/>
          <w:numId w:val="9"/>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承担甲方要求的对系统的各项其他调整及完善性要求</w:t>
      </w:r>
    </w:p>
    <w:p>
      <w:pPr>
        <w:pStyle w:val="4"/>
        <w:spacing w:before="156" w:after="62"/>
      </w:pPr>
      <w:r>
        <w:t>数据库系统运维服务</w:t>
      </w:r>
    </w:p>
    <w:p>
      <w:pPr>
        <w:pStyle w:val="25"/>
        <w:numPr>
          <w:ilvl w:val="0"/>
          <w:numId w:val="1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对包含达梦DMV7.0、Oracle、MySQL等在内的数据库系统实施运行监控与维护；</w:t>
      </w:r>
    </w:p>
    <w:p>
      <w:pPr>
        <w:pStyle w:val="25"/>
        <w:numPr>
          <w:ilvl w:val="0"/>
          <w:numId w:val="1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定期开展数据库巡检，监测连接数、表空间、归档日志、性能指标等关键状态；</w:t>
      </w:r>
    </w:p>
    <w:p>
      <w:pPr>
        <w:pStyle w:val="25"/>
        <w:numPr>
          <w:ilvl w:val="0"/>
          <w:numId w:val="1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制定并执行数据备份策略，确保每日增量备份、每周全量备份，定期开展恢复测试；</w:t>
      </w:r>
    </w:p>
    <w:p>
      <w:pPr>
        <w:pStyle w:val="25"/>
        <w:numPr>
          <w:ilvl w:val="0"/>
          <w:numId w:val="1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实施数据库参数调优、索引优化、慢SQL分析与整改；</w:t>
      </w:r>
    </w:p>
    <w:p>
      <w:pPr>
        <w:pStyle w:val="25"/>
        <w:numPr>
          <w:ilvl w:val="0"/>
          <w:numId w:val="1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处理数据库异常、死锁、宕机等故障，并形成故障排查报告；</w:t>
      </w:r>
    </w:p>
    <w:p>
      <w:pPr>
        <w:pStyle w:val="25"/>
        <w:numPr>
          <w:ilvl w:val="0"/>
          <w:numId w:val="1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完成数据库安全加固，及时修补已知漏洞，关闭高危端口；</w:t>
      </w:r>
    </w:p>
    <w:p>
      <w:pPr>
        <w:pStyle w:val="25"/>
        <w:numPr>
          <w:ilvl w:val="0"/>
          <w:numId w:val="1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建立数据库运维台账，记录日常操作、变更日志与维护记录。</w:t>
      </w:r>
    </w:p>
    <w:p>
      <w:pPr>
        <w:pStyle w:val="25"/>
        <w:numPr>
          <w:ilvl w:val="0"/>
          <w:numId w:val="1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对数据库的冗余数据进行定期清理，保证数据库正常运行。</w:t>
      </w:r>
    </w:p>
    <w:p>
      <w:pPr>
        <w:pStyle w:val="25"/>
        <w:numPr>
          <w:ilvl w:val="0"/>
          <w:numId w:val="1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在市场监管应用、数据整合过程中，提供相应的数据迁移及接口服务。</w:t>
      </w:r>
    </w:p>
    <w:p>
      <w:pPr>
        <w:pStyle w:val="4"/>
        <w:spacing w:before="156" w:after="62"/>
      </w:pPr>
      <w:r>
        <w:t>中间件系统运维服务</w:t>
      </w:r>
    </w:p>
    <w:p>
      <w:pPr>
        <w:pStyle w:val="25"/>
        <w:numPr>
          <w:ilvl w:val="0"/>
          <w:numId w:val="11"/>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对运行于系统中的TongWeb 5.0、Apache Tomcat 7 等中间件进行配置管理与性能监控；</w:t>
      </w:r>
    </w:p>
    <w:p>
      <w:pPr>
        <w:pStyle w:val="25"/>
        <w:numPr>
          <w:ilvl w:val="0"/>
          <w:numId w:val="11"/>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监测线程池、连接池、内存占用、CPU使用率等资源消耗情况；</w:t>
      </w:r>
    </w:p>
    <w:p>
      <w:pPr>
        <w:pStyle w:val="25"/>
        <w:numPr>
          <w:ilvl w:val="0"/>
          <w:numId w:val="11"/>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开展中间件初始化配置、参数调优、版本升级与安全补丁更新；</w:t>
      </w:r>
    </w:p>
    <w:p>
      <w:pPr>
        <w:pStyle w:val="25"/>
        <w:numPr>
          <w:ilvl w:val="0"/>
          <w:numId w:val="11"/>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快速响应因中间件异常导致的服务中断或响应迟缓问题；</w:t>
      </w:r>
    </w:p>
    <w:p>
      <w:pPr>
        <w:pStyle w:val="25"/>
        <w:numPr>
          <w:ilvl w:val="0"/>
          <w:numId w:val="11"/>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提供中间件日志分析服务，辅助定位系统级故障原因。</w:t>
      </w:r>
    </w:p>
    <w:p>
      <w:pPr>
        <w:pStyle w:val="4"/>
        <w:spacing w:before="156" w:after="62"/>
      </w:pPr>
      <w:r>
        <w:t>操作系统与服务器环境运维</w:t>
      </w:r>
    </w:p>
    <w:p>
      <w:pPr>
        <w:pStyle w:val="25"/>
        <w:numPr>
          <w:ilvl w:val="0"/>
          <w:numId w:val="12"/>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对运行系统的中标麒麟V6、Windows Server 2008 R2 等操作系统实施安装、配置、补丁更新和安全加固；</w:t>
      </w:r>
    </w:p>
    <w:p>
      <w:pPr>
        <w:pStyle w:val="25"/>
        <w:numPr>
          <w:ilvl w:val="0"/>
          <w:numId w:val="12"/>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定期巡检系统日志、磁盘空间、CPU/内存负载、网络通信状态；</w:t>
      </w:r>
    </w:p>
    <w:p>
      <w:pPr>
        <w:pStyle w:val="25"/>
        <w:numPr>
          <w:ilvl w:val="0"/>
          <w:numId w:val="12"/>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执行系统级故障诊断与恢复，解决操作系统无法启动、服务崩溃等问题；</w:t>
      </w:r>
    </w:p>
    <w:p>
      <w:pPr>
        <w:pStyle w:val="25"/>
        <w:numPr>
          <w:ilvl w:val="0"/>
          <w:numId w:val="12"/>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实施操作系统级防火墙配置、账户权限管理、安全审计设置；</w:t>
      </w:r>
    </w:p>
    <w:p>
      <w:pPr>
        <w:pStyle w:val="25"/>
        <w:numPr>
          <w:ilvl w:val="0"/>
          <w:numId w:val="12"/>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配合完成服务器资源扩容、迁移或灾备环境搭建。</w:t>
      </w:r>
    </w:p>
    <w:p>
      <w:pPr>
        <w:pStyle w:val="4"/>
        <w:spacing w:before="156" w:after="62"/>
      </w:pPr>
      <w:r>
        <w:t>其他专项与应急服务</w:t>
      </w:r>
    </w:p>
    <w:p>
      <w:pPr>
        <w:pStyle w:val="25"/>
        <w:numPr>
          <w:ilvl w:val="0"/>
          <w:numId w:val="13"/>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7×24小时应急响应机制：提供全年无休的技术支持热线，接到告警后5分钟内响应，一般问题4小时内解决，重大故障2小时内到场处理；</w:t>
      </w:r>
    </w:p>
    <w:p>
      <w:pPr>
        <w:pStyle w:val="25"/>
        <w:numPr>
          <w:ilvl w:val="0"/>
          <w:numId w:val="13"/>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定期巡检制度：</w:t>
      </w:r>
    </w:p>
    <w:p>
      <w:pPr>
        <w:pStyle w:val="25"/>
        <w:numPr>
          <w:ilvl w:val="0"/>
          <w:numId w:val="13"/>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每周开展一次线上远程巡检；</w:t>
      </w:r>
    </w:p>
    <w:p>
      <w:pPr>
        <w:pStyle w:val="25"/>
        <w:numPr>
          <w:ilvl w:val="0"/>
          <w:numId w:val="13"/>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每月组织一次现场深度巡检，覆盖服务器机房、应用状态、数据库健康度等；</w:t>
      </w:r>
    </w:p>
    <w:p>
      <w:pPr>
        <w:pStyle w:val="25"/>
        <w:numPr>
          <w:ilvl w:val="0"/>
          <w:numId w:val="13"/>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重大活动保障：在法定节假日、重要会议、应急演练等特殊时期，提前部署保障方案，安排专人驻场值守；</w:t>
      </w:r>
    </w:p>
    <w:p>
      <w:pPr>
        <w:pStyle w:val="25"/>
        <w:numPr>
          <w:ilvl w:val="0"/>
          <w:numId w:val="13"/>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安全加固服务：根据国家信息安全等级保护要求，定期开展漏洞扫描、渗透测试、安全策略优化，对发现的安全问题要及时进行处置；</w:t>
      </w:r>
    </w:p>
    <w:p>
      <w:pPr>
        <w:pStyle w:val="25"/>
        <w:numPr>
          <w:ilvl w:val="0"/>
          <w:numId w:val="13"/>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服务文档管理：建立完整的运维档案体系，包括巡检记录、故障报告、变更日志、应急预案、培训资料等，按月度提交运维月报，年度提交总结报告。</w:t>
      </w:r>
    </w:p>
    <w:p>
      <w:pPr>
        <w:pStyle w:val="25"/>
        <w:numPr>
          <w:ilvl w:val="0"/>
          <w:numId w:val="13"/>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提供较为完备的运维管理系统，具备对系统运维客观、科学的管理能力（需提供承诺函）；</w:t>
      </w:r>
    </w:p>
    <w:p>
      <w:pPr>
        <w:pStyle w:val="25"/>
        <w:numPr>
          <w:ilvl w:val="0"/>
          <w:numId w:val="13"/>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按照甲方要求对系统开展调整、完善和改造工作。</w:t>
      </w:r>
    </w:p>
    <w:p>
      <w:pPr>
        <w:pStyle w:val="2"/>
        <w:spacing w:before="156" w:after="62"/>
      </w:pPr>
      <w:r>
        <w:t>技术与服务要求</w:t>
      </w:r>
    </w:p>
    <w:p>
      <w:pPr>
        <w:pStyle w:val="3"/>
        <w:spacing w:before="156" w:after="62"/>
      </w:pPr>
      <w:r>
        <w:t>基础运维标准</w:t>
      </w:r>
    </w:p>
    <w:tbl>
      <w:tblPr>
        <w:tblStyle w:val="97"/>
        <w:tblW w:w="8522" w:type="dxa"/>
        <w:tblInd w:w="20" w:type="dxa"/>
        <w:tblLayout w:type="fixed"/>
        <w:tblCellMar>
          <w:top w:w="64" w:type="dxa"/>
          <w:left w:w="128" w:type="dxa"/>
          <w:bottom w:w="64" w:type="dxa"/>
          <w:right w:w="128" w:type="dxa"/>
        </w:tblCellMar>
      </w:tblPr>
      <w:tblGrid>
        <w:gridCol w:w="2086"/>
        <w:gridCol w:w="6436"/>
      </w:tblGrid>
      <w:tr>
        <w:tblPrEx>
          <w:tblLayout w:type="fixed"/>
          <w:tblCellMar>
            <w:top w:w="64" w:type="dxa"/>
            <w:left w:w="128" w:type="dxa"/>
            <w:bottom w:w="64" w:type="dxa"/>
            <w:right w:w="128" w:type="dxa"/>
          </w:tblCellMar>
        </w:tblPrEx>
        <w:trPr>
          <w:tblHeader/>
        </w:trPr>
        <w:tc>
          <w:tcPr>
            <w:tcW w:w="2086" w:type="dxa"/>
            <w:tcBorders>
              <w:top w:val="single" w:color="auto" w:sz="4" w:space="0"/>
              <w:left w:val="single" w:color="auto" w:sz="4" w:space="0"/>
              <w:bottom w:val="single" w:color="auto" w:sz="4" w:space="0"/>
              <w:right w:val="single" w:color="auto" w:sz="4" w:space="0"/>
            </w:tcBorders>
            <w:vAlign w:val="center"/>
          </w:tcPr>
          <w:p>
            <w:pPr>
              <w:widowControl/>
              <w:spacing w:after="62"/>
              <w:jc w:val="center"/>
              <w:textAlignment w:val="center"/>
              <w:rPr>
                <w:rFonts w:ascii="宋体" w:hAnsi="宋体" w:eastAsia="宋体" w:cs="宋体"/>
                <w:b/>
                <w:bCs/>
                <w:color w:val="000000"/>
                <w:sz w:val="22"/>
                <w:szCs w:val="22"/>
              </w:rPr>
            </w:pPr>
            <w:r>
              <w:rPr>
                <w:rFonts w:hint="eastAsia" w:ascii="仿宋_GB2312" w:hAnsi="仿宋_GB2312" w:eastAsia="仿宋_GB2312" w:cs="仿宋_GB2312"/>
                <w:b/>
                <w:bCs/>
                <w:color w:val="000000"/>
                <w:kern w:val="0"/>
                <w:sz w:val="28"/>
                <w:szCs w:val="28"/>
                <w:lang w:bidi="ar"/>
              </w:rPr>
              <w:t>类别</w:t>
            </w:r>
          </w:p>
        </w:tc>
        <w:tc>
          <w:tcPr>
            <w:tcW w:w="6436" w:type="dxa"/>
            <w:tcBorders>
              <w:top w:val="single" w:color="auto" w:sz="4" w:space="0"/>
              <w:left w:val="single" w:color="auto" w:sz="4" w:space="0"/>
              <w:bottom w:val="single" w:color="auto" w:sz="4" w:space="0"/>
              <w:right w:val="single" w:color="auto" w:sz="4" w:space="0"/>
            </w:tcBorders>
            <w:vAlign w:val="center"/>
          </w:tcPr>
          <w:p>
            <w:pPr>
              <w:widowControl/>
              <w:spacing w:after="62"/>
              <w:jc w:val="center"/>
              <w:textAlignment w:val="center"/>
              <w:rPr>
                <w:rFonts w:ascii="宋体" w:hAnsi="宋体" w:eastAsia="宋体" w:cs="宋体"/>
                <w:b/>
                <w:bCs/>
                <w:color w:val="000000"/>
                <w:sz w:val="22"/>
                <w:szCs w:val="22"/>
              </w:rPr>
            </w:pPr>
            <w:r>
              <w:rPr>
                <w:rFonts w:hint="eastAsia" w:ascii="仿宋_GB2312" w:hAnsi="仿宋_GB2312" w:eastAsia="仿宋_GB2312" w:cs="仿宋_GB2312"/>
                <w:b/>
                <w:bCs/>
                <w:color w:val="000000"/>
                <w:kern w:val="0"/>
                <w:sz w:val="28"/>
                <w:szCs w:val="28"/>
                <w:lang w:bidi="ar"/>
              </w:rPr>
              <w:t>服务标准</w:t>
            </w:r>
          </w:p>
        </w:tc>
      </w:tr>
      <w:tr>
        <w:tblPrEx>
          <w:tblLayout w:type="fixed"/>
          <w:tblCellMar>
            <w:top w:w="64" w:type="dxa"/>
            <w:left w:w="128" w:type="dxa"/>
            <w:bottom w:w="64" w:type="dxa"/>
            <w:right w:w="128" w:type="dxa"/>
          </w:tblCellMar>
        </w:tblPrEx>
        <w:tc>
          <w:tcPr>
            <w:tcW w:w="2086" w:type="dxa"/>
            <w:tcBorders>
              <w:top w:val="single" w:color="auto" w:sz="4" w:space="0"/>
              <w:left w:val="single" w:color="auto" w:sz="4" w:space="0"/>
              <w:bottom w:val="single" w:color="auto" w:sz="4" w:space="0"/>
              <w:right w:val="single" w:color="auto" w:sz="4" w:space="0"/>
            </w:tcBorders>
            <w:vAlign w:val="center"/>
          </w:tcPr>
          <w:p>
            <w:pPr>
              <w:widowControl/>
              <w:spacing w:after="62"/>
              <w:jc w:val="center"/>
              <w:textAlignment w:val="center"/>
              <w:rPr>
                <w:rFonts w:ascii="宋体" w:hAnsi="宋体" w:eastAsia="宋体" w:cs="宋体"/>
                <w:color w:val="000000"/>
                <w:sz w:val="22"/>
                <w:szCs w:val="22"/>
              </w:rPr>
            </w:pPr>
            <w:r>
              <w:rPr>
                <w:rFonts w:hint="eastAsia" w:ascii="仿宋_GB2312" w:hAnsi="仿宋_GB2312" w:eastAsia="仿宋_GB2312" w:cs="仿宋_GB2312"/>
                <w:color w:val="000000"/>
                <w:kern w:val="0"/>
                <w:sz w:val="28"/>
                <w:szCs w:val="28"/>
                <w:lang w:bidi="ar"/>
              </w:rPr>
              <w:t>故障响应</w:t>
            </w:r>
          </w:p>
        </w:tc>
        <w:tc>
          <w:tcPr>
            <w:tcW w:w="6436" w:type="dxa"/>
            <w:tcBorders>
              <w:top w:val="single" w:color="auto" w:sz="4" w:space="0"/>
              <w:left w:val="single" w:color="auto" w:sz="4" w:space="0"/>
              <w:bottom w:val="single" w:color="auto" w:sz="4" w:space="0"/>
              <w:right w:val="single" w:color="auto" w:sz="4" w:space="0"/>
            </w:tcBorders>
            <w:vAlign w:val="center"/>
          </w:tcPr>
          <w:p>
            <w:pPr>
              <w:widowControl/>
              <w:spacing w:after="62"/>
              <w:jc w:val="left"/>
              <w:textAlignment w:val="center"/>
              <w:rPr>
                <w:rFonts w:ascii="宋体" w:hAnsi="宋体" w:eastAsia="宋体" w:cs="宋体"/>
                <w:color w:val="000000"/>
                <w:sz w:val="22"/>
                <w:szCs w:val="22"/>
              </w:rPr>
            </w:pPr>
            <w:r>
              <w:rPr>
                <w:rFonts w:hint="eastAsia" w:ascii="仿宋_GB2312" w:hAnsi="仿宋_GB2312" w:eastAsia="仿宋_GB2312" w:cs="仿宋_GB2312"/>
                <w:color w:val="000000"/>
                <w:kern w:val="0"/>
                <w:sz w:val="28"/>
                <w:szCs w:val="28"/>
                <w:lang w:bidi="ar"/>
              </w:rPr>
              <w:t>一般问题电话/远程响应≤15分钟，解决时限≤4小时；重大故障到场处置≤2小时</w:t>
            </w:r>
          </w:p>
        </w:tc>
      </w:tr>
      <w:tr>
        <w:tblPrEx>
          <w:tblLayout w:type="fixed"/>
          <w:tblCellMar>
            <w:top w:w="64" w:type="dxa"/>
            <w:left w:w="128" w:type="dxa"/>
            <w:bottom w:w="64" w:type="dxa"/>
            <w:right w:w="128" w:type="dxa"/>
          </w:tblCellMar>
        </w:tblPrEx>
        <w:tc>
          <w:tcPr>
            <w:tcW w:w="2086" w:type="dxa"/>
            <w:tcBorders>
              <w:top w:val="single" w:color="auto" w:sz="4" w:space="0"/>
              <w:left w:val="single" w:color="auto" w:sz="4" w:space="0"/>
              <w:bottom w:val="single" w:color="auto" w:sz="4" w:space="0"/>
              <w:right w:val="single" w:color="auto" w:sz="4" w:space="0"/>
            </w:tcBorders>
            <w:vAlign w:val="center"/>
          </w:tcPr>
          <w:p>
            <w:pPr>
              <w:widowControl/>
              <w:spacing w:after="62"/>
              <w:jc w:val="center"/>
              <w:textAlignment w:val="center"/>
              <w:rPr>
                <w:rFonts w:ascii="宋体" w:hAnsi="宋体" w:eastAsia="宋体" w:cs="宋体"/>
                <w:color w:val="000000"/>
                <w:sz w:val="22"/>
                <w:szCs w:val="22"/>
              </w:rPr>
            </w:pPr>
            <w:r>
              <w:rPr>
                <w:rFonts w:hint="eastAsia" w:ascii="仿宋_GB2312" w:hAnsi="仿宋_GB2312" w:eastAsia="仿宋_GB2312" w:cs="仿宋_GB2312"/>
                <w:color w:val="000000"/>
                <w:kern w:val="0"/>
                <w:sz w:val="28"/>
                <w:szCs w:val="28"/>
                <w:lang w:bidi="ar"/>
              </w:rPr>
              <w:t>系统可用性</w:t>
            </w:r>
          </w:p>
        </w:tc>
        <w:tc>
          <w:tcPr>
            <w:tcW w:w="6436" w:type="dxa"/>
            <w:tcBorders>
              <w:top w:val="single" w:color="auto" w:sz="4" w:space="0"/>
              <w:left w:val="single" w:color="auto" w:sz="4" w:space="0"/>
              <w:bottom w:val="single" w:color="auto" w:sz="4" w:space="0"/>
              <w:right w:val="single" w:color="auto" w:sz="4" w:space="0"/>
            </w:tcBorders>
            <w:vAlign w:val="center"/>
          </w:tcPr>
          <w:p>
            <w:pPr>
              <w:widowControl/>
              <w:spacing w:after="62"/>
              <w:jc w:val="left"/>
              <w:textAlignment w:val="center"/>
              <w:rPr>
                <w:rFonts w:ascii="宋体" w:hAnsi="宋体" w:eastAsia="宋体" w:cs="宋体"/>
                <w:color w:val="000000"/>
                <w:sz w:val="22"/>
                <w:szCs w:val="22"/>
              </w:rPr>
            </w:pPr>
            <w:r>
              <w:rPr>
                <w:rFonts w:hint="eastAsia" w:ascii="仿宋_GB2312" w:hAnsi="仿宋_GB2312" w:eastAsia="仿宋_GB2312" w:cs="仿宋_GB2312"/>
                <w:color w:val="000000"/>
                <w:kern w:val="0"/>
                <w:sz w:val="28"/>
                <w:szCs w:val="28"/>
                <w:lang w:bidi="ar"/>
              </w:rPr>
              <w:t>全年整体可用率≥99.9%，单系统中断时间年累计不超过8小时</w:t>
            </w:r>
          </w:p>
        </w:tc>
      </w:tr>
      <w:tr>
        <w:tblPrEx>
          <w:tblLayout w:type="fixed"/>
          <w:tblCellMar>
            <w:top w:w="64" w:type="dxa"/>
            <w:left w:w="128" w:type="dxa"/>
            <w:bottom w:w="64" w:type="dxa"/>
            <w:right w:w="128" w:type="dxa"/>
          </w:tblCellMar>
        </w:tblPrEx>
        <w:tc>
          <w:tcPr>
            <w:tcW w:w="2086" w:type="dxa"/>
            <w:tcBorders>
              <w:top w:val="single" w:color="auto" w:sz="4" w:space="0"/>
              <w:left w:val="single" w:color="auto" w:sz="4" w:space="0"/>
              <w:bottom w:val="single" w:color="auto" w:sz="4" w:space="0"/>
              <w:right w:val="single" w:color="auto" w:sz="4" w:space="0"/>
            </w:tcBorders>
            <w:vAlign w:val="center"/>
          </w:tcPr>
          <w:p>
            <w:pPr>
              <w:widowControl/>
              <w:spacing w:after="62"/>
              <w:jc w:val="center"/>
              <w:textAlignment w:val="center"/>
              <w:rPr>
                <w:rFonts w:ascii="宋体" w:hAnsi="宋体" w:eastAsia="宋体" w:cs="宋体"/>
                <w:color w:val="000000"/>
                <w:sz w:val="22"/>
                <w:szCs w:val="22"/>
              </w:rPr>
            </w:pPr>
            <w:r>
              <w:rPr>
                <w:rFonts w:hint="eastAsia" w:ascii="仿宋_GB2312" w:hAnsi="仿宋_GB2312" w:eastAsia="仿宋_GB2312" w:cs="仿宋_GB2312"/>
                <w:color w:val="000000"/>
                <w:kern w:val="0"/>
                <w:sz w:val="28"/>
                <w:szCs w:val="28"/>
                <w:lang w:bidi="ar"/>
              </w:rPr>
              <w:t>数据备份</w:t>
            </w:r>
          </w:p>
        </w:tc>
        <w:tc>
          <w:tcPr>
            <w:tcW w:w="6436" w:type="dxa"/>
            <w:tcBorders>
              <w:top w:val="single" w:color="auto" w:sz="4" w:space="0"/>
              <w:left w:val="single" w:color="auto" w:sz="4" w:space="0"/>
              <w:bottom w:val="single" w:color="auto" w:sz="4" w:space="0"/>
              <w:right w:val="single" w:color="auto" w:sz="4" w:space="0"/>
            </w:tcBorders>
            <w:vAlign w:val="center"/>
          </w:tcPr>
          <w:p>
            <w:pPr>
              <w:widowControl/>
              <w:spacing w:after="62"/>
              <w:jc w:val="left"/>
              <w:textAlignment w:val="center"/>
              <w:rPr>
                <w:rFonts w:ascii="宋体" w:hAnsi="宋体" w:eastAsia="宋体" w:cs="宋体"/>
                <w:color w:val="000000"/>
                <w:sz w:val="22"/>
                <w:szCs w:val="22"/>
              </w:rPr>
            </w:pPr>
            <w:r>
              <w:rPr>
                <w:rFonts w:hint="eastAsia" w:ascii="仿宋_GB2312" w:hAnsi="仿宋_GB2312" w:eastAsia="仿宋_GB2312" w:cs="仿宋_GB2312"/>
                <w:color w:val="000000"/>
                <w:kern w:val="0"/>
                <w:sz w:val="28"/>
                <w:szCs w:val="28"/>
                <w:lang w:bidi="ar"/>
              </w:rPr>
              <w:t>制定差异化备份策略，关键系统每日增量+每周全备，恢复测试每季度1次</w:t>
            </w:r>
          </w:p>
        </w:tc>
      </w:tr>
      <w:tr>
        <w:tblPrEx>
          <w:tblLayout w:type="fixed"/>
          <w:tblCellMar>
            <w:top w:w="64" w:type="dxa"/>
            <w:left w:w="128" w:type="dxa"/>
            <w:bottom w:w="64" w:type="dxa"/>
            <w:right w:w="128" w:type="dxa"/>
          </w:tblCellMar>
        </w:tblPrEx>
        <w:tc>
          <w:tcPr>
            <w:tcW w:w="2086" w:type="dxa"/>
            <w:tcBorders>
              <w:top w:val="single" w:color="auto" w:sz="4" w:space="0"/>
              <w:left w:val="single" w:color="auto" w:sz="4" w:space="0"/>
              <w:bottom w:val="single" w:color="auto" w:sz="4" w:space="0"/>
              <w:right w:val="single" w:color="auto" w:sz="4" w:space="0"/>
            </w:tcBorders>
            <w:vAlign w:val="center"/>
          </w:tcPr>
          <w:p>
            <w:pPr>
              <w:widowControl/>
              <w:spacing w:after="62"/>
              <w:jc w:val="center"/>
              <w:textAlignment w:val="center"/>
              <w:rPr>
                <w:rFonts w:ascii="宋体" w:hAnsi="宋体" w:eastAsia="宋体" w:cs="宋体"/>
                <w:color w:val="000000"/>
                <w:sz w:val="22"/>
                <w:szCs w:val="22"/>
              </w:rPr>
            </w:pPr>
            <w:r>
              <w:rPr>
                <w:rFonts w:hint="eastAsia" w:ascii="仿宋_GB2312" w:hAnsi="仿宋_GB2312" w:eastAsia="仿宋_GB2312" w:cs="仿宋_GB2312"/>
                <w:color w:val="000000"/>
                <w:kern w:val="0"/>
                <w:sz w:val="28"/>
                <w:szCs w:val="28"/>
                <w:lang w:bidi="ar"/>
              </w:rPr>
              <w:t>巡检机制</w:t>
            </w:r>
          </w:p>
        </w:tc>
        <w:tc>
          <w:tcPr>
            <w:tcW w:w="6436" w:type="dxa"/>
            <w:tcBorders>
              <w:top w:val="single" w:color="auto" w:sz="4" w:space="0"/>
              <w:left w:val="single" w:color="auto" w:sz="4" w:space="0"/>
              <w:bottom w:val="single" w:color="auto" w:sz="4" w:space="0"/>
              <w:right w:val="single" w:color="auto" w:sz="4" w:space="0"/>
            </w:tcBorders>
            <w:vAlign w:val="center"/>
          </w:tcPr>
          <w:p>
            <w:pPr>
              <w:widowControl/>
              <w:spacing w:after="62"/>
              <w:jc w:val="left"/>
              <w:textAlignment w:val="center"/>
              <w:rPr>
                <w:rFonts w:ascii="宋体" w:hAnsi="宋体" w:eastAsia="宋体" w:cs="宋体"/>
                <w:color w:val="000000"/>
                <w:sz w:val="22"/>
                <w:szCs w:val="22"/>
              </w:rPr>
            </w:pPr>
            <w:r>
              <w:rPr>
                <w:rFonts w:hint="eastAsia" w:ascii="仿宋_GB2312" w:hAnsi="仿宋_GB2312" w:eastAsia="仿宋_GB2312" w:cs="仿宋_GB2312"/>
                <w:color w:val="000000"/>
                <w:kern w:val="0"/>
                <w:sz w:val="28"/>
                <w:szCs w:val="28"/>
                <w:lang w:bidi="ar"/>
              </w:rPr>
              <w:t>每周远程巡检，每月现场巡检并出具报告</w:t>
            </w:r>
          </w:p>
        </w:tc>
      </w:tr>
      <w:tr>
        <w:tblPrEx>
          <w:tblLayout w:type="fixed"/>
          <w:tblCellMar>
            <w:top w:w="64" w:type="dxa"/>
            <w:left w:w="128" w:type="dxa"/>
            <w:bottom w:w="64" w:type="dxa"/>
            <w:right w:w="128" w:type="dxa"/>
          </w:tblCellMar>
        </w:tblPrEx>
        <w:tc>
          <w:tcPr>
            <w:tcW w:w="2086" w:type="dxa"/>
            <w:tcBorders>
              <w:top w:val="single" w:color="auto" w:sz="4" w:space="0"/>
              <w:left w:val="single" w:color="auto" w:sz="4" w:space="0"/>
              <w:bottom w:val="single" w:color="auto" w:sz="4" w:space="0"/>
              <w:right w:val="single" w:color="auto" w:sz="4" w:space="0"/>
            </w:tcBorders>
            <w:vAlign w:val="center"/>
          </w:tcPr>
          <w:p>
            <w:pPr>
              <w:widowControl/>
              <w:spacing w:after="62"/>
              <w:jc w:val="center"/>
              <w:textAlignment w:val="center"/>
              <w:rPr>
                <w:rFonts w:ascii="宋体" w:hAnsi="宋体" w:eastAsia="宋体" w:cs="宋体"/>
                <w:color w:val="000000"/>
                <w:sz w:val="22"/>
                <w:szCs w:val="22"/>
              </w:rPr>
            </w:pPr>
            <w:r>
              <w:rPr>
                <w:rFonts w:hint="eastAsia" w:ascii="仿宋_GB2312" w:hAnsi="仿宋_GB2312" w:eastAsia="仿宋_GB2312" w:cs="仿宋_GB2312"/>
                <w:color w:val="000000"/>
                <w:kern w:val="0"/>
                <w:sz w:val="28"/>
                <w:szCs w:val="28"/>
                <w:lang w:bidi="ar"/>
              </w:rPr>
              <w:t>文档交付</w:t>
            </w:r>
          </w:p>
        </w:tc>
        <w:tc>
          <w:tcPr>
            <w:tcW w:w="6436" w:type="dxa"/>
            <w:tcBorders>
              <w:top w:val="single" w:color="auto" w:sz="4" w:space="0"/>
              <w:left w:val="single" w:color="auto" w:sz="4" w:space="0"/>
              <w:bottom w:val="single" w:color="auto" w:sz="4" w:space="0"/>
              <w:right w:val="single" w:color="auto" w:sz="4" w:space="0"/>
            </w:tcBorders>
            <w:vAlign w:val="center"/>
          </w:tcPr>
          <w:p>
            <w:pPr>
              <w:widowControl/>
              <w:spacing w:after="62"/>
              <w:jc w:val="left"/>
              <w:textAlignment w:val="center"/>
              <w:rPr>
                <w:rFonts w:ascii="宋体" w:hAnsi="宋体" w:eastAsia="宋体" w:cs="宋体"/>
                <w:color w:val="000000"/>
                <w:sz w:val="22"/>
                <w:szCs w:val="22"/>
              </w:rPr>
            </w:pPr>
            <w:r>
              <w:rPr>
                <w:rFonts w:hint="eastAsia" w:ascii="仿宋_GB2312" w:hAnsi="仿宋_GB2312" w:eastAsia="仿宋_GB2312" w:cs="仿宋_GB2312"/>
                <w:color w:val="000000"/>
                <w:kern w:val="0"/>
                <w:sz w:val="28"/>
                <w:szCs w:val="28"/>
                <w:lang w:bidi="ar"/>
              </w:rPr>
              <w:t>提供运维月报、故障报告、巡检记录、应急预案、培训记录等全套文档</w:t>
            </w:r>
          </w:p>
        </w:tc>
      </w:tr>
    </w:tbl>
    <w:p>
      <w:pPr>
        <w:spacing w:after="62"/>
        <w:rPr>
          <w:rFonts w:ascii="仿宋_GB2312" w:hAnsi="仿宋_GB2312" w:eastAsia="仿宋_GB2312" w:cs="仿宋_GB2312"/>
          <w:sz w:val="28"/>
          <w:szCs w:val="28"/>
        </w:rPr>
      </w:pPr>
    </w:p>
    <w:p>
      <w:pPr>
        <w:pStyle w:val="3"/>
        <w:spacing w:before="156" w:after="62"/>
      </w:pPr>
      <w:r>
        <w:t>系统</w:t>
      </w:r>
      <w:r>
        <w:rPr>
          <w:rFonts w:hint="eastAsia"/>
        </w:rPr>
        <w:t>其他服务要求</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供应商须具备二次开发与接口对接能力，协助采购方推进以下重点改造任务：</w:t>
      </w:r>
    </w:p>
    <w:p>
      <w:pPr>
        <w:numPr>
          <w:ilvl w:val="0"/>
          <w:numId w:val="14"/>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武汉市食品药品综合监管平台</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软件需求调整与功能完善：对使用武汉市食品药品综合监管平台系统的使用情况进行系统的简单需求的调整和系统的调整，以满足实际业务的需求：</w:t>
      </w:r>
    </w:p>
    <w:p>
      <w:pPr>
        <w:numPr>
          <w:ilvl w:val="0"/>
          <w:numId w:val="14"/>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智慧电梯综合信息服务平台</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完成与监察系统、人社系统的数据接口优化；</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实现维保顶班、关键点照片上传、逾期判断等新功能落地；</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推进无纸化维保接口标准化建设。</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系统功能改造，按照甲方要求对有关功能进行完善，包括无纸化排班统计、维保情况统计、载荷试验确认、自行检测管理、与监察系统数据对接、与人社系统对接优化、无纸化维保接口优化、电梯坐标初始化、维保顶班管理、关键点照片、逾期记录判断等</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在市场监管应用、数据整合过程中，供应商应按采购方要求提供与本系统相关的应用、数据迁移及接口服务。</w:t>
      </w:r>
    </w:p>
    <w:p>
      <w:pPr>
        <w:numPr>
          <w:ilvl w:val="0"/>
          <w:numId w:val="14"/>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气瓶平台</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负责和全市各燃气企业的数据传输工作，提供必要的技术支持，协助各企业将数据对接入平台；负责平台数据向省级平台推送；可根据自身需求使用政务云平台，维护方应提供平台迁移工作提供通用数据接口服务，便于后续系统拓展。</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武汉市气瓶信息化管理平台云服务器的租用</w:t>
      </w:r>
    </w:p>
    <w:p>
      <w:pPr>
        <w:numPr>
          <w:ilvl w:val="0"/>
          <w:numId w:val="14"/>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智慧电梯应急平台</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保障与市长热线、96333救援网络的稳定对接；</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保障武汉智慧电梯应急处置系统平台 7*24 小时的系统可用性</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针对新增座席人员，及时分配账号，并配置权限等信息；</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保障武汉智慧电梯应急处置系统平台基础数据和相关数据的及时有效传输</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因国家政策变化导致系统运行环境发生变更时及时调整系统适应基础环境</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提供后台技术支撑人员 2 名，进行 7*24 小时技术支持服务，保障武汉市智慧电梯应急处置服务平台功能安全稳定运行；提供在线沟通、电话、远程桌面等维护方式解决问题。一般问题 4 时内解决问题，重大问题 8 小时内解决。若需技术人员到场处理的，在 2小时内到达现场处理。</w:t>
      </w:r>
    </w:p>
    <w:p>
      <w:pPr>
        <w:numPr>
          <w:ilvl w:val="0"/>
          <w:numId w:val="14"/>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武汉市特种设备安全监察检验系统 4.0</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在不影响系统整体架构、数据库结构情况下的新增功能需求以及对现有功能模块的适量调整和修改。</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提供信息化系统近期或远期规划方案、评估建议。根据实际情况向用户提供有价值的系统近、远期规划方案或者对系统的整体状态、发展提出建议。</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在市场监管应用、数据整合过程中，供应商应按采购方要求提供与本系统相关的应用、数据迁移及接口服务。</w:t>
      </w:r>
    </w:p>
    <w:p>
      <w:pPr>
        <w:numPr>
          <w:ilvl w:val="0"/>
          <w:numId w:val="14"/>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武汉市电梯定期检验与监督检查系统</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应用软件系统的客户请求事件响应，问题诊断及排除，提供优化建议并执行性能优化。对应用系统在使用过程中发现的问题进行诊断和故障排除，对于存在性能上的问题向用户提出建设性的优化建议，用户同意后进行性能优化。</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数据规整及历史数据问题的诊断及排除。对系统数据进行梳理，梳理过程中发现的数据问题以及历史数据问题进行诊断，并形成解决方案，最终排除这类数据问题，对于无法从根本上解决的数据问题应形成长效机制。</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在不影响系统整体架构、数据库结构情况下的新增功能需求以及对现有功能模块的适量调整和修改。</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提供信息化系统近期或远期规划方案、评估建议。根据实际情况向用户提供有价值的系统近、远期规划方案或者对系统的整体状态、发展建议。</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在市场监管应用、数据整合过程中，供应商应按采购方要求提供与本系统相关的应用、数据迁移及接口服务、对系统做相应的优化和完善。</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其他系统升级改造内容</w:t>
      </w:r>
    </w:p>
    <w:p>
      <w:pPr>
        <w:numPr>
          <w:ilvl w:val="0"/>
          <w:numId w:val="14"/>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知识产权项目管理平台</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对外网办事大厅和内部项目管理系统中访问和用户管理等问题的处理，需保证系统中各页面可正常访问，用户账号身份正确，权限识别正确</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能基于原有平台，通过可视化页面，对项目计划、申报、审批等模块进行维护，保证项目管理工作的正常开展</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通过原有平台中可视化配置页面，对专家评审中各项功能进行持续维护，满足项目中专家打分需求</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对计划项目分类、申报表、申报材料清单、评分表、指南说明、流程等体系标准的维护</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对历年专家库、单位库、项目库、用户库等核心数据库进行持续维护，确保数据的准确性</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需对现有平台各项功能进行维护，保证表单、规则、流程、集成、视图、后台等组件的正常运行；对平台进行持续维护，按照产品更新内容对系统进行升级</w:t>
      </w:r>
    </w:p>
    <w:p>
      <w:pPr>
        <w:pStyle w:val="37"/>
        <w:numPr>
          <w:ilvl w:val="0"/>
          <w:numId w:val="15"/>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在市场监管应用、数据整合过程中，提供与本系统相关的应用、数据迁移及接口服务，与其他系统平台对接、适配改造、联调等工作</w:t>
      </w:r>
    </w:p>
    <w:p>
      <w:pPr>
        <w:pStyle w:val="2"/>
        <w:spacing w:before="156" w:after="62"/>
      </w:pPr>
      <w:r>
        <w:t>商务要求</w:t>
      </w:r>
    </w:p>
    <w:p>
      <w:pPr>
        <w:pStyle w:val="3"/>
        <w:spacing w:before="156" w:after="62"/>
      </w:pPr>
      <w:r>
        <w:t>运维团队要求</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 供应商须组建专业化、专职化的运维服务团队，满足以下强制性要求：</w:t>
      </w:r>
    </w:p>
    <w:p>
      <w:pPr>
        <w:pStyle w:val="25"/>
        <w:numPr>
          <w:ilvl w:val="0"/>
          <w:numId w:val="16"/>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项目负责人（项目经理）</w:t>
      </w:r>
    </w:p>
    <w:p>
      <w:pPr>
        <w:pStyle w:val="37"/>
        <w:numPr>
          <w:ilvl w:val="0"/>
          <w:numId w:val="17"/>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须具备本科及以上学历；</w:t>
      </w:r>
    </w:p>
    <w:p>
      <w:pPr>
        <w:pStyle w:val="25"/>
        <w:numPr>
          <w:ilvl w:val="0"/>
          <w:numId w:val="16"/>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技术负责人：</w:t>
      </w:r>
    </w:p>
    <w:p>
      <w:pPr>
        <w:pStyle w:val="37"/>
        <w:numPr>
          <w:ilvl w:val="0"/>
          <w:numId w:val="17"/>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熟悉Java/.NET架构、主流数据库及中间件运维。</w:t>
      </w:r>
    </w:p>
    <w:p>
      <w:pPr>
        <w:pStyle w:val="25"/>
        <w:numPr>
          <w:ilvl w:val="0"/>
          <w:numId w:val="16"/>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团队配置：</w:t>
      </w:r>
    </w:p>
    <w:p>
      <w:pPr>
        <w:pStyle w:val="37"/>
        <w:numPr>
          <w:ilvl w:val="0"/>
          <w:numId w:val="17"/>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团队总人数不少于8人，其中：</w:t>
      </w:r>
    </w:p>
    <w:p>
      <w:pPr>
        <w:pStyle w:val="37"/>
        <w:numPr>
          <w:ilvl w:val="0"/>
          <w:numId w:val="17"/>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至少1名驻场工程师，实行 5×8小时驻场服务，工作时间与采购方同步；</w:t>
      </w:r>
    </w:p>
    <w:p>
      <w:pPr>
        <w:pStyle w:val="37"/>
        <w:numPr>
          <w:ilvl w:val="0"/>
          <w:numId w:val="17"/>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至少2名后台技术支撑人员，提供 7×24小时远程应急响应；</w:t>
      </w:r>
    </w:p>
    <w:p>
      <w:pPr>
        <w:pStyle w:val="37"/>
        <w:numPr>
          <w:ilvl w:val="0"/>
          <w:numId w:val="17"/>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所有团队成员须与供应商签订正式劳动合同，并在投标文件中提供证明材料。</w:t>
      </w:r>
    </w:p>
    <w:p>
      <w:pPr>
        <w:pStyle w:val="37"/>
        <w:numPr>
          <w:ilvl w:val="0"/>
          <w:numId w:val="17"/>
        </w:numPr>
        <w:spacing w:after="62"/>
        <w:ind w:left="0" w:leftChars="0" w:firstLine="480" w:firstLineChars="200"/>
        <w:rPr>
          <w:rFonts w:ascii="仿宋_GB2312" w:hAnsi="仿宋_GB2312" w:eastAsia="仿宋_GB2312" w:cs="仿宋_GB2312"/>
          <w:sz w:val="28"/>
          <w:szCs w:val="28"/>
        </w:rPr>
      </w:pPr>
      <w:r>
        <w:rPr>
          <w:rFonts w:hint="eastAsia" w:ascii="仿宋_GB2312" w:hAnsi="仿宋_GB2312" w:eastAsia="仿宋_GB2312" w:cs="仿宋_GB2312"/>
          <w:sz w:val="24"/>
          <w:szCs w:val="24"/>
        </w:rPr>
        <w:t>供应商须出具《驻场服务承诺函》，明确服务时间和职责。</w:t>
      </w:r>
    </w:p>
    <w:p>
      <w:pPr>
        <w:pStyle w:val="2"/>
        <w:spacing w:before="156" w:after="62"/>
      </w:pPr>
      <w:r>
        <w:t>质量控制与验收要求</w:t>
      </w:r>
    </w:p>
    <w:p>
      <w:pPr>
        <w:pStyle w:val="3"/>
        <w:spacing w:before="156" w:after="62"/>
      </w:pPr>
      <w:r>
        <w:t>服务质量要求</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严格执行国家《信息技术服务 运行维护 第1部分：通用要求》（GB/T 28827.1-2012）、《第3部分：应急响应规范》（GB/T 28827.3-2012）、《第6部分：应用系统服务要求》（GB/T 28827.6-2012）等相关标准；</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建立健全服务流程管理制度，涵盖事件管理、问题管理、变更管理、配置管理、应急管理等ITIL核心流程；</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每月提交《运维服务月报》，内容包括巡检记录、故障统计、处理情况、优化建议等；</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每年提交《年度运维总结报告》，全面评估系统运行状况和服务成效。</w:t>
      </w:r>
    </w:p>
    <w:p>
      <w:pPr>
        <w:pStyle w:val="3"/>
        <w:spacing w:before="156" w:after="62"/>
      </w:pPr>
      <w:r>
        <w:t>验收方式</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项目服务期满后，由乙方申请，采购方组织验收；</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验收依据不限于包括：</w:t>
      </w:r>
    </w:p>
    <w:p>
      <w:pPr>
        <w:pStyle w:val="37"/>
        <w:numPr>
          <w:ilvl w:val="0"/>
          <w:numId w:val="18"/>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本采购文件各项要求；</w:t>
      </w:r>
    </w:p>
    <w:p>
      <w:pPr>
        <w:pStyle w:val="37"/>
        <w:numPr>
          <w:ilvl w:val="0"/>
          <w:numId w:val="18"/>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供应商投标文件承诺内容；</w:t>
      </w:r>
    </w:p>
    <w:p>
      <w:pPr>
        <w:pStyle w:val="37"/>
        <w:numPr>
          <w:ilvl w:val="0"/>
          <w:numId w:val="18"/>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国家及行业相关技术标准；</w:t>
      </w:r>
    </w:p>
    <w:p>
      <w:pPr>
        <w:pStyle w:val="37"/>
        <w:numPr>
          <w:ilvl w:val="0"/>
          <w:numId w:val="18"/>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日常运维记录与服务文档。</w:t>
      </w:r>
    </w:p>
    <w:p>
      <w:pPr>
        <w:pStyle w:val="37"/>
        <w:numPr>
          <w:ilvl w:val="0"/>
          <w:numId w:val="18"/>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供应商须将以下资料汇编成册提交采购方归档：</w:t>
      </w:r>
    </w:p>
    <w:p>
      <w:pPr>
        <w:pStyle w:val="37"/>
        <w:numPr>
          <w:ilvl w:val="0"/>
          <w:numId w:val="18"/>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运维服务合同执行情况说明；</w:t>
      </w:r>
    </w:p>
    <w:p>
      <w:pPr>
        <w:pStyle w:val="37"/>
        <w:numPr>
          <w:ilvl w:val="0"/>
          <w:numId w:val="18"/>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巡检记录表；</w:t>
      </w:r>
    </w:p>
    <w:p>
      <w:pPr>
        <w:pStyle w:val="37"/>
        <w:numPr>
          <w:ilvl w:val="0"/>
          <w:numId w:val="18"/>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故障处理报告；</w:t>
      </w:r>
    </w:p>
    <w:p>
      <w:pPr>
        <w:pStyle w:val="37"/>
        <w:numPr>
          <w:ilvl w:val="0"/>
          <w:numId w:val="18"/>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变更日志；</w:t>
      </w:r>
    </w:p>
    <w:p>
      <w:pPr>
        <w:pStyle w:val="37"/>
        <w:numPr>
          <w:ilvl w:val="0"/>
          <w:numId w:val="18"/>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安全加固记录；</w:t>
      </w:r>
    </w:p>
    <w:p>
      <w:pPr>
        <w:pStyle w:val="37"/>
        <w:numPr>
          <w:ilvl w:val="0"/>
          <w:numId w:val="18"/>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培训记录；</w:t>
      </w:r>
    </w:p>
    <w:p>
      <w:pPr>
        <w:pStyle w:val="37"/>
        <w:numPr>
          <w:ilvl w:val="0"/>
          <w:numId w:val="18"/>
        </w:numPr>
        <w:spacing w:after="62"/>
        <w:ind w:left="0" w:leftChars="0"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rPr>
        <w:t>月报与年度报告。</w:t>
      </w:r>
    </w:p>
    <w:p>
      <w:pPr>
        <w:pStyle w:val="25"/>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所有运维任务完成且资料齐全、符合要求的，视为验收合格；否则视为不合格，须限期整改。</w:t>
      </w:r>
    </w:p>
    <w:p>
      <w:pPr>
        <w:pStyle w:val="2"/>
        <w:spacing w:before="156" w:after="62"/>
      </w:pPr>
      <w:r>
        <w:t>资格与业绩要求</w:t>
      </w:r>
    </w:p>
    <w:p>
      <w:pPr>
        <w:pStyle w:val="25"/>
        <w:spacing w:after="62"/>
        <w:rPr>
          <w:rFonts w:ascii="仿宋_GB2312" w:hAnsi="仿宋_GB2312" w:eastAsia="仿宋_GB2312" w:cs="仿宋_GB2312"/>
          <w:sz w:val="28"/>
          <w:szCs w:val="28"/>
        </w:rPr>
      </w:pPr>
      <w:r>
        <w:rPr>
          <w:rFonts w:hint="eastAsia" w:ascii="仿宋_GB2312" w:hAnsi="仿宋_GB2312" w:eastAsia="仿宋_GB2312" w:cs="仿宋_GB2312"/>
          <w:sz w:val="28"/>
          <w:szCs w:val="28"/>
        </w:rPr>
        <w:t>★ 投标人应具备以下条件，否则其投标无效：</w:t>
      </w:r>
    </w:p>
    <w:p>
      <w:pPr>
        <w:pStyle w:val="37"/>
        <w:numPr>
          <w:ilvl w:val="0"/>
          <w:numId w:val="19"/>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具备独立法人资格，持有合法有效的营业执照；</w:t>
      </w:r>
    </w:p>
    <w:p>
      <w:pPr>
        <w:pStyle w:val="37"/>
        <w:numPr>
          <w:ilvl w:val="0"/>
          <w:numId w:val="19"/>
        </w:numPr>
        <w:spacing w:after="62"/>
        <w:ind w:left="840"/>
        <w:rPr>
          <w:rFonts w:ascii="仿宋_GB2312" w:hAnsi="仿宋_GB2312" w:eastAsia="仿宋_GB2312" w:cs="仿宋_GB2312"/>
          <w:sz w:val="24"/>
          <w:szCs w:val="24"/>
        </w:rPr>
      </w:pPr>
      <w:r>
        <w:rPr>
          <w:rFonts w:hint="eastAsia" w:ascii="仿宋_GB2312" w:hAnsi="仿宋_GB2312" w:eastAsia="仿宋_GB2312" w:cs="仿宋_GB2312"/>
          <w:sz w:val="24"/>
          <w:szCs w:val="24"/>
        </w:rPr>
        <w:t>提供所投项目团队主要成员的社保证明并加盖公章。</w:t>
      </w:r>
    </w:p>
    <w:p>
      <w:pPr>
        <w:pStyle w:val="2"/>
        <w:spacing w:before="156" w:after="62"/>
      </w:pPr>
      <w:r>
        <w:t>其他要求</w:t>
      </w:r>
    </w:p>
    <w:p>
      <w:pPr>
        <w:pStyle w:val="25"/>
        <w:numPr>
          <w:ilvl w:val="0"/>
          <w:numId w:val="2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供应商须遵守采购方各项管理制度，服从统一调度安排；</w:t>
      </w:r>
    </w:p>
    <w:p>
      <w:pPr>
        <w:pStyle w:val="25"/>
        <w:numPr>
          <w:ilvl w:val="0"/>
          <w:numId w:val="2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严格履行保密义务，不得泄露系统架构、账号密码、业务数据等敏感信息；</w:t>
      </w:r>
    </w:p>
    <w:p>
      <w:pPr>
        <w:pStyle w:val="25"/>
        <w:numPr>
          <w:ilvl w:val="0"/>
          <w:numId w:val="2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现场服务人员应着装整洁、语言文明、态度专业；</w:t>
      </w:r>
    </w:p>
    <w:p>
      <w:pPr>
        <w:pStyle w:val="25"/>
        <w:numPr>
          <w:ilvl w:val="0"/>
          <w:numId w:val="20"/>
        </w:numPr>
        <w:spacing w:after="62"/>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在合同期内，若因政策调整或上级要求需对系统进行安全可靠性改造，供应商应积极配合并提供技术支持，相关费用已包含在报价中。</w:t>
      </w:r>
    </w:p>
    <w:sectPr>
      <w:headerReference r:id="rId4" w:type="first"/>
      <w:footerReference r:id="rId7" w:type="first"/>
      <w:footerReference r:id="rId5" w:type="default"/>
      <w:headerReference r:id="rId3" w:type="even"/>
      <w:footerReference r:id="rId6"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汉仪正圆-45W">
    <w:altName w:val="宋体"/>
    <w:panose1 w:val="00020600040101010101"/>
    <w:charset w:val="86"/>
    <w:family w:val="roman"/>
    <w:pitch w:val="default"/>
    <w:sig w:usb0="00000000" w:usb1="00000000" w:usb2="00000016" w:usb3="00000000" w:csb0="0004009F" w:csb1="00000000"/>
  </w:font>
  <w:font w:name="Microsoft YaHei UI">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spacing w:after="48"/>
      <w:jc w:val="center"/>
      <w:rPr>
        <w:rFonts w:ascii="宋体" w:hAnsi="宋体" w:eastAsia="宋体" w:cs="宋体"/>
        <w:sz w:val="28"/>
      </w:rPr>
    </w:pPr>
    <w:r>
      <w:rPr>
        <w:rFonts w:hint="eastAsia" w:ascii="宋体" w:hAnsi="宋体" w:eastAsia="宋体" w:cs="宋体"/>
        <w:sz w:val="28"/>
      </w:rPr>
      <w:t xml:space="preserve">— </w:t>
    </w:r>
    <w:r>
      <w:rPr>
        <w:rFonts w:hint="eastAsia" w:ascii="宋体" w:hAnsi="宋体" w:eastAsia="宋体" w:cs="宋体"/>
        <w:sz w:val="28"/>
      </w:rPr>
      <w:fldChar w:fldCharType="begin"/>
    </w:r>
    <w:r>
      <w:rPr>
        <w:rFonts w:hint="eastAsia" w:ascii="宋体" w:hAnsi="宋体" w:eastAsia="宋体" w:cs="宋体"/>
        <w:sz w:val="28"/>
      </w:rPr>
      <w:instrText xml:space="preserve"> PAGE \* Arabic \* MERGEFORMAT </w:instrText>
    </w:r>
    <w:r>
      <w:rPr>
        <w:rFonts w:hint="eastAsia" w:ascii="宋体" w:hAnsi="宋体" w:eastAsia="宋体" w:cs="宋体"/>
        <w:sz w:val="28"/>
      </w:rPr>
      <w:fldChar w:fldCharType="separate"/>
    </w:r>
    <w:r>
      <w:rPr>
        <w:rFonts w:hint="eastAsia" w:ascii="宋体" w:hAnsi="宋体" w:eastAsia="宋体" w:cs="宋体"/>
        <w:sz w:val="28"/>
      </w:rPr>
      <w:t>1</w:t>
    </w:r>
    <w:r>
      <w:rPr>
        <w:rFonts w:hint="eastAsia" w:ascii="宋体" w:hAnsi="宋体" w:eastAsia="宋体" w:cs="宋体"/>
        <w:sz w:val="28"/>
      </w:rPr>
      <w:fldChar w:fldCharType="end"/>
    </w:r>
    <w:r>
      <w:rPr>
        <w:rFonts w:hint="eastAsia" w:ascii="宋体" w:hAnsi="宋体" w:eastAsia="宋体" w:cs="宋体"/>
        <w:sz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spacing w:after="4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7"/>
      <w:spacing w:after="4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spacing w:after="4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0"/>
      <w:spacing w:after="4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3D306D"/>
    <w:multiLevelType w:val="singleLevel"/>
    <w:tmpl w:val="863D306D"/>
    <w:lvl w:ilvl="0" w:tentative="0">
      <w:start w:val="1"/>
      <w:numFmt w:val="bullet"/>
      <w:lvlText w:val=""/>
      <w:lvlJc w:val="left"/>
      <w:pPr>
        <w:ind w:left="420" w:hanging="420"/>
      </w:pPr>
      <w:rPr>
        <w:rFonts w:hint="default" w:ascii="Wingdings" w:hAnsi="Wingdings"/>
      </w:rPr>
    </w:lvl>
  </w:abstractNum>
  <w:abstractNum w:abstractNumId="1">
    <w:nsid w:val="8B9E5F43"/>
    <w:multiLevelType w:val="singleLevel"/>
    <w:tmpl w:val="8B9E5F43"/>
    <w:lvl w:ilvl="0" w:tentative="0">
      <w:start w:val="1"/>
      <w:numFmt w:val="decimal"/>
      <w:suff w:val="nothing"/>
      <w:lvlText w:val="%1．"/>
      <w:lvlJc w:val="left"/>
      <w:pPr>
        <w:ind w:left="0" w:firstLine="400"/>
      </w:pPr>
      <w:rPr>
        <w:rFonts w:hint="default"/>
      </w:rPr>
    </w:lvl>
  </w:abstractNum>
  <w:abstractNum w:abstractNumId="2">
    <w:nsid w:val="A55D1C82"/>
    <w:multiLevelType w:val="singleLevel"/>
    <w:tmpl w:val="A55D1C82"/>
    <w:lvl w:ilvl="0" w:tentative="0">
      <w:start w:val="1"/>
      <w:numFmt w:val="decimal"/>
      <w:suff w:val="nothing"/>
      <w:lvlText w:val="%1．"/>
      <w:lvlJc w:val="left"/>
      <w:pPr>
        <w:ind w:left="0" w:firstLine="400"/>
      </w:pPr>
      <w:rPr>
        <w:rFonts w:hint="default"/>
      </w:rPr>
    </w:lvl>
  </w:abstractNum>
  <w:abstractNum w:abstractNumId="3">
    <w:nsid w:val="A5B23F46"/>
    <w:multiLevelType w:val="multilevel"/>
    <w:tmpl w:val="A5B23F46"/>
    <w:lvl w:ilvl="0" w:tentative="0">
      <w:start w:val="1"/>
      <w:numFmt w:val="bullet"/>
      <w:pStyle w:val="42"/>
      <w:suff w:val="space"/>
      <w:lvlText w:val="◊"/>
      <w:lvlJc w:val="left"/>
      <w:pPr>
        <w:tabs>
          <w:tab w:val="left" w:pos="0"/>
        </w:tabs>
        <w:ind w:left="0" w:firstLine="0"/>
      </w:pPr>
      <w:rPr>
        <w:rFonts w:hint="default" w:ascii="Arial" w:hAnsi="Arial"/>
        <w:color w:val="auto"/>
      </w:rPr>
    </w:lvl>
    <w:lvl w:ilvl="1" w:tentative="0">
      <w:start w:val="1"/>
      <w:numFmt w:val="bullet"/>
      <w:lvlText w:val=""/>
      <w:lvlJc w:val="left"/>
      <w:pPr>
        <w:ind w:left="880" w:hanging="440"/>
      </w:pPr>
      <w:rPr>
        <w:rFonts w:hint="default" w:ascii="Wingdings" w:hAnsi="Wingdings"/>
      </w:rPr>
    </w:lvl>
    <w:lvl w:ilvl="2" w:tentative="0">
      <w:start w:val="1"/>
      <w:numFmt w:val="bullet"/>
      <w:lvlText w:val=""/>
      <w:lvlJc w:val="left"/>
      <w:pPr>
        <w:ind w:left="1320" w:hanging="440"/>
      </w:pPr>
      <w:rPr>
        <w:rFonts w:hint="default" w:ascii="Wingdings" w:hAnsi="Wingdings"/>
      </w:rPr>
    </w:lvl>
    <w:lvl w:ilvl="3" w:tentative="0">
      <w:start w:val="1"/>
      <w:numFmt w:val="bullet"/>
      <w:lvlText w:val=""/>
      <w:lvlJc w:val="left"/>
      <w:pPr>
        <w:ind w:left="1760" w:hanging="440"/>
      </w:pPr>
      <w:rPr>
        <w:rFonts w:hint="default" w:ascii="Wingdings" w:hAnsi="Wingdings"/>
      </w:rPr>
    </w:lvl>
    <w:lvl w:ilvl="4" w:tentative="0">
      <w:start w:val="1"/>
      <w:numFmt w:val="bullet"/>
      <w:lvlText w:val=""/>
      <w:lvlJc w:val="left"/>
      <w:pPr>
        <w:ind w:left="2200" w:hanging="440"/>
      </w:pPr>
      <w:rPr>
        <w:rFonts w:hint="default" w:ascii="Wingdings" w:hAnsi="Wingdings"/>
      </w:rPr>
    </w:lvl>
    <w:lvl w:ilvl="5" w:tentative="0">
      <w:start w:val="1"/>
      <w:numFmt w:val="bullet"/>
      <w:lvlText w:val=""/>
      <w:lvlJc w:val="left"/>
      <w:pPr>
        <w:ind w:left="2640" w:hanging="440"/>
      </w:pPr>
      <w:rPr>
        <w:rFonts w:hint="default" w:ascii="Wingdings" w:hAnsi="Wingdings"/>
      </w:rPr>
    </w:lvl>
    <w:lvl w:ilvl="6" w:tentative="0">
      <w:start w:val="1"/>
      <w:numFmt w:val="bullet"/>
      <w:lvlText w:val=""/>
      <w:lvlJc w:val="left"/>
      <w:pPr>
        <w:ind w:left="3080" w:hanging="440"/>
      </w:pPr>
      <w:rPr>
        <w:rFonts w:hint="default" w:ascii="Wingdings" w:hAnsi="Wingdings"/>
      </w:rPr>
    </w:lvl>
    <w:lvl w:ilvl="7" w:tentative="0">
      <w:start w:val="1"/>
      <w:numFmt w:val="bullet"/>
      <w:lvlText w:val=""/>
      <w:lvlJc w:val="left"/>
      <w:pPr>
        <w:ind w:left="3520" w:hanging="440"/>
      </w:pPr>
      <w:rPr>
        <w:rFonts w:hint="default" w:ascii="Wingdings" w:hAnsi="Wingdings"/>
      </w:rPr>
    </w:lvl>
    <w:lvl w:ilvl="8" w:tentative="0">
      <w:start w:val="1"/>
      <w:numFmt w:val="bullet"/>
      <w:lvlText w:val=""/>
      <w:lvlJc w:val="left"/>
      <w:pPr>
        <w:ind w:left="3960" w:hanging="440"/>
      </w:pPr>
      <w:rPr>
        <w:rFonts w:hint="default" w:ascii="Wingdings" w:hAnsi="Wingdings"/>
      </w:rPr>
    </w:lvl>
  </w:abstractNum>
  <w:abstractNum w:abstractNumId="4">
    <w:nsid w:val="C12C37DC"/>
    <w:multiLevelType w:val="singleLevel"/>
    <w:tmpl w:val="C12C37DC"/>
    <w:lvl w:ilvl="0" w:tentative="0">
      <w:start w:val="1"/>
      <w:numFmt w:val="bullet"/>
      <w:pStyle w:val="48"/>
      <w:suff w:val="space"/>
      <w:lvlText w:val=""/>
      <w:lvlJc w:val="left"/>
      <w:pPr>
        <w:tabs>
          <w:tab w:val="left" w:pos="420"/>
        </w:tabs>
        <w:ind w:left="0" w:firstLine="0"/>
      </w:pPr>
      <w:rPr>
        <w:rFonts w:hint="default" w:ascii="Wingdings" w:hAnsi="Wingdings"/>
        <w:color w:val="auto"/>
      </w:rPr>
    </w:lvl>
  </w:abstractNum>
  <w:abstractNum w:abstractNumId="5">
    <w:nsid w:val="C4449E72"/>
    <w:multiLevelType w:val="singleLevel"/>
    <w:tmpl w:val="C4449E72"/>
    <w:lvl w:ilvl="0" w:tentative="0">
      <w:start w:val="1"/>
      <w:numFmt w:val="decimal"/>
      <w:suff w:val="nothing"/>
      <w:lvlText w:val="%1．"/>
      <w:lvlJc w:val="left"/>
      <w:pPr>
        <w:ind w:left="0" w:firstLine="400"/>
      </w:pPr>
      <w:rPr>
        <w:rFonts w:hint="default"/>
      </w:rPr>
    </w:lvl>
  </w:abstractNum>
  <w:abstractNum w:abstractNumId="6">
    <w:nsid w:val="E08E37DC"/>
    <w:multiLevelType w:val="singleLevel"/>
    <w:tmpl w:val="E08E37DC"/>
    <w:lvl w:ilvl="0" w:tentative="0">
      <w:start w:val="1"/>
      <w:numFmt w:val="bullet"/>
      <w:pStyle w:val="28"/>
      <w:suff w:val="space"/>
      <w:lvlText w:val=""/>
      <w:lvlJc w:val="left"/>
      <w:pPr>
        <w:tabs>
          <w:tab w:val="left" w:pos="0"/>
        </w:tabs>
        <w:ind w:left="0" w:firstLine="0"/>
      </w:pPr>
      <w:rPr>
        <w:rFonts w:hint="default" w:ascii="Wingdings" w:hAnsi="Wingdings"/>
        <w:color w:val="auto"/>
      </w:rPr>
    </w:lvl>
  </w:abstractNum>
  <w:abstractNum w:abstractNumId="7">
    <w:nsid w:val="FCC99180"/>
    <w:multiLevelType w:val="singleLevel"/>
    <w:tmpl w:val="FCC99180"/>
    <w:lvl w:ilvl="0" w:tentative="0">
      <w:start w:val="1"/>
      <w:numFmt w:val="decimal"/>
      <w:suff w:val="nothing"/>
      <w:lvlText w:val="%1．"/>
      <w:lvlJc w:val="left"/>
      <w:pPr>
        <w:ind w:left="0" w:firstLine="400"/>
      </w:pPr>
      <w:rPr>
        <w:rFonts w:hint="default"/>
      </w:rPr>
    </w:lvl>
  </w:abstractNum>
  <w:abstractNum w:abstractNumId="8">
    <w:nsid w:val="06602493"/>
    <w:multiLevelType w:val="singleLevel"/>
    <w:tmpl w:val="06602493"/>
    <w:lvl w:ilvl="0" w:tentative="0">
      <w:start w:val="1"/>
      <w:numFmt w:val="decimal"/>
      <w:suff w:val="nothing"/>
      <w:lvlText w:val="%1．"/>
      <w:lvlJc w:val="left"/>
      <w:pPr>
        <w:ind w:left="0" w:firstLine="400"/>
      </w:pPr>
      <w:rPr>
        <w:rFonts w:hint="default"/>
      </w:rPr>
    </w:lvl>
  </w:abstractNum>
  <w:abstractNum w:abstractNumId="9">
    <w:nsid w:val="106257FD"/>
    <w:multiLevelType w:val="multilevel"/>
    <w:tmpl w:val="106257FD"/>
    <w:lvl w:ilvl="0" w:tentative="0">
      <w:start w:val="1"/>
      <w:numFmt w:val="bullet"/>
      <w:pStyle w:val="21"/>
      <w:suff w:val="space"/>
      <w:lvlText w:val=""/>
      <w:lvlJc w:val="left"/>
      <w:pPr>
        <w:tabs>
          <w:tab w:val="left" w:pos="420"/>
        </w:tabs>
        <w:ind w:left="0" w:firstLine="0"/>
      </w:pPr>
      <w:rPr>
        <w:rFonts w:hint="default" w:ascii="Wingdings" w:hAnsi="Wingdings"/>
        <w:color w:val="auto"/>
      </w:rPr>
    </w:lvl>
    <w:lvl w:ilvl="1" w:tentative="0">
      <w:start w:val="1"/>
      <w:numFmt w:val="bullet"/>
      <w:lvlText w:val=""/>
      <w:lvlJc w:val="left"/>
      <w:pPr>
        <w:ind w:left="1300" w:hanging="440"/>
      </w:pPr>
      <w:rPr>
        <w:rFonts w:hint="default" w:ascii="Wingdings" w:hAnsi="Wingdings"/>
      </w:rPr>
    </w:lvl>
    <w:lvl w:ilvl="2" w:tentative="0">
      <w:start w:val="1"/>
      <w:numFmt w:val="bullet"/>
      <w:lvlText w:val=""/>
      <w:lvlJc w:val="left"/>
      <w:pPr>
        <w:ind w:left="1740" w:hanging="440"/>
      </w:pPr>
      <w:rPr>
        <w:rFonts w:hint="default" w:ascii="Wingdings" w:hAnsi="Wingdings"/>
      </w:rPr>
    </w:lvl>
    <w:lvl w:ilvl="3" w:tentative="0">
      <w:start w:val="1"/>
      <w:numFmt w:val="bullet"/>
      <w:lvlText w:val=""/>
      <w:lvlJc w:val="left"/>
      <w:pPr>
        <w:ind w:left="2180" w:hanging="440"/>
      </w:pPr>
      <w:rPr>
        <w:rFonts w:hint="default" w:ascii="Wingdings" w:hAnsi="Wingdings"/>
      </w:rPr>
    </w:lvl>
    <w:lvl w:ilvl="4" w:tentative="0">
      <w:start w:val="1"/>
      <w:numFmt w:val="bullet"/>
      <w:lvlText w:val=""/>
      <w:lvlJc w:val="left"/>
      <w:pPr>
        <w:ind w:left="2620" w:hanging="440"/>
      </w:pPr>
      <w:rPr>
        <w:rFonts w:hint="default" w:ascii="Wingdings" w:hAnsi="Wingdings"/>
      </w:rPr>
    </w:lvl>
    <w:lvl w:ilvl="5" w:tentative="0">
      <w:start w:val="1"/>
      <w:numFmt w:val="bullet"/>
      <w:lvlText w:val=""/>
      <w:lvlJc w:val="left"/>
      <w:pPr>
        <w:ind w:left="3060" w:hanging="440"/>
      </w:pPr>
      <w:rPr>
        <w:rFonts w:hint="default" w:ascii="Wingdings" w:hAnsi="Wingdings"/>
      </w:rPr>
    </w:lvl>
    <w:lvl w:ilvl="6" w:tentative="0">
      <w:start w:val="1"/>
      <w:numFmt w:val="bullet"/>
      <w:lvlText w:val=""/>
      <w:lvlJc w:val="left"/>
      <w:pPr>
        <w:ind w:left="3500" w:hanging="440"/>
      </w:pPr>
      <w:rPr>
        <w:rFonts w:hint="default" w:ascii="Wingdings" w:hAnsi="Wingdings"/>
      </w:rPr>
    </w:lvl>
    <w:lvl w:ilvl="7" w:tentative="0">
      <w:start w:val="1"/>
      <w:numFmt w:val="bullet"/>
      <w:lvlText w:val=""/>
      <w:lvlJc w:val="left"/>
      <w:pPr>
        <w:ind w:left="3940" w:hanging="440"/>
      </w:pPr>
      <w:rPr>
        <w:rFonts w:hint="default" w:ascii="Wingdings" w:hAnsi="Wingdings"/>
      </w:rPr>
    </w:lvl>
    <w:lvl w:ilvl="8" w:tentative="0">
      <w:start w:val="1"/>
      <w:numFmt w:val="bullet"/>
      <w:lvlText w:val=""/>
      <w:lvlJc w:val="left"/>
      <w:pPr>
        <w:ind w:left="4380" w:hanging="440"/>
      </w:pPr>
      <w:rPr>
        <w:rFonts w:hint="default" w:ascii="Wingdings" w:hAnsi="Wingdings"/>
      </w:rPr>
    </w:lvl>
  </w:abstractNum>
  <w:abstractNum w:abstractNumId="10">
    <w:nsid w:val="284C6C3D"/>
    <w:multiLevelType w:val="singleLevel"/>
    <w:tmpl w:val="284C6C3D"/>
    <w:lvl w:ilvl="0" w:tentative="0">
      <w:start w:val="1"/>
      <w:numFmt w:val="bullet"/>
      <w:lvlText w:val=""/>
      <w:lvlJc w:val="left"/>
      <w:pPr>
        <w:ind w:left="420" w:hanging="420"/>
      </w:pPr>
      <w:rPr>
        <w:rFonts w:hint="default" w:ascii="Wingdings" w:hAnsi="Wingdings"/>
      </w:rPr>
    </w:lvl>
  </w:abstractNum>
  <w:abstractNum w:abstractNumId="11">
    <w:nsid w:val="2C6BDA92"/>
    <w:multiLevelType w:val="singleLevel"/>
    <w:tmpl w:val="2C6BDA92"/>
    <w:lvl w:ilvl="0" w:tentative="0">
      <w:start w:val="1"/>
      <w:numFmt w:val="decimal"/>
      <w:suff w:val="nothing"/>
      <w:lvlText w:val="%1．"/>
      <w:lvlJc w:val="left"/>
      <w:pPr>
        <w:ind w:left="0" w:firstLine="400"/>
      </w:pPr>
      <w:rPr>
        <w:rFonts w:hint="default"/>
      </w:rPr>
    </w:lvl>
  </w:abstractNum>
  <w:abstractNum w:abstractNumId="12">
    <w:nsid w:val="3E270DCF"/>
    <w:multiLevelType w:val="multilevel"/>
    <w:tmpl w:val="3E270DCF"/>
    <w:lvl w:ilvl="0" w:tentative="0">
      <w:start w:val="1"/>
      <w:numFmt w:val="decimal"/>
      <w:pStyle w:val="2"/>
      <w:suff w:val="space"/>
      <w:lvlText w:val="%1."/>
      <w:lvlJc w:val="left"/>
      <w:pPr>
        <w:ind w:left="0" w:firstLine="0"/>
      </w:pPr>
      <w:rPr>
        <w:rFonts w:hint="default" w:ascii="微软雅黑" w:hAnsi="微软雅黑" w:eastAsia="微软雅黑"/>
      </w:rPr>
    </w:lvl>
    <w:lvl w:ilvl="1" w:tentative="0">
      <w:start w:val="1"/>
      <w:numFmt w:val="decimal"/>
      <w:pStyle w:val="3"/>
      <w:suff w:val="space"/>
      <w:lvlText w:val="%1.%2."/>
      <w:lvlJc w:val="left"/>
      <w:pPr>
        <w:ind w:left="0" w:firstLine="0"/>
      </w:pPr>
      <w:rPr>
        <w:rFonts w:hint="default" w:ascii="微软雅黑" w:hAnsi="微软雅黑" w:eastAsia="微软雅黑"/>
      </w:rPr>
    </w:lvl>
    <w:lvl w:ilvl="2" w:tentative="0">
      <w:start w:val="1"/>
      <w:numFmt w:val="decimal"/>
      <w:pStyle w:val="4"/>
      <w:suff w:val="space"/>
      <w:lvlText w:val="%1.%2.%3."/>
      <w:lvlJc w:val="left"/>
      <w:pPr>
        <w:ind w:left="0" w:firstLine="0"/>
      </w:pPr>
      <w:rPr>
        <w:rFonts w:hint="default" w:ascii="微软雅黑" w:hAnsi="微软雅黑" w:eastAsia="微软雅黑"/>
      </w:rPr>
    </w:lvl>
    <w:lvl w:ilvl="3" w:tentative="0">
      <w:start w:val="1"/>
      <w:numFmt w:val="decimal"/>
      <w:pStyle w:val="5"/>
      <w:suff w:val="space"/>
      <w:lvlText w:val="%1.%2.%3.%4."/>
      <w:lvlJc w:val="left"/>
      <w:pPr>
        <w:ind w:left="0" w:firstLine="0"/>
      </w:pPr>
      <w:rPr>
        <w:rFonts w:hint="default" w:ascii="微软雅黑" w:hAnsi="微软雅黑" w:eastAsia="微软雅黑"/>
      </w:rPr>
    </w:lvl>
    <w:lvl w:ilvl="4" w:tentative="0">
      <w:start w:val="1"/>
      <w:numFmt w:val="decimal"/>
      <w:pStyle w:val="6"/>
      <w:lvlText w:val="%1.%2.%3.%4.%5."/>
      <w:lvlJc w:val="left"/>
      <w:pPr>
        <w:tabs>
          <w:tab w:val="left" w:pos="0"/>
        </w:tabs>
        <w:ind w:left="0" w:firstLine="0"/>
      </w:pPr>
      <w:rPr>
        <w:rFonts w:hint="default" w:ascii="微软雅黑" w:hAnsi="微软雅黑" w:eastAsia="微软雅黑"/>
      </w:rPr>
    </w:lvl>
    <w:lvl w:ilvl="5" w:tentative="0">
      <w:start w:val="1"/>
      <w:numFmt w:val="decimal"/>
      <w:pStyle w:val="8"/>
      <w:suff w:val="space"/>
      <w:lvlText w:val="%1.%2.%3.%4.%5.%6."/>
      <w:lvlJc w:val="left"/>
      <w:pPr>
        <w:ind w:left="0" w:firstLine="0"/>
      </w:pPr>
      <w:rPr>
        <w:rFonts w:hint="default"/>
      </w:rPr>
    </w:lvl>
    <w:lvl w:ilvl="6" w:tentative="0">
      <w:start w:val="1"/>
      <w:numFmt w:val="decimal"/>
      <w:pStyle w:val="9"/>
      <w:lvlText w:val="%1.%2.%3.%4.%5.%6.%7."/>
      <w:lvlJc w:val="left"/>
      <w:pPr>
        <w:tabs>
          <w:tab w:val="left" w:pos="0"/>
        </w:tabs>
        <w:ind w:left="0" w:firstLine="0"/>
      </w:pPr>
      <w:rPr>
        <w:rFonts w:hint="default"/>
      </w:rPr>
    </w:lvl>
    <w:lvl w:ilvl="7" w:tentative="0">
      <w:start w:val="1"/>
      <w:numFmt w:val="decimal"/>
      <w:pStyle w:val="10"/>
      <w:suff w:val="space"/>
      <w:lvlText w:val="%1.%2.%3.%4.%5.%6.%7.%8."/>
      <w:lvlJc w:val="left"/>
      <w:pPr>
        <w:ind w:left="0" w:firstLine="0"/>
      </w:pPr>
      <w:rPr>
        <w:rFonts w:hint="default"/>
      </w:rPr>
    </w:lvl>
    <w:lvl w:ilvl="8" w:tentative="0">
      <w:start w:val="1"/>
      <w:numFmt w:val="decimal"/>
      <w:pStyle w:val="11"/>
      <w:lvlText w:val="%1.%2.%3.%4.%5.%6.%7.%8.%9."/>
      <w:lvlJc w:val="left"/>
      <w:pPr>
        <w:tabs>
          <w:tab w:val="left" w:pos="0"/>
        </w:tabs>
        <w:ind w:left="0" w:firstLine="0"/>
      </w:pPr>
      <w:rPr>
        <w:rFonts w:hint="default"/>
      </w:rPr>
    </w:lvl>
  </w:abstractNum>
  <w:abstractNum w:abstractNumId="13">
    <w:nsid w:val="414B16E4"/>
    <w:multiLevelType w:val="singleLevel"/>
    <w:tmpl w:val="414B16E4"/>
    <w:lvl w:ilvl="0" w:tentative="0">
      <w:start w:val="1"/>
      <w:numFmt w:val="bullet"/>
      <w:lvlText w:val=""/>
      <w:lvlJc w:val="left"/>
      <w:pPr>
        <w:ind w:left="420" w:hanging="420"/>
      </w:pPr>
      <w:rPr>
        <w:rFonts w:hint="default" w:ascii="Wingdings" w:hAnsi="Wingdings"/>
      </w:rPr>
    </w:lvl>
  </w:abstractNum>
  <w:abstractNum w:abstractNumId="14">
    <w:nsid w:val="59F97E77"/>
    <w:multiLevelType w:val="singleLevel"/>
    <w:tmpl w:val="59F97E77"/>
    <w:lvl w:ilvl="0" w:tentative="0">
      <w:start w:val="1"/>
      <w:numFmt w:val="decimal"/>
      <w:suff w:val="nothing"/>
      <w:lvlText w:val="%1．"/>
      <w:lvlJc w:val="left"/>
      <w:pPr>
        <w:ind w:left="0" w:firstLine="400"/>
      </w:pPr>
      <w:rPr>
        <w:rFonts w:hint="default"/>
      </w:rPr>
    </w:lvl>
  </w:abstractNum>
  <w:abstractNum w:abstractNumId="15">
    <w:nsid w:val="6A226110"/>
    <w:multiLevelType w:val="singleLevel"/>
    <w:tmpl w:val="6A226110"/>
    <w:lvl w:ilvl="0" w:tentative="0">
      <w:start w:val="1"/>
      <w:numFmt w:val="bullet"/>
      <w:lvlText w:val=""/>
      <w:lvlJc w:val="left"/>
      <w:pPr>
        <w:ind w:left="420" w:hanging="420"/>
      </w:pPr>
      <w:rPr>
        <w:rFonts w:hint="default" w:ascii="Wingdings" w:hAnsi="Wingdings"/>
      </w:rPr>
    </w:lvl>
  </w:abstractNum>
  <w:abstractNum w:abstractNumId="16">
    <w:nsid w:val="74B5ADC5"/>
    <w:multiLevelType w:val="singleLevel"/>
    <w:tmpl w:val="74B5ADC5"/>
    <w:lvl w:ilvl="0" w:tentative="0">
      <w:start w:val="1"/>
      <w:numFmt w:val="decimal"/>
      <w:suff w:val="nothing"/>
      <w:lvlText w:val="%1．"/>
      <w:lvlJc w:val="left"/>
      <w:pPr>
        <w:ind w:left="0" w:firstLine="400"/>
      </w:pPr>
      <w:rPr>
        <w:rFonts w:hint="default"/>
      </w:rPr>
    </w:lvl>
  </w:abstractNum>
  <w:abstractNum w:abstractNumId="17">
    <w:nsid w:val="74D657D1"/>
    <w:multiLevelType w:val="multilevel"/>
    <w:tmpl w:val="74D657D1"/>
    <w:lvl w:ilvl="0" w:tentative="0">
      <w:start w:val="1"/>
      <w:numFmt w:val="decimal"/>
      <w:pStyle w:val="24"/>
      <w:suff w:val="space"/>
      <w:lvlText w:val="第 %1 条"/>
      <w:lvlJc w:val="left"/>
      <w:pPr>
        <w:tabs>
          <w:tab w:val="left" w:pos="0"/>
        </w:tabs>
        <w:ind w:left="0" w:firstLine="0"/>
      </w:pPr>
      <w:rPr>
        <w:rFonts w:hint="default"/>
      </w:rPr>
    </w:lvl>
    <w:lvl w:ilvl="1" w:tentative="0">
      <w:start w:val="1"/>
      <w:numFmt w:val="decimalFullWidth"/>
      <w:pStyle w:val="17"/>
      <w:isLgl/>
      <w:suff w:val="space"/>
      <w:lvlText w:val="%1.%2"/>
      <w:lvlJc w:val="left"/>
      <w:pPr>
        <w:tabs>
          <w:tab w:val="left" w:pos="420"/>
        </w:tabs>
        <w:ind w:left="0" w:firstLine="0"/>
      </w:pPr>
      <w:rPr>
        <w:rFonts w:hint="eastAsia"/>
      </w:rPr>
    </w:lvl>
    <w:lvl w:ilvl="2" w:tentative="0">
      <w:start w:val="1"/>
      <w:numFmt w:val="decimal"/>
      <w:pStyle w:val="38"/>
      <w:isLgl/>
      <w:suff w:val="space"/>
      <w:lvlText w:val="%1.%2.%3"/>
      <w:lvlJc w:val="left"/>
      <w:pPr>
        <w:tabs>
          <w:tab w:val="left" w:pos="0"/>
        </w:tabs>
        <w:ind w:left="0" w:firstLine="0"/>
      </w:pPr>
      <w:rPr>
        <w:rFonts w:hint="eastAsia"/>
      </w:rPr>
    </w:lvl>
    <w:lvl w:ilvl="3" w:tentative="0">
      <w:start w:val="1"/>
      <w:numFmt w:val="decimal"/>
      <w:pStyle w:val="49"/>
      <w:isLgl/>
      <w:suff w:val="space"/>
      <w:lvlText w:val="%4）"/>
      <w:lvlJc w:val="left"/>
      <w:pPr>
        <w:tabs>
          <w:tab w:val="left" w:pos="420"/>
        </w:tabs>
        <w:ind w:left="0" w:firstLine="0"/>
      </w:pPr>
      <w:rPr>
        <w:rFonts w:hint="default"/>
      </w:rPr>
    </w:lvl>
    <w:lvl w:ilvl="4" w:tentative="0">
      <w:start w:val="1"/>
      <w:numFmt w:val="decimalZero"/>
      <w:pStyle w:val="68"/>
      <w:isLgl/>
      <w:lvlText w:val="%5."/>
      <w:lvlJc w:val="left"/>
      <w:pPr>
        <w:tabs>
          <w:tab w:val="left" w:pos="420"/>
        </w:tabs>
        <w:ind w:left="0" w:firstLine="0"/>
      </w:pPr>
      <w:rPr>
        <w:rFonts w:hint="default"/>
      </w:rPr>
    </w:lvl>
    <w:lvl w:ilvl="5" w:tentative="0">
      <w:start w:val="1"/>
      <w:numFmt w:val="lowerLetter"/>
      <w:lvlText w:val="%6)"/>
      <w:lvlJc w:val="left"/>
      <w:pPr>
        <w:ind w:left="1152" w:hanging="432"/>
      </w:pPr>
      <w:rPr>
        <w:rFonts w:hint="eastAsia"/>
      </w:rPr>
    </w:lvl>
    <w:lvl w:ilvl="6" w:tentative="0">
      <w:start w:val="1"/>
      <w:numFmt w:val="lowerRoman"/>
      <w:lvlText w:val="%7)"/>
      <w:lvlJc w:val="right"/>
      <w:pPr>
        <w:ind w:left="1296" w:hanging="288"/>
      </w:pPr>
      <w:rPr>
        <w:rFonts w:hint="eastAsia"/>
      </w:rPr>
    </w:lvl>
    <w:lvl w:ilvl="7" w:tentative="0">
      <w:start w:val="1"/>
      <w:numFmt w:val="lowerLetter"/>
      <w:lvlText w:val="%8."/>
      <w:lvlJc w:val="left"/>
      <w:pPr>
        <w:ind w:left="1440" w:hanging="432"/>
      </w:pPr>
      <w:rPr>
        <w:rFonts w:hint="eastAsia"/>
      </w:rPr>
    </w:lvl>
    <w:lvl w:ilvl="8" w:tentative="0">
      <w:start w:val="1"/>
      <w:numFmt w:val="lowerRoman"/>
      <w:lvlText w:val="%9."/>
      <w:lvlJc w:val="right"/>
      <w:pPr>
        <w:ind w:left="1584" w:hanging="144"/>
      </w:pPr>
      <w:rPr>
        <w:rFonts w:hint="eastAsia"/>
      </w:rPr>
    </w:lvl>
  </w:abstractNum>
  <w:abstractNum w:abstractNumId="18">
    <w:nsid w:val="789DDC66"/>
    <w:multiLevelType w:val="singleLevel"/>
    <w:tmpl w:val="789DDC66"/>
    <w:lvl w:ilvl="0" w:tentative="0">
      <w:start w:val="1"/>
      <w:numFmt w:val="bullet"/>
      <w:pStyle w:val="36"/>
      <w:suff w:val="space"/>
      <w:lvlText w:val=""/>
      <w:lvlJc w:val="left"/>
      <w:pPr>
        <w:tabs>
          <w:tab w:val="left" w:pos="420"/>
        </w:tabs>
        <w:ind w:left="0" w:firstLine="0"/>
      </w:pPr>
      <w:rPr>
        <w:rFonts w:hint="default" w:ascii="Wingdings" w:hAnsi="Wingdings"/>
        <w:color w:val="auto"/>
      </w:rPr>
    </w:lvl>
  </w:abstractNum>
  <w:abstractNum w:abstractNumId="19">
    <w:nsid w:val="7D5B08F6"/>
    <w:multiLevelType w:val="singleLevel"/>
    <w:tmpl w:val="7D5B08F6"/>
    <w:lvl w:ilvl="0" w:tentative="0">
      <w:start w:val="1"/>
      <w:numFmt w:val="decimal"/>
      <w:suff w:val="nothing"/>
      <w:lvlText w:val="%1．"/>
      <w:lvlJc w:val="left"/>
      <w:pPr>
        <w:ind w:left="0" w:firstLine="400"/>
      </w:pPr>
      <w:rPr>
        <w:rFonts w:hint="default"/>
      </w:rPr>
    </w:lvl>
  </w:abstractNum>
  <w:num w:numId="1">
    <w:abstractNumId w:val="12"/>
  </w:num>
  <w:num w:numId="2">
    <w:abstractNumId w:val="17"/>
  </w:num>
  <w:num w:numId="3">
    <w:abstractNumId w:val="9"/>
  </w:num>
  <w:num w:numId="4">
    <w:abstractNumId w:val="6"/>
  </w:num>
  <w:num w:numId="5">
    <w:abstractNumId w:val="18"/>
  </w:num>
  <w:num w:numId="6">
    <w:abstractNumId w:val="3"/>
  </w:num>
  <w:num w:numId="7">
    <w:abstractNumId w:val="4"/>
  </w:num>
  <w:num w:numId="8">
    <w:abstractNumId w:val="8"/>
  </w:num>
  <w:num w:numId="9">
    <w:abstractNumId w:val="11"/>
  </w:num>
  <w:num w:numId="10">
    <w:abstractNumId w:val="5"/>
  </w:num>
  <w:num w:numId="11">
    <w:abstractNumId w:val="7"/>
  </w:num>
  <w:num w:numId="12">
    <w:abstractNumId w:val="14"/>
  </w:num>
  <w:num w:numId="13">
    <w:abstractNumId w:val="1"/>
  </w:num>
  <w:num w:numId="14">
    <w:abstractNumId w:val="19"/>
  </w:num>
  <w:num w:numId="15">
    <w:abstractNumId w:val="0"/>
  </w:num>
  <w:num w:numId="16">
    <w:abstractNumId w:val="2"/>
  </w:num>
  <w:num w:numId="17">
    <w:abstractNumId w:val="10"/>
  </w:num>
  <w:num w:numId="18">
    <w:abstractNumId w:val="15"/>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CF0"/>
    <w:rsid w:val="0004476F"/>
    <w:rsid w:val="00047D47"/>
    <w:rsid w:val="000C5C66"/>
    <w:rsid w:val="00131EF6"/>
    <w:rsid w:val="00205BE1"/>
    <w:rsid w:val="00251961"/>
    <w:rsid w:val="003C53D8"/>
    <w:rsid w:val="003D6757"/>
    <w:rsid w:val="00480A4A"/>
    <w:rsid w:val="00497CF0"/>
    <w:rsid w:val="00502AD4"/>
    <w:rsid w:val="005D1DA4"/>
    <w:rsid w:val="00637663"/>
    <w:rsid w:val="006825B8"/>
    <w:rsid w:val="00741758"/>
    <w:rsid w:val="008137DC"/>
    <w:rsid w:val="00854D24"/>
    <w:rsid w:val="00A50856"/>
    <w:rsid w:val="00AF5F59"/>
    <w:rsid w:val="00C42B6B"/>
    <w:rsid w:val="00CC299E"/>
    <w:rsid w:val="00F91070"/>
    <w:rsid w:val="00FA7F62"/>
    <w:rsid w:val="00FD1B6B"/>
    <w:rsid w:val="014A5E2B"/>
    <w:rsid w:val="02B73E03"/>
    <w:rsid w:val="02E345A6"/>
    <w:rsid w:val="02F52676"/>
    <w:rsid w:val="05B13A99"/>
    <w:rsid w:val="06927CF2"/>
    <w:rsid w:val="07C37441"/>
    <w:rsid w:val="0A17379B"/>
    <w:rsid w:val="0ADD4BB5"/>
    <w:rsid w:val="0C8D01C5"/>
    <w:rsid w:val="0CCB59F8"/>
    <w:rsid w:val="0DC90CC3"/>
    <w:rsid w:val="0EDB46F0"/>
    <w:rsid w:val="0F6758EA"/>
    <w:rsid w:val="105A19D5"/>
    <w:rsid w:val="10AE5BBC"/>
    <w:rsid w:val="10ED1603"/>
    <w:rsid w:val="11D079A4"/>
    <w:rsid w:val="12AA7B7B"/>
    <w:rsid w:val="130759A5"/>
    <w:rsid w:val="131C6335"/>
    <w:rsid w:val="133436EE"/>
    <w:rsid w:val="1513776F"/>
    <w:rsid w:val="168C1381"/>
    <w:rsid w:val="16D849B0"/>
    <w:rsid w:val="19451602"/>
    <w:rsid w:val="1ADB5704"/>
    <w:rsid w:val="1AE8505E"/>
    <w:rsid w:val="1B4A0658"/>
    <w:rsid w:val="1BF77EA3"/>
    <w:rsid w:val="1C35495A"/>
    <w:rsid w:val="1C981C00"/>
    <w:rsid w:val="1CB523C1"/>
    <w:rsid w:val="1CFA16FF"/>
    <w:rsid w:val="1DBA4DAD"/>
    <w:rsid w:val="1EC12AD3"/>
    <w:rsid w:val="1ED25627"/>
    <w:rsid w:val="1F0364A2"/>
    <w:rsid w:val="1F363948"/>
    <w:rsid w:val="21101A4D"/>
    <w:rsid w:val="219B79F5"/>
    <w:rsid w:val="23B57858"/>
    <w:rsid w:val="24F510FE"/>
    <w:rsid w:val="253B22C4"/>
    <w:rsid w:val="25DD6E5C"/>
    <w:rsid w:val="264E36FB"/>
    <w:rsid w:val="2655345B"/>
    <w:rsid w:val="269A51FF"/>
    <w:rsid w:val="27233601"/>
    <w:rsid w:val="29AD6873"/>
    <w:rsid w:val="2BA2543C"/>
    <w:rsid w:val="2BA27DEB"/>
    <w:rsid w:val="2BD17ACF"/>
    <w:rsid w:val="2BE76FA5"/>
    <w:rsid w:val="2C655B0C"/>
    <w:rsid w:val="2D5A39A8"/>
    <w:rsid w:val="2DE75388"/>
    <w:rsid w:val="2F996B56"/>
    <w:rsid w:val="311741D6"/>
    <w:rsid w:val="31315A57"/>
    <w:rsid w:val="31E40D4C"/>
    <w:rsid w:val="32CC52A7"/>
    <w:rsid w:val="32DE200A"/>
    <w:rsid w:val="335B3701"/>
    <w:rsid w:val="33FE013C"/>
    <w:rsid w:val="340B5C46"/>
    <w:rsid w:val="35AF0E81"/>
    <w:rsid w:val="35F32297"/>
    <w:rsid w:val="37953EB8"/>
    <w:rsid w:val="389E210A"/>
    <w:rsid w:val="38CD6AEE"/>
    <w:rsid w:val="38EE7F12"/>
    <w:rsid w:val="396D6D0A"/>
    <w:rsid w:val="39A131D7"/>
    <w:rsid w:val="3CFD0719"/>
    <w:rsid w:val="3D894DD1"/>
    <w:rsid w:val="3DC56D68"/>
    <w:rsid w:val="3EAC4511"/>
    <w:rsid w:val="3F161C2F"/>
    <w:rsid w:val="3F3C5FB7"/>
    <w:rsid w:val="3F970711"/>
    <w:rsid w:val="40DC68A2"/>
    <w:rsid w:val="41DA75DF"/>
    <w:rsid w:val="427C2111"/>
    <w:rsid w:val="43055382"/>
    <w:rsid w:val="4384412A"/>
    <w:rsid w:val="44AB6B60"/>
    <w:rsid w:val="454315E6"/>
    <w:rsid w:val="45BF3BEF"/>
    <w:rsid w:val="466F777B"/>
    <w:rsid w:val="472B0583"/>
    <w:rsid w:val="47467049"/>
    <w:rsid w:val="47DD0DF1"/>
    <w:rsid w:val="48D16FA4"/>
    <w:rsid w:val="495B69B6"/>
    <w:rsid w:val="495D737B"/>
    <w:rsid w:val="4C356B68"/>
    <w:rsid w:val="4D6C0F09"/>
    <w:rsid w:val="4DE4323A"/>
    <w:rsid w:val="4E9E788D"/>
    <w:rsid w:val="4FCB06C1"/>
    <w:rsid w:val="50C13331"/>
    <w:rsid w:val="51596183"/>
    <w:rsid w:val="51977398"/>
    <w:rsid w:val="51A35650"/>
    <w:rsid w:val="51DC5BE5"/>
    <w:rsid w:val="54716857"/>
    <w:rsid w:val="54E16B8A"/>
    <w:rsid w:val="564009F8"/>
    <w:rsid w:val="57507477"/>
    <w:rsid w:val="575E22AF"/>
    <w:rsid w:val="5962713E"/>
    <w:rsid w:val="5A851901"/>
    <w:rsid w:val="5B062A42"/>
    <w:rsid w:val="5B866118"/>
    <w:rsid w:val="5C7160B2"/>
    <w:rsid w:val="5C735ADE"/>
    <w:rsid w:val="5CB73713"/>
    <w:rsid w:val="5D646A1A"/>
    <w:rsid w:val="5D7037AC"/>
    <w:rsid w:val="5DB76806"/>
    <w:rsid w:val="5DD60BD4"/>
    <w:rsid w:val="5E32691B"/>
    <w:rsid w:val="5EB92EFF"/>
    <w:rsid w:val="5F9C74CA"/>
    <w:rsid w:val="5FED28A9"/>
    <w:rsid w:val="60A800F7"/>
    <w:rsid w:val="64A01811"/>
    <w:rsid w:val="653065C9"/>
    <w:rsid w:val="679D028A"/>
    <w:rsid w:val="6A401478"/>
    <w:rsid w:val="6A7D6CAF"/>
    <w:rsid w:val="6D1B05CF"/>
    <w:rsid w:val="6E6617B7"/>
    <w:rsid w:val="6F515035"/>
    <w:rsid w:val="714A56FF"/>
    <w:rsid w:val="71B23A73"/>
    <w:rsid w:val="72827357"/>
    <w:rsid w:val="732D67A7"/>
    <w:rsid w:val="73384B07"/>
    <w:rsid w:val="758C74D0"/>
    <w:rsid w:val="75A11393"/>
    <w:rsid w:val="75BB1C51"/>
    <w:rsid w:val="78910071"/>
    <w:rsid w:val="7A1C2380"/>
    <w:rsid w:val="7AF02151"/>
    <w:rsid w:val="7D416415"/>
    <w:rsid w:val="7DDC31FD"/>
    <w:rsid w:val="7E372486"/>
    <w:rsid w:val="7EC01800"/>
    <w:rsid w:val="7F6A37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Theme="minorEastAsia"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1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unhideWhenUsed="0" w:uiPriority="0" w:semiHidden="0" w:name="HTML Acronym"/>
    <w:lsdException w:qFormat="1"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after="20" w:afterLines="20" w:line="288" w:lineRule="auto"/>
      <w:jc w:val="both"/>
    </w:pPr>
    <w:rPr>
      <w:rFonts w:eastAsia="微软雅黑" w:asciiTheme="minorHAnsi" w:hAnsiTheme="minorHAnsi" w:cstheme="minorBidi"/>
      <w:kern w:val="2"/>
      <w:sz w:val="21"/>
      <w:szCs w:val="24"/>
      <w:lang w:val="en-US" w:eastAsia="zh-CN" w:bidi="ar-SA"/>
    </w:rPr>
  </w:style>
  <w:style w:type="paragraph" w:styleId="2">
    <w:name w:val="heading 1"/>
    <w:next w:val="1"/>
    <w:qFormat/>
    <w:uiPriority w:val="9"/>
    <w:pPr>
      <w:keepNext/>
      <w:keepLines/>
      <w:numPr>
        <w:ilvl w:val="0"/>
        <w:numId w:val="1"/>
      </w:numPr>
      <w:tabs>
        <w:tab w:val="left" w:pos="0"/>
      </w:tabs>
      <w:adjustRightInd w:val="0"/>
      <w:snapToGrid w:val="0"/>
      <w:spacing w:before="50" w:beforeLines="50" w:after="20" w:afterLines="20" w:line="288" w:lineRule="auto"/>
      <w:outlineLvl w:val="0"/>
    </w:pPr>
    <w:rPr>
      <w:rFonts w:ascii="微软雅黑" w:hAnsi="微软雅黑" w:eastAsia="微软雅黑" w:cstheme="minorBidi"/>
      <w:b/>
      <w:bCs/>
      <w:kern w:val="44"/>
      <w:sz w:val="36"/>
      <w:szCs w:val="36"/>
      <w:lang w:val="en-US" w:eastAsia="zh-CN" w:bidi="ar-SA"/>
    </w:rPr>
  </w:style>
  <w:style w:type="paragraph" w:styleId="3">
    <w:name w:val="heading 2"/>
    <w:next w:val="1"/>
    <w:link w:val="98"/>
    <w:unhideWhenUsed/>
    <w:qFormat/>
    <w:uiPriority w:val="9"/>
    <w:pPr>
      <w:numPr>
        <w:ilvl w:val="1"/>
        <w:numId w:val="1"/>
      </w:numPr>
      <w:tabs>
        <w:tab w:val="left" w:pos="0"/>
      </w:tabs>
      <w:adjustRightInd w:val="0"/>
      <w:snapToGrid w:val="0"/>
      <w:spacing w:before="50" w:beforeLines="50" w:after="20" w:afterLines="20" w:line="288" w:lineRule="auto"/>
      <w:outlineLvl w:val="1"/>
    </w:pPr>
    <w:rPr>
      <w:rFonts w:ascii="微软雅黑" w:hAnsi="微软雅黑" w:eastAsia="微软雅黑" w:cstheme="minorBidi"/>
      <w:b/>
      <w:bCs/>
      <w:kern w:val="2"/>
      <w:sz w:val="32"/>
      <w:szCs w:val="32"/>
      <w:lang w:val="en-US" w:eastAsia="zh-CN" w:bidi="ar-SA"/>
    </w:rPr>
  </w:style>
  <w:style w:type="paragraph" w:styleId="4">
    <w:name w:val="heading 3"/>
    <w:next w:val="1"/>
    <w:unhideWhenUsed/>
    <w:qFormat/>
    <w:uiPriority w:val="9"/>
    <w:pPr>
      <w:numPr>
        <w:ilvl w:val="2"/>
        <w:numId w:val="1"/>
      </w:numPr>
      <w:tabs>
        <w:tab w:val="left" w:pos="0"/>
        <w:tab w:val="left" w:pos="312"/>
      </w:tabs>
      <w:adjustRightInd w:val="0"/>
      <w:snapToGrid w:val="0"/>
      <w:spacing w:before="50" w:beforeLines="50" w:after="20" w:afterLines="20" w:line="288" w:lineRule="auto"/>
      <w:outlineLvl w:val="2"/>
    </w:pPr>
    <w:rPr>
      <w:rFonts w:ascii="微软雅黑" w:hAnsi="微软雅黑" w:eastAsia="微软雅黑" w:cstheme="minorBidi"/>
      <w:b/>
      <w:kern w:val="2"/>
      <w:sz w:val="30"/>
      <w:szCs w:val="30"/>
      <w:lang w:val="en-US" w:eastAsia="zh-CN" w:bidi="ar-SA"/>
    </w:rPr>
  </w:style>
  <w:style w:type="paragraph" w:styleId="5">
    <w:name w:val="heading 4"/>
    <w:next w:val="1"/>
    <w:unhideWhenUsed/>
    <w:qFormat/>
    <w:uiPriority w:val="9"/>
    <w:pPr>
      <w:numPr>
        <w:ilvl w:val="3"/>
        <w:numId w:val="1"/>
      </w:numPr>
      <w:tabs>
        <w:tab w:val="left" w:pos="0"/>
      </w:tabs>
      <w:adjustRightInd w:val="0"/>
      <w:snapToGrid w:val="0"/>
      <w:spacing w:before="50" w:beforeLines="50" w:after="20" w:afterLines="20" w:line="288" w:lineRule="auto"/>
      <w:outlineLvl w:val="3"/>
    </w:pPr>
    <w:rPr>
      <w:rFonts w:ascii="微软雅黑" w:hAnsi="微软雅黑" w:eastAsia="微软雅黑" w:cstheme="minorBidi"/>
      <w:b/>
      <w:bCs/>
      <w:sz w:val="28"/>
      <w:szCs w:val="28"/>
      <w:lang w:val="en-US" w:eastAsia="zh-CN" w:bidi="ar-SA"/>
    </w:rPr>
  </w:style>
  <w:style w:type="paragraph" w:styleId="6">
    <w:name w:val="heading 5"/>
    <w:basedOn w:val="1"/>
    <w:next w:val="7"/>
    <w:unhideWhenUsed/>
    <w:qFormat/>
    <w:uiPriority w:val="9"/>
    <w:pPr>
      <w:numPr>
        <w:ilvl w:val="4"/>
        <w:numId w:val="1"/>
      </w:numPr>
      <w:tabs>
        <w:tab w:val="left" w:pos="312"/>
      </w:tabs>
      <w:spacing w:before="50" w:beforeLines="50"/>
      <w:jc w:val="left"/>
      <w:outlineLvl w:val="4"/>
    </w:pPr>
    <w:rPr>
      <w:rFonts w:ascii="Arial" w:hAnsi="Arial"/>
      <w:b/>
      <w:sz w:val="24"/>
      <w:szCs w:val="22"/>
    </w:rPr>
  </w:style>
  <w:style w:type="paragraph" w:styleId="8">
    <w:name w:val="heading 6"/>
    <w:basedOn w:val="1"/>
    <w:next w:val="7"/>
    <w:unhideWhenUsed/>
    <w:qFormat/>
    <w:uiPriority w:val="0"/>
    <w:pPr>
      <w:numPr>
        <w:ilvl w:val="5"/>
        <w:numId w:val="1"/>
      </w:numPr>
      <w:tabs>
        <w:tab w:val="left" w:pos="0"/>
      </w:tabs>
      <w:spacing w:before="50" w:beforeLines="50"/>
      <w:outlineLvl w:val="5"/>
    </w:pPr>
    <w:rPr>
      <w:rFonts w:ascii="微软雅黑" w:hAnsi="微软雅黑"/>
      <w:b/>
      <w:bCs/>
      <w:sz w:val="24"/>
    </w:rPr>
  </w:style>
  <w:style w:type="paragraph" w:styleId="9">
    <w:name w:val="heading 7"/>
    <w:basedOn w:val="1"/>
    <w:next w:val="7"/>
    <w:unhideWhenUsed/>
    <w:qFormat/>
    <w:uiPriority w:val="0"/>
    <w:pPr>
      <w:numPr>
        <w:ilvl w:val="6"/>
        <w:numId w:val="1"/>
      </w:numPr>
      <w:spacing w:before="50" w:beforeLines="50"/>
      <w:jc w:val="left"/>
      <w:outlineLvl w:val="6"/>
    </w:pPr>
    <w:rPr>
      <w:rFonts w:ascii="微软雅黑" w:hAnsi="微软雅黑"/>
      <w:b/>
      <w:bCs/>
      <w:sz w:val="24"/>
    </w:rPr>
  </w:style>
  <w:style w:type="paragraph" w:styleId="10">
    <w:name w:val="heading 8"/>
    <w:basedOn w:val="1"/>
    <w:next w:val="7"/>
    <w:unhideWhenUsed/>
    <w:qFormat/>
    <w:uiPriority w:val="0"/>
    <w:pPr>
      <w:numPr>
        <w:ilvl w:val="7"/>
        <w:numId w:val="1"/>
      </w:numPr>
      <w:tabs>
        <w:tab w:val="left" w:pos="0"/>
      </w:tabs>
      <w:spacing w:before="50" w:beforeLines="50"/>
      <w:outlineLvl w:val="7"/>
    </w:pPr>
    <w:rPr>
      <w:rFonts w:ascii="微软雅黑" w:hAnsi="微软雅黑" w:cstheme="majorBidi"/>
      <w:b/>
      <w:bCs/>
      <w:sz w:val="24"/>
    </w:rPr>
  </w:style>
  <w:style w:type="paragraph" w:styleId="11">
    <w:name w:val="heading 9"/>
    <w:basedOn w:val="1"/>
    <w:next w:val="7"/>
    <w:unhideWhenUsed/>
    <w:qFormat/>
    <w:uiPriority w:val="0"/>
    <w:pPr>
      <w:numPr>
        <w:ilvl w:val="8"/>
        <w:numId w:val="1"/>
      </w:numPr>
      <w:spacing w:before="50" w:beforeLines="50"/>
      <w:outlineLvl w:val="8"/>
    </w:pPr>
    <w:rPr>
      <w:rFonts w:ascii="微软雅黑" w:hAnsi="微软雅黑" w:cstheme="majorBidi"/>
      <w:b/>
      <w:bCs/>
      <w:sz w:val="24"/>
    </w:rPr>
  </w:style>
  <w:style w:type="character" w:default="1" w:styleId="88">
    <w:name w:val="Default Paragraph Font"/>
    <w:unhideWhenUsed/>
    <w:qFormat/>
    <w:uiPriority w:val="1"/>
  </w:style>
  <w:style w:type="table" w:default="1" w:styleId="97">
    <w:name w:val="Normal Table"/>
    <w:unhideWhenUsed/>
    <w:qFormat/>
    <w:uiPriority w:val="99"/>
    <w:tblPr>
      <w:tblLayout w:type="fixed"/>
      <w:tblCellMar>
        <w:top w:w="0" w:type="dxa"/>
        <w:left w:w="108" w:type="dxa"/>
        <w:bottom w:w="0" w:type="dxa"/>
        <w:right w:w="108" w:type="dxa"/>
      </w:tblCellMar>
    </w:tblPr>
  </w:style>
  <w:style w:type="paragraph" w:styleId="7">
    <w:name w:val="Body Text"/>
    <w:basedOn w:val="1"/>
    <w:link w:val="134"/>
    <w:qFormat/>
    <w:uiPriority w:val="0"/>
    <w:rPr>
      <w:rFonts w:ascii="微软雅黑" w:hAnsi="微软雅黑"/>
      <w:szCs w:val="21"/>
    </w:rPr>
  </w:style>
  <w:style w:type="paragraph" w:styleId="12">
    <w:name w:val="List 3"/>
    <w:basedOn w:val="1"/>
    <w:qFormat/>
    <w:uiPriority w:val="0"/>
    <w:pPr>
      <w:ind w:left="100" w:leftChars="400" w:hanging="200" w:hangingChars="200"/>
      <w:contextualSpacing/>
    </w:pPr>
  </w:style>
  <w:style w:type="paragraph" w:styleId="13">
    <w:name w:val="annotation subject"/>
    <w:basedOn w:val="14"/>
    <w:next w:val="14"/>
    <w:qFormat/>
    <w:uiPriority w:val="0"/>
    <w:rPr>
      <w:b/>
      <w:bCs/>
    </w:rPr>
  </w:style>
  <w:style w:type="paragraph" w:styleId="14">
    <w:name w:val="annotation text"/>
    <w:basedOn w:val="1"/>
    <w:qFormat/>
    <w:uiPriority w:val="0"/>
    <w:pPr>
      <w:jc w:val="lef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15">
    <w:name w:val="toc 7"/>
    <w:basedOn w:val="1"/>
    <w:next w:val="1"/>
    <w:qFormat/>
    <w:uiPriority w:val="0"/>
    <w:pPr>
      <w:ind w:left="2520" w:leftChars="1200"/>
    </w:pPr>
  </w:style>
  <w:style w:type="paragraph" w:styleId="16">
    <w:name w:val="Body Text First Indent"/>
    <w:basedOn w:val="7"/>
    <w:link w:val="135"/>
    <w:qFormat/>
    <w:uiPriority w:val="0"/>
    <w:pPr>
      <w:spacing w:after="120" w:afterLines="0"/>
      <w:ind w:firstLine="420" w:firstLineChars="100"/>
    </w:pPr>
    <w:rPr>
      <w:rFonts w:ascii="汉仪正圆-45W" w:hAnsi="汉仪正圆-45W" w:eastAsia="汉仪正圆-45W"/>
      <w:sz w:val="22"/>
      <w:szCs w:val="22"/>
    </w:rPr>
  </w:style>
  <w:style w:type="paragraph" w:styleId="17">
    <w:name w:val="List Number 2"/>
    <w:basedOn w:val="1"/>
    <w:qFormat/>
    <w:uiPriority w:val="0"/>
    <w:pPr>
      <w:numPr>
        <w:ilvl w:val="1"/>
        <w:numId w:val="2"/>
      </w:numPr>
      <w:tabs>
        <w:tab w:val="left" w:pos="419"/>
        <w:tab w:val="left" w:pos="1843"/>
        <w:tab w:val="clear" w:pos="420"/>
      </w:tabs>
      <w:spacing w:before="50" w:after="50"/>
    </w:pPr>
  </w:style>
  <w:style w:type="paragraph" w:styleId="18">
    <w:name w:val="table of authorities"/>
    <w:basedOn w:val="1"/>
    <w:next w:val="1"/>
    <w:qFormat/>
    <w:uiPriority w:val="0"/>
    <w:pPr>
      <w:ind w:left="420" w:leftChars="200"/>
    </w:pPr>
  </w:style>
  <w:style w:type="paragraph" w:styleId="19">
    <w:name w:val="macro"/>
    <w:link w:val="119"/>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napToGrid w:val="0"/>
      <w:ind w:firstLine="440" w:firstLineChars="200"/>
    </w:pPr>
    <w:rPr>
      <w:rFonts w:ascii="Courier New" w:hAnsi="Courier New" w:eastAsia="宋体" w:cs="Courier New"/>
      <w:kern w:val="2"/>
      <w:sz w:val="24"/>
      <w:szCs w:val="24"/>
      <w:lang w:val="en-US" w:eastAsia="zh-CN" w:bidi="ar-SA"/>
    </w:rPr>
  </w:style>
  <w:style w:type="paragraph" w:styleId="20">
    <w:name w:val="Note Heading"/>
    <w:basedOn w:val="1"/>
    <w:next w:val="1"/>
    <w:link w:val="140"/>
    <w:qFormat/>
    <w:uiPriority w:val="0"/>
    <w:pPr>
      <w:jc w:val="center"/>
    </w:pPr>
    <w:rPr>
      <w:rFonts w:ascii="汉仪正圆-45W" w:hAnsi="汉仪正圆-45W" w:eastAsia="汉仪正圆-45W"/>
      <w:sz w:val="22"/>
      <w:szCs w:val="22"/>
    </w:rPr>
  </w:style>
  <w:style w:type="paragraph" w:styleId="21">
    <w:name w:val="List Bullet 4"/>
    <w:basedOn w:val="1"/>
    <w:qFormat/>
    <w:uiPriority w:val="0"/>
    <w:pPr>
      <w:numPr>
        <w:ilvl w:val="0"/>
        <w:numId w:val="3"/>
      </w:numPr>
      <w:tabs>
        <w:tab w:val="clear" w:pos="420"/>
      </w:tabs>
      <w:spacing w:before="50" w:after="50"/>
      <w:ind w:left="1361" w:hanging="340"/>
    </w:pPr>
  </w:style>
  <w:style w:type="paragraph" w:styleId="22">
    <w:name w:val="index 8"/>
    <w:basedOn w:val="1"/>
    <w:next w:val="1"/>
    <w:qFormat/>
    <w:uiPriority w:val="0"/>
    <w:pPr>
      <w:ind w:left="1400" w:leftChars="1400"/>
    </w:pPr>
  </w:style>
  <w:style w:type="paragraph" w:styleId="23">
    <w:name w:val="E-mail Signature"/>
    <w:basedOn w:val="1"/>
    <w:link w:val="118"/>
    <w:qFormat/>
    <w:uiPriority w:val="0"/>
    <w:rPr>
      <w:rFonts w:ascii="汉仪正圆-45W" w:hAnsi="汉仪正圆-45W" w:eastAsia="汉仪正圆-45W"/>
      <w:sz w:val="22"/>
      <w:szCs w:val="22"/>
    </w:rPr>
  </w:style>
  <w:style w:type="paragraph" w:styleId="24">
    <w:name w:val="List Number"/>
    <w:basedOn w:val="1"/>
    <w:link w:val="110"/>
    <w:qFormat/>
    <w:uiPriority w:val="0"/>
    <w:pPr>
      <w:numPr>
        <w:ilvl w:val="0"/>
        <w:numId w:val="2"/>
      </w:numPr>
      <w:tabs>
        <w:tab w:val="clear" w:pos="0"/>
      </w:tabs>
      <w:spacing w:before="50" w:after="50"/>
    </w:pPr>
  </w:style>
  <w:style w:type="paragraph" w:styleId="25">
    <w:name w:val="Normal Indent"/>
    <w:basedOn w:val="1"/>
    <w:qFormat/>
    <w:uiPriority w:val="0"/>
    <w:pPr>
      <w:ind w:firstLine="420"/>
    </w:pPr>
  </w:style>
  <w:style w:type="paragraph" w:styleId="26">
    <w:name w:val="caption"/>
    <w:basedOn w:val="1"/>
    <w:next w:val="1"/>
    <w:unhideWhenUsed/>
    <w:qFormat/>
    <w:uiPriority w:val="0"/>
    <w:rPr>
      <w:rFonts w:ascii="微软雅黑" w:hAnsi="微软雅黑" w:cs="Times New Roman"/>
      <w:sz w:val="20"/>
      <w:szCs w:val="20"/>
    </w:rPr>
  </w:style>
  <w:style w:type="paragraph" w:styleId="27">
    <w:name w:val="index 5"/>
    <w:basedOn w:val="1"/>
    <w:next w:val="1"/>
    <w:qFormat/>
    <w:uiPriority w:val="0"/>
    <w:pPr>
      <w:ind w:left="800" w:leftChars="800"/>
    </w:pPr>
  </w:style>
  <w:style w:type="paragraph" w:styleId="28">
    <w:name w:val="List Bullet"/>
    <w:basedOn w:val="1"/>
    <w:link w:val="111"/>
    <w:qFormat/>
    <w:uiPriority w:val="0"/>
    <w:pPr>
      <w:numPr>
        <w:ilvl w:val="0"/>
        <w:numId w:val="4"/>
      </w:numPr>
      <w:tabs>
        <w:tab w:val="clear" w:pos="0"/>
      </w:tabs>
      <w:spacing w:before="50" w:after="50"/>
      <w:ind w:left="425" w:hanging="425"/>
    </w:pPr>
  </w:style>
  <w:style w:type="paragraph" w:styleId="29">
    <w:name w:val="envelope address"/>
    <w:basedOn w:val="1"/>
    <w:qFormat/>
    <w:uiPriority w:val="0"/>
    <w:pPr>
      <w:framePr w:w="7920" w:h="1980" w:hRule="exact" w:hSpace="180" w:wrap="around" w:vAnchor="margin" w:hAnchor="page" w:xAlign="center" w:yAlign="bottom"/>
      <w:ind w:left="100" w:leftChars="1400"/>
    </w:pPr>
    <w:rPr>
      <w:rFonts w:asciiTheme="majorHAnsi" w:hAnsiTheme="majorHAnsi" w:eastAsiaTheme="majorEastAsia" w:cstheme="majorBidi"/>
      <w:sz w:val="24"/>
    </w:rPr>
  </w:style>
  <w:style w:type="paragraph" w:styleId="30">
    <w:name w:val="Document Map"/>
    <w:basedOn w:val="1"/>
    <w:link w:val="127"/>
    <w:qFormat/>
    <w:uiPriority w:val="0"/>
    <w:rPr>
      <w:rFonts w:ascii="Microsoft YaHei UI" w:hAnsi="汉仪正圆-45W" w:eastAsia="Microsoft YaHei UI"/>
      <w:sz w:val="18"/>
      <w:szCs w:val="18"/>
    </w:rPr>
  </w:style>
  <w:style w:type="paragraph" w:styleId="31">
    <w:name w:val="toa heading"/>
    <w:basedOn w:val="1"/>
    <w:next w:val="1"/>
    <w:qFormat/>
    <w:uiPriority w:val="0"/>
    <w:pPr>
      <w:spacing w:before="120"/>
    </w:pPr>
    <w:rPr>
      <w:rFonts w:asciiTheme="majorHAnsi" w:hAnsiTheme="majorHAnsi" w:eastAsiaTheme="majorEastAsia" w:cstheme="majorBidi"/>
      <w:sz w:val="24"/>
    </w:rPr>
  </w:style>
  <w:style w:type="paragraph" w:styleId="32">
    <w:name w:val="index 6"/>
    <w:basedOn w:val="1"/>
    <w:next w:val="1"/>
    <w:qFormat/>
    <w:uiPriority w:val="0"/>
    <w:pPr>
      <w:ind w:left="1000" w:leftChars="1000"/>
    </w:pPr>
  </w:style>
  <w:style w:type="paragraph" w:styleId="33">
    <w:name w:val="Salutation"/>
    <w:basedOn w:val="1"/>
    <w:next w:val="1"/>
    <w:link w:val="116"/>
    <w:qFormat/>
    <w:uiPriority w:val="0"/>
    <w:rPr>
      <w:rFonts w:ascii="微软雅黑" w:hAnsi="微软雅黑"/>
      <w:szCs w:val="21"/>
    </w:rPr>
  </w:style>
  <w:style w:type="paragraph" w:styleId="34">
    <w:name w:val="Body Text 3"/>
    <w:basedOn w:val="1"/>
    <w:link w:val="133"/>
    <w:qFormat/>
    <w:uiPriority w:val="0"/>
    <w:pPr>
      <w:spacing w:after="120"/>
    </w:pPr>
    <w:rPr>
      <w:rFonts w:ascii="汉仪正圆-45W" w:hAnsi="汉仪正圆-45W" w:eastAsia="汉仪正圆-45W"/>
      <w:sz w:val="16"/>
      <w:szCs w:val="16"/>
    </w:rPr>
  </w:style>
  <w:style w:type="paragraph" w:styleId="35">
    <w:name w:val="Closing"/>
    <w:basedOn w:val="1"/>
    <w:link w:val="120"/>
    <w:qFormat/>
    <w:uiPriority w:val="0"/>
    <w:pPr>
      <w:ind w:left="100" w:leftChars="2100"/>
    </w:pPr>
    <w:rPr>
      <w:rFonts w:ascii="汉仪正圆-45W" w:hAnsi="汉仪正圆-45W" w:eastAsia="汉仪正圆-45W"/>
      <w:sz w:val="22"/>
      <w:szCs w:val="22"/>
    </w:rPr>
  </w:style>
  <w:style w:type="paragraph" w:styleId="36">
    <w:name w:val="List Bullet 3"/>
    <w:basedOn w:val="1"/>
    <w:qFormat/>
    <w:uiPriority w:val="0"/>
    <w:pPr>
      <w:numPr>
        <w:ilvl w:val="0"/>
        <w:numId w:val="5"/>
      </w:numPr>
      <w:tabs>
        <w:tab w:val="clear" w:pos="420"/>
      </w:tabs>
      <w:spacing w:before="50" w:after="50"/>
      <w:ind w:left="964" w:hanging="340"/>
    </w:pPr>
  </w:style>
  <w:style w:type="paragraph" w:styleId="37">
    <w:name w:val="Body Text Indent"/>
    <w:basedOn w:val="1"/>
    <w:link w:val="136"/>
    <w:qFormat/>
    <w:uiPriority w:val="0"/>
    <w:pPr>
      <w:spacing w:after="120"/>
      <w:ind w:left="420" w:leftChars="200"/>
    </w:pPr>
    <w:rPr>
      <w:rFonts w:ascii="汉仪正圆-45W" w:hAnsi="汉仪正圆-45W" w:eastAsia="汉仪正圆-45W"/>
      <w:sz w:val="22"/>
      <w:szCs w:val="22"/>
    </w:rPr>
  </w:style>
  <w:style w:type="paragraph" w:styleId="38">
    <w:name w:val="List Number 3"/>
    <w:basedOn w:val="1"/>
    <w:qFormat/>
    <w:uiPriority w:val="0"/>
    <w:pPr>
      <w:numPr>
        <w:ilvl w:val="2"/>
        <w:numId w:val="2"/>
      </w:numPr>
      <w:spacing w:before="50" w:after="50"/>
    </w:pPr>
  </w:style>
  <w:style w:type="paragraph" w:styleId="39">
    <w:name w:val="List 2"/>
    <w:basedOn w:val="1"/>
    <w:qFormat/>
    <w:uiPriority w:val="0"/>
    <w:pPr>
      <w:ind w:left="100" w:leftChars="200" w:hanging="200" w:hangingChars="200"/>
      <w:contextualSpacing/>
    </w:pPr>
  </w:style>
  <w:style w:type="paragraph" w:styleId="40">
    <w:name w:val="List Continue"/>
    <w:basedOn w:val="1"/>
    <w:qFormat/>
    <w:uiPriority w:val="0"/>
    <w:pPr>
      <w:spacing w:after="120"/>
      <w:ind w:left="420" w:leftChars="200"/>
      <w:contextualSpacing/>
    </w:pPr>
  </w:style>
  <w:style w:type="paragraph" w:styleId="41">
    <w:name w:val="Block Text"/>
    <w:basedOn w:val="1"/>
    <w:qFormat/>
    <w:uiPriority w:val="0"/>
    <w:pPr>
      <w:spacing w:after="120"/>
      <w:ind w:left="1440" w:leftChars="700" w:right="1440" w:rightChars="700"/>
    </w:pPr>
  </w:style>
  <w:style w:type="paragraph" w:styleId="42">
    <w:name w:val="List Bullet 2"/>
    <w:basedOn w:val="1"/>
    <w:link w:val="112"/>
    <w:qFormat/>
    <w:uiPriority w:val="0"/>
    <w:pPr>
      <w:numPr>
        <w:ilvl w:val="0"/>
        <w:numId w:val="6"/>
      </w:numPr>
      <w:tabs>
        <w:tab w:val="clear" w:pos="0"/>
      </w:tabs>
      <w:spacing w:before="50" w:after="50"/>
      <w:ind w:left="646" w:hanging="227"/>
    </w:pPr>
  </w:style>
  <w:style w:type="paragraph" w:styleId="43">
    <w:name w:val="HTML Address"/>
    <w:basedOn w:val="1"/>
    <w:link w:val="113"/>
    <w:qFormat/>
    <w:uiPriority w:val="0"/>
    <w:rPr>
      <w:rFonts w:ascii="汉仪正圆-45W" w:hAnsi="汉仪正圆-45W" w:eastAsia="汉仪正圆-45W"/>
      <w:i/>
      <w:iCs/>
      <w:sz w:val="22"/>
      <w:szCs w:val="22"/>
    </w:rPr>
  </w:style>
  <w:style w:type="paragraph" w:styleId="44">
    <w:name w:val="index 4"/>
    <w:basedOn w:val="1"/>
    <w:next w:val="1"/>
    <w:qFormat/>
    <w:uiPriority w:val="0"/>
    <w:pPr>
      <w:ind w:left="600" w:leftChars="600"/>
    </w:pPr>
  </w:style>
  <w:style w:type="paragraph" w:styleId="45">
    <w:name w:val="toc 5"/>
    <w:basedOn w:val="1"/>
    <w:next w:val="1"/>
    <w:qFormat/>
    <w:uiPriority w:val="0"/>
    <w:pPr>
      <w:ind w:left="1680" w:leftChars="800"/>
    </w:pPr>
  </w:style>
  <w:style w:type="paragraph" w:styleId="46">
    <w:name w:val="toc 3"/>
    <w:basedOn w:val="1"/>
    <w:next w:val="1"/>
    <w:qFormat/>
    <w:uiPriority w:val="0"/>
    <w:pPr>
      <w:ind w:left="840" w:leftChars="400"/>
    </w:pPr>
  </w:style>
  <w:style w:type="paragraph" w:styleId="47">
    <w:name w:val="Plain Text"/>
    <w:basedOn w:val="1"/>
    <w:link w:val="117"/>
    <w:qFormat/>
    <w:uiPriority w:val="0"/>
    <w:rPr>
      <w:rFonts w:hAnsi="Courier New" w:cs="Courier New" w:asciiTheme="minorEastAsia" w:eastAsiaTheme="minorEastAsia"/>
      <w:sz w:val="22"/>
      <w:szCs w:val="22"/>
    </w:rPr>
  </w:style>
  <w:style w:type="paragraph" w:styleId="48">
    <w:name w:val="List Bullet 5"/>
    <w:basedOn w:val="1"/>
    <w:qFormat/>
    <w:uiPriority w:val="0"/>
    <w:pPr>
      <w:numPr>
        <w:ilvl w:val="0"/>
        <w:numId w:val="7"/>
      </w:numPr>
      <w:tabs>
        <w:tab w:val="clear" w:pos="420"/>
      </w:tabs>
      <w:spacing w:before="50" w:after="50"/>
      <w:ind w:left="1757" w:hanging="340"/>
    </w:pPr>
  </w:style>
  <w:style w:type="paragraph" w:styleId="49">
    <w:name w:val="List Number 4"/>
    <w:basedOn w:val="1"/>
    <w:qFormat/>
    <w:uiPriority w:val="0"/>
    <w:pPr>
      <w:numPr>
        <w:ilvl w:val="3"/>
        <w:numId w:val="2"/>
      </w:numPr>
      <w:tabs>
        <w:tab w:val="left" w:pos="-420"/>
        <w:tab w:val="left" w:pos="0"/>
        <w:tab w:val="clear" w:pos="420"/>
      </w:tabs>
      <w:spacing w:before="50" w:after="50"/>
    </w:pPr>
  </w:style>
  <w:style w:type="paragraph" w:styleId="50">
    <w:name w:val="toc 8"/>
    <w:basedOn w:val="1"/>
    <w:next w:val="1"/>
    <w:qFormat/>
    <w:uiPriority w:val="0"/>
    <w:pPr>
      <w:ind w:left="2940" w:leftChars="1400"/>
    </w:pPr>
  </w:style>
  <w:style w:type="paragraph" w:styleId="51">
    <w:name w:val="index 3"/>
    <w:basedOn w:val="1"/>
    <w:next w:val="1"/>
    <w:qFormat/>
    <w:uiPriority w:val="0"/>
    <w:pPr>
      <w:ind w:left="400" w:leftChars="400"/>
    </w:pPr>
  </w:style>
  <w:style w:type="paragraph" w:styleId="52">
    <w:name w:val="Date"/>
    <w:basedOn w:val="1"/>
    <w:next w:val="1"/>
    <w:link w:val="125"/>
    <w:qFormat/>
    <w:uiPriority w:val="0"/>
    <w:pPr>
      <w:jc w:val="righ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53">
    <w:name w:val="Body Text Indent 2"/>
    <w:basedOn w:val="1"/>
    <w:link w:val="138"/>
    <w:qFormat/>
    <w:uiPriority w:val="0"/>
    <w:pPr>
      <w:spacing w:after="120" w:line="480" w:lineRule="auto"/>
      <w:ind w:left="420" w:leftChars="200"/>
    </w:pPr>
    <w:rPr>
      <w:rFonts w:ascii="汉仪正圆-45W" w:hAnsi="汉仪正圆-45W" w:eastAsia="汉仪正圆-45W"/>
      <w:sz w:val="22"/>
      <w:szCs w:val="22"/>
    </w:rPr>
  </w:style>
  <w:style w:type="paragraph" w:styleId="54">
    <w:name w:val="endnote text"/>
    <w:basedOn w:val="1"/>
    <w:qFormat/>
    <w:uiPriority w:val="0"/>
    <w:pPr>
      <w:jc w:val="lef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55">
    <w:name w:val="List Continue 5"/>
    <w:basedOn w:val="1"/>
    <w:qFormat/>
    <w:uiPriority w:val="0"/>
    <w:pPr>
      <w:spacing w:after="120"/>
      <w:ind w:left="2100" w:leftChars="1000"/>
      <w:contextualSpacing/>
    </w:pPr>
  </w:style>
  <w:style w:type="paragraph" w:styleId="56">
    <w:name w:val="Balloon Text"/>
    <w:basedOn w:val="1"/>
    <w:link w:val="142"/>
    <w:qFormat/>
    <w:uiPriority w:val="0"/>
    <w:rPr>
      <w:rFonts w:ascii="微软雅黑" w:hAnsi="微软雅黑"/>
      <w:sz w:val="18"/>
      <w:szCs w:val="18"/>
    </w:rPr>
  </w:style>
  <w:style w:type="paragraph" w:styleId="57">
    <w:name w:val="footer"/>
    <w:basedOn w:val="1"/>
    <w:qFormat/>
    <w:uiPriority w:val="0"/>
    <w:pPr>
      <w:tabs>
        <w:tab w:val="center" w:pos="4153"/>
        <w:tab w:val="right" w:pos="8306"/>
      </w:tabs>
      <w:jc w:val="left"/>
    </w:pPr>
    <w:rPr>
      <w:rFonts w:ascii="微软雅黑" w:hAnsi="微软雅黑"/>
      <w:sz w:val="18"/>
      <w:szCs w:val="18"/>
    </w:rPr>
  </w:style>
  <w:style w:type="paragraph" w:styleId="58">
    <w:name w:val="envelope return"/>
    <w:basedOn w:val="1"/>
    <w:qFormat/>
    <w:uiPriority w:val="0"/>
    <w:rPr>
      <w:rFonts w:asciiTheme="majorHAnsi" w:hAnsiTheme="majorHAnsi" w:eastAsiaTheme="majorEastAsia" w:cstheme="majorBidi"/>
    </w:rPr>
  </w:style>
  <w:style w:type="paragraph" w:styleId="59">
    <w:name w:val="Body Text First Indent 2"/>
    <w:basedOn w:val="37"/>
    <w:link w:val="137"/>
    <w:qFormat/>
    <w:uiPriority w:val="0"/>
    <w:pPr>
      <w:ind w:firstLine="420"/>
    </w:pPr>
  </w:style>
  <w:style w:type="paragraph" w:styleId="6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pacing w:line="240" w:lineRule="auto"/>
    </w:pPr>
    <w:rPr>
      <w:rFonts w:ascii="微软雅黑" w:hAnsi="微软雅黑"/>
      <w:sz w:val="18"/>
      <w:szCs w:val="18"/>
    </w:rPr>
  </w:style>
  <w:style w:type="paragraph" w:styleId="61">
    <w:name w:val="Signature"/>
    <w:basedOn w:val="1"/>
    <w:link w:val="124"/>
    <w:qFormat/>
    <w:uiPriority w:val="0"/>
    <w:pPr>
      <w:jc w:val="right"/>
    </w:pPr>
    <w:rPr>
      <w:rFonts w:ascii="微软雅黑" w:hAnsi="微软雅黑"/>
      <w:color w:val="262626" w:themeColor="text1" w:themeTint="D9"/>
      <w:szCs w:val="21"/>
      <w14:textFill>
        <w14:solidFill>
          <w14:schemeClr w14:val="tx1">
            <w14:lumMod w14:val="85000"/>
            <w14:lumOff w14:val="15000"/>
          </w14:schemeClr>
        </w14:solidFill>
      </w14:textFill>
    </w:rPr>
  </w:style>
  <w:style w:type="paragraph" w:styleId="62">
    <w:name w:val="toc 1"/>
    <w:basedOn w:val="1"/>
    <w:next w:val="1"/>
    <w:qFormat/>
    <w:uiPriority w:val="0"/>
  </w:style>
  <w:style w:type="paragraph" w:styleId="63">
    <w:name w:val="List Continue 4"/>
    <w:basedOn w:val="1"/>
    <w:qFormat/>
    <w:uiPriority w:val="0"/>
    <w:pPr>
      <w:spacing w:after="120"/>
      <w:ind w:left="1680" w:leftChars="800"/>
      <w:contextualSpacing/>
    </w:pPr>
  </w:style>
  <w:style w:type="paragraph" w:styleId="64">
    <w:name w:val="toc 4"/>
    <w:basedOn w:val="1"/>
    <w:next w:val="1"/>
    <w:qFormat/>
    <w:uiPriority w:val="0"/>
    <w:pPr>
      <w:ind w:left="1260" w:leftChars="600"/>
    </w:pPr>
  </w:style>
  <w:style w:type="paragraph" w:styleId="65">
    <w:name w:val="index heading"/>
    <w:basedOn w:val="1"/>
    <w:next w:val="66"/>
    <w:qFormat/>
    <w:uiPriority w:val="0"/>
    <w:rPr>
      <w:rFonts w:asciiTheme="majorHAnsi" w:hAnsiTheme="majorHAnsi" w:eastAsiaTheme="majorEastAsia" w:cstheme="majorBidi"/>
      <w:b/>
      <w:bCs/>
    </w:rPr>
  </w:style>
  <w:style w:type="paragraph" w:styleId="66">
    <w:name w:val="index 1"/>
    <w:basedOn w:val="1"/>
    <w:next w:val="1"/>
    <w:qFormat/>
    <w:uiPriority w:val="0"/>
  </w:style>
  <w:style w:type="paragraph" w:styleId="67">
    <w:name w:val="Subtitle"/>
    <w:basedOn w:val="1"/>
    <w:next w:val="7"/>
    <w:qFormat/>
    <w:uiPriority w:val="0"/>
    <w:pPr>
      <w:spacing w:after="100" w:afterLines="100" w:line="240" w:lineRule="auto"/>
      <w:jc w:val="center"/>
    </w:pPr>
    <w:rPr>
      <w:rFonts w:ascii="微软雅黑" w:hAnsi="微软雅黑"/>
      <w:b/>
      <w:bCs/>
      <w:kern w:val="28"/>
      <w:sz w:val="36"/>
      <w:szCs w:val="36"/>
    </w:rPr>
  </w:style>
  <w:style w:type="paragraph" w:styleId="68">
    <w:name w:val="List Number 5"/>
    <w:basedOn w:val="1"/>
    <w:qFormat/>
    <w:uiPriority w:val="0"/>
    <w:pPr>
      <w:numPr>
        <w:ilvl w:val="4"/>
        <w:numId w:val="2"/>
      </w:numPr>
      <w:tabs>
        <w:tab w:val="clear" w:pos="420"/>
      </w:tabs>
      <w:spacing w:before="50" w:after="50"/>
      <w:ind w:left="431" w:hanging="431"/>
    </w:pPr>
  </w:style>
  <w:style w:type="paragraph" w:styleId="69">
    <w:name w:val="List"/>
    <w:basedOn w:val="1"/>
    <w:qFormat/>
    <w:uiPriority w:val="0"/>
    <w:pPr>
      <w:ind w:left="200" w:hanging="200" w:hangingChars="200"/>
      <w:contextualSpacing/>
    </w:pPr>
  </w:style>
  <w:style w:type="paragraph" w:styleId="70">
    <w:name w:val="footnote text"/>
    <w:basedOn w:val="1"/>
    <w:qFormat/>
    <w:uiPriority w:val="0"/>
    <w:pPr>
      <w:jc w:val="left"/>
    </w:pPr>
    <w:rPr>
      <w:rFonts w:ascii="微软雅黑" w:hAnsi="微软雅黑"/>
      <w:sz w:val="24"/>
    </w:rPr>
  </w:style>
  <w:style w:type="paragraph" w:styleId="71">
    <w:name w:val="toc 6"/>
    <w:basedOn w:val="1"/>
    <w:next w:val="1"/>
    <w:qFormat/>
    <w:uiPriority w:val="0"/>
    <w:pPr>
      <w:ind w:left="2100" w:leftChars="1000"/>
    </w:pPr>
  </w:style>
  <w:style w:type="paragraph" w:styleId="72">
    <w:name w:val="List 5"/>
    <w:basedOn w:val="1"/>
    <w:qFormat/>
    <w:uiPriority w:val="0"/>
    <w:pPr>
      <w:ind w:left="100" w:leftChars="800" w:hanging="200" w:hangingChars="200"/>
      <w:contextualSpacing/>
    </w:pPr>
  </w:style>
  <w:style w:type="paragraph" w:styleId="73">
    <w:name w:val="Body Text Indent 3"/>
    <w:basedOn w:val="1"/>
    <w:link w:val="139"/>
    <w:qFormat/>
    <w:uiPriority w:val="0"/>
    <w:pPr>
      <w:spacing w:after="120"/>
      <w:ind w:left="420" w:leftChars="200"/>
    </w:pPr>
    <w:rPr>
      <w:rFonts w:ascii="汉仪正圆-45W" w:hAnsi="汉仪正圆-45W" w:eastAsia="汉仪正圆-45W"/>
      <w:sz w:val="16"/>
      <w:szCs w:val="16"/>
    </w:rPr>
  </w:style>
  <w:style w:type="paragraph" w:styleId="74">
    <w:name w:val="index 7"/>
    <w:basedOn w:val="1"/>
    <w:next w:val="1"/>
    <w:qFormat/>
    <w:uiPriority w:val="0"/>
    <w:pPr>
      <w:ind w:left="1200" w:leftChars="1200"/>
    </w:pPr>
  </w:style>
  <w:style w:type="paragraph" w:styleId="75">
    <w:name w:val="index 9"/>
    <w:basedOn w:val="1"/>
    <w:next w:val="1"/>
    <w:qFormat/>
    <w:uiPriority w:val="0"/>
    <w:pPr>
      <w:ind w:left="1600" w:leftChars="1600"/>
    </w:pPr>
  </w:style>
  <w:style w:type="paragraph" w:styleId="76">
    <w:name w:val="table of figures"/>
    <w:basedOn w:val="1"/>
    <w:next w:val="1"/>
    <w:qFormat/>
    <w:uiPriority w:val="0"/>
    <w:pPr>
      <w:ind w:left="200" w:leftChars="200" w:hanging="200" w:hangingChars="200"/>
    </w:pPr>
  </w:style>
  <w:style w:type="paragraph" w:styleId="77">
    <w:name w:val="toc 2"/>
    <w:basedOn w:val="1"/>
    <w:next w:val="1"/>
    <w:qFormat/>
    <w:uiPriority w:val="0"/>
    <w:pPr>
      <w:ind w:left="440" w:leftChars="200"/>
    </w:pPr>
  </w:style>
  <w:style w:type="paragraph" w:styleId="78">
    <w:name w:val="toc 9"/>
    <w:basedOn w:val="1"/>
    <w:next w:val="1"/>
    <w:qFormat/>
    <w:uiPriority w:val="0"/>
    <w:pPr>
      <w:ind w:left="3360" w:leftChars="1600"/>
    </w:pPr>
  </w:style>
  <w:style w:type="paragraph" w:styleId="79">
    <w:name w:val="Body Text 2"/>
    <w:basedOn w:val="1"/>
    <w:link w:val="132"/>
    <w:qFormat/>
    <w:uiPriority w:val="0"/>
    <w:pPr>
      <w:spacing w:after="120" w:line="480" w:lineRule="auto"/>
    </w:pPr>
    <w:rPr>
      <w:rFonts w:ascii="汉仪正圆-45W" w:hAnsi="汉仪正圆-45W" w:eastAsia="汉仪正圆-45W"/>
      <w:sz w:val="22"/>
      <w:szCs w:val="22"/>
    </w:rPr>
  </w:style>
  <w:style w:type="paragraph" w:styleId="80">
    <w:name w:val="List 4"/>
    <w:basedOn w:val="1"/>
    <w:qFormat/>
    <w:uiPriority w:val="0"/>
    <w:pPr>
      <w:ind w:left="100" w:leftChars="600" w:hanging="200" w:hangingChars="200"/>
      <w:contextualSpacing/>
    </w:pPr>
  </w:style>
  <w:style w:type="paragraph" w:styleId="81">
    <w:name w:val="List Continue 2"/>
    <w:basedOn w:val="1"/>
    <w:qFormat/>
    <w:uiPriority w:val="0"/>
    <w:pPr>
      <w:spacing w:after="120"/>
      <w:ind w:left="840" w:leftChars="400"/>
      <w:contextualSpacing/>
    </w:pPr>
  </w:style>
  <w:style w:type="paragraph" w:styleId="82">
    <w:name w:val="Message Header"/>
    <w:basedOn w:val="1"/>
    <w:link w:val="129"/>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Theme="majorHAnsi" w:hAnsiTheme="majorHAnsi" w:eastAsiaTheme="majorEastAsia" w:cstheme="majorBidi"/>
      <w:sz w:val="24"/>
      <w:shd w:val="pct20" w:color="auto" w:fill="auto"/>
    </w:rPr>
  </w:style>
  <w:style w:type="paragraph" w:styleId="83">
    <w:name w:val="HTML Preformatted"/>
    <w:basedOn w:val="1"/>
    <w:link w:val="114"/>
    <w:qFormat/>
    <w:uiPriority w:val="0"/>
    <w:rPr>
      <w:rFonts w:ascii="Courier New" w:hAnsi="Courier New" w:eastAsia="汉仪正圆-45W" w:cs="Courier New"/>
    </w:rPr>
  </w:style>
  <w:style w:type="paragraph" w:styleId="84">
    <w:name w:val="Normal (Web)"/>
    <w:basedOn w:val="1"/>
    <w:qFormat/>
    <w:uiPriority w:val="0"/>
    <w:rPr>
      <w:rFonts w:ascii="微软雅黑" w:hAnsi="微软雅黑"/>
      <w:sz w:val="24"/>
    </w:rPr>
  </w:style>
  <w:style w:type="paragraph" w:styleId="85">
    <w:name w:val="List Continue 3"/>
    <w:basedOn w:val="1"/>
    <w:qFormat/>
    <w:uiPriority w:val="0"/>
    <w:pPr>
      <w:spacing w:after="120"/>
      <w:ind w:left="1260" w:leftChars="600"/>
      <w:contextualSpacing/>
    </w:pPr>
  </w:style>
  <w:style w:type="paragraph" w:styleId="86">
    <w:name w:val="index 2"/>
    <w:basedOn w:val="1"/>
    <w:next w:val="1"/>
    <w:qFormat/>
    <w:uiPriority w:val="0"/>
    <w:pPr>
      <w:ind w:left="200" w:leftChars="200"/>
    </w:pPr>
  </w:style>
  <w:style w:type="paragraph" w:styleId="87">
    <w:name w:val="Title"/>
    <w:basedOn w:val="1"/>
    <w:qFormat/>
    <w:uiPriority w:val="10"/>
    <w:pPr>
      <w:spacing w:after="100" w:afterLines="100"/>
      <w:jc w:val="center"/>
    </w:pPr>
    <w:rPr>
      <w:rFonts w:ascii="微软雅黑" w:hAnsi="微软雅黑"/>
      <w:b/>
      <w:bCs/>
      <w:sz w:val="48"/>
      <w:szCs w:val="48"/>
    </w:rPr>
  </w:style>
  <w:style w:type="character" w:styleId="89">
    <w:name w:val="Strong"/>
    <w:basedOn w:val="88"/>
    <w:qFormat/>
    <w:uiPriority w:val="22"/>
    <w:rPr>
      <w:rFonts w:ascii="微软雅黑" w:hAnsi="微软雅黑" w:eastAsia="微软雅黑"/>
      <w:b/>
      <w:color w:val="auto"/>
      <w:u w:val="single"/>
    </w:rPr>
  </w:style>
  <w:style w:type="character" w:styleId="90">
    <w:name w:val="endnote reference"/>
    <w:basedOn w:val="88"/>
    <w:qFormat/>
    <w:uiPriority w:val="0"/>
    <w:rPr>
      <w:rFonts w:ascii="微软雅黑" w:hAnsi="微软雅黑" w:eastAsia="微软雅黑"/>
      <w:color w:val="262626" w:themeColor="text1" w:themeTint="D9"/>
      <w:vertAlign w:val="superscript"/>
      <w14:textFill>
        <w14:solidFill>
          <w14:schemeClr w14:val="tx1">
            <w14:lumMod w14:val="85000"/>
            <w14:lumOff w14:val="15000"/>
          </w14:schemeClr>
        </w14:solidFill>
      </w14:textFill>
    </w:rPr>
  </w:style>
  <w:style w:type="character" w:styleId="91">
    <w:name w:val="page number"/>
    <w:qFormat/>
    <w:uiPriority w:val="0"/>
    <w:rPr>
      <w:rFonts w:ascii="微软雅黑" w:hAnsi="微软雅黑" w:eastAsia="微软雅黑" w:cs="Times New Roman"/>
      <w:color w:val="262626" w:themeColor="text1" w:themeTint="D9"/>
      <w:spacing w:val="-6"/>
      <w:kern w:val="2"/>
      <w:sz w:val="21"/>
      <w:szCs w:val="21"/>
      <w:lang w:val="en-US" w:eastAsia="zh-CN" w:bidi="ar-SA"/>
      <w14:textFill>
        <w14:solidFill>
          <w14:schemeClr w14:val="tx1">
            <w14:lumMod w14:val="85000"/>
            <w14:lumOff w14:val="15000"/>
          </w14:schemeClr>
        </w14:solidFill>
      </w14:textFill>
    </w:rPr>
  </w:style>
  <w:style w:type="character" w:styleId="92">
    <w:name w:val="FollowedHyperlink"/>
    <w:basedOn w:val="88"/>
    <w:qFormat/>
    <w:uiPriority w:val="0"/>
    <w:rPr>
      <w:rFonts w:ascii="微软雅黑" w:hAnsi="微软雅黑" w:eastAsia="微软雅黑" w:cs="Times New Roman"/>
      <w:color w:val="800080"/>
      <w:spacing w:val="-6"/>
      <w:kern w:val="2"/>
      <w:sz w:val="24"/>
      <w:szCs w:val="24"/>
      <w:u w:val="single"/>
      <w:lang w:val="en-US" w:eastAsia="zh-CN" w:bidi="ar-SA"/>
    </w:rPr>
  </w:style>
  <w:style w:type="character" w:styleId="93">
    <w:name w:val="Emphasis"/>
    <w:basedOn w:val="88"/>
    <w:qFormat/>
    <w:uiPriority w:val="20"/>
    <w:rPr>
      <w:rFonts w:ascii="Arial" w:hAnsi="Arial" w:eastAsia="微软雅黑"/>
      <w:b/>
      <w:bCs/>
      <w:i/>
      <w:color w:val="auto"/>
      <w:sz w:val="24"/>
      <w:szCs w:val="22"/>
    </w:rPr>
  </w:style>
  <w:style w:type="character" w:styleId="94">
    <w:name w:val="Hyperlink"/>
    <w:basedOn w:val="88"/>
    <w:qFormat/>
    <w:uiPriority w:val="0"/>
    <w:rPr>
      <w:rFonts w:ascii="微软雅黑" w:hAnsi="微软雅黑" w:eastAsia="微软雅黑" w:cs="Times New Roman"/>
      <w:caps/>
      <w:color w:val="0000FF"/>
      <w:spacing w:val="-6"/>
      <w:kern w:val="2"/>
      <w:sz w:val="24"/>
      <w:szCs w:val="24"/>
      <w:u w:val="single"/>
      <w:lang w:val="en-US" w:eastAsia="zh-CN" w:bidi="ar-SA"/>
    </w:rPr>
  </w:style>
  <w:style w:type="character" w:styleId="95">
    <w:name w:val="annotation reference"/>
    <w:basedOn w:val="88"/>
    <w:qFormat/>
    <w:uiPriority w:val="0"/>
    <w:rPr>
      <w:rFonts w:ascii="微软雅黑" w:hAnsi="微软雅黑" w:eastAsia="微软雅黑"/>
      <w:color w:val="262626" w:themeColor="text1" w:themeTint="D9"/>
      <w:sz w:val="21"/>
      <w:szCs w:val="21"/>
      <w14:textFill>
        <w14:solidFill>
          <w14:schemeClr w14:val="tx1">
            <w14:lumMod w14:val="85000"/>
            <w14:lumOff w14:val="15000"/>
          </w14:schemeClr>
        </w14:solidFill>
      </w14:textFill>
    </w:rPr>
  </w:style>
  <w:style w:type="character" w:styleId="96">
    <w:name w:val="footnote reference"/>
    <w:basedOn w:val="88"/>
    <w:qFormat/>
    <w:uiPriority w:val="0"/>
    <w:rPr>
      <w:rFonts w:ascii="微软雅黑" w:hAnsi="微软雅黑" w:eastAsia="微软雅黑"/>
      <w:color w:val="262626" w:themeColor="text1" w:themeTint="D9"/>
      <w:vertAlign w:val="superscript"/>
      <w14:textFill>
        <w14:solidFill>
          <w14:schemeClr w14:val="tx1">
            <w14:lumMod w14:val="85000"/>
            <w14:lumOff w14:val="15000"/>
          </w14:schemeClr>
        </w14:solidFill>
      </w14:textFill>
    </w:rPr>
  </w:style>
  <w:style w:type="character" w:customStyle="1" w:styleId="98">
    <w:name w:val="标题 2 字符"/>
    <w:link w:val="3"/>
    <w:qFormat/>
    <w:uiPriority w:val="0"/>
    <w:rPr>
      <w:rFonts w:ascii="微软雅黑" w:hAnsi="微软雅黑" w:eastAsia="微软雅黑" w:cstheme="minorBidi"/>
      <w:b/>
      <w:bCs/>
      <w:kern w:val="2"/>
      <w:sz w:val="32"/>
      <w:szCs w:val="32"/>
    </w:rPr>
  </w:style>
  <w:style w:type="paragraph" w:customStyle="1" w:styleId="99">
    <w:name w:val="目录标题"/>
    <w:basedOn w:val="1"/>
    <w:link w:val="100"/>
    <w:qFormat/>
    <w:uiPriority w:val="0"/>
    <w:pPr>
      <w:spacing w:afterLines="0" w:line="240" w:lineRule="auto"/>
      <w:jc w:val="center"/>
    </w:pPr>
    <w:rPr>
      <w:rFonts w:ascii="微软雅黑" w:hAnsi="微软雅黑"/>
      <w:b/>
      <w:sz w:val="28"/>
      <w:szCs w:val="28"/>
    </w:rPr>
  </w:style>
  <w:style w:type="character" w:customStyle="1" w:styleId="100">
    <w:name w:val="目录标题 Char"/>
    <w:link w:val="99"/>
    <w:qFormat/>
    <w:uiPriority w:val="0"/>
    <w:rPr>
      <w:rFonts w:ascii="微软雅黑" w:hAnsi="微软雅黑" w:eastAsia="微软雅黑"/>
      <w:b/>
      <w:sz w:val="28"/>
      <w:szCs w:val="28"/>
    </w:rPr>
  </w:style>
  <w:style w:type="paragraph" w:customStyle="1" w:styleId="101">
    <w:name w:val="题注1"/>
    <w:basedOn w:val="1"/>
    <w:qFormat/>
    <w:uiPriority w:val="0"/>
    <w:pPr>
      <w:jc w:val="center"/>
    </w:pPr>
    <w:rPr>
      <w:rFonts w:hint="eastAsia" w:ascii="微软雅黑" w:hAnsi="微软雅黑"/>
      <w:sz w:val="20"/>
      <w:szCs w:val="20"/>
    </w:rPr>
  </w:style>
  <w:style w:type="paragraph" w:customStyle="1" w:styleId="102">
    <w:name w:val="文档说明标题"/>
    <w:basedOn w:val="1"/>
    <w:next w:val="1"/>
    <w:qFormat/>
    <w:uiPriority w:val="0"/>
    <w:pPr>
      <w:spacing w:after="100" w:afterLines="100" w:line="240" w:lineRule="auto"/>
      <w:jc w:val="center"/>
    </w:pPr>
    <w:rPr>
      <w:rFonts w:ascii="微软雅黑" w:hAnsi="微软雅黑"/>
      <w:b/>
      <w:bCs/>
      <w:sz w:val="48"/>
      <w:szCs w:val="48"/>
      <w:lang w:eastAsia="zh-Hans"/>
    </w:rPr>
  </w:style>
  <w:style w:type="paragraph" w:customStyle="1" w:styleId="103">
    <w:name w:val="章标题"/>
    <w:basedOn w:val="1"/>
    <w:next w:val="1"/>
    <w:qFormat/>
    <w:uiPriority w:val="0"/>
    <w:pPr>
      <w:spacing w:after="100" w:afterLines="100" w:line="240" w:lineRule="auto"/>
      <w:jc w:val="center"/>
      <w:outlineLvl w:val="0"/>
    </w:pPr>
    <w:rPr>
      <w:rFonts w:hint="eastAsia" w:ascii="微软雅黑" w:hAnsi="微软雅黑"/>
      <w:b/>
      <w:bCs/>
      <w:kern w:val="28"/>
      <w:sz w:val="44"/>
      <w:szCs w:val="44"/>
    </w:rPr>
  </w:style>
  <w:style w:type="paragraph" w:customStyle="1" w:styleId="104">
    <w:name w:val="节标题"/>
    <w:basedOn w:val="1"/>
    <w:next w:val="1"/>
    <w:qFormat/>
    <w:uiPriority w:val="0"/>
    <w:pPr>
      <w:spacing w:after="100" w:afterLines="100" w:line="240" w:lineRule="auto"/>
      <w:jc w:val="center"/>
      <w:outlineLvl w:val="0"/>
    </w:pPr>
    <w:rPr>
      <w:rFonts w:hint="eastAsia" w:ascii="微软雅黑" w:hAnsi="微软雅黑"/>
      <w:b/>
      <w:bCs/>
      <w:kern w:val="28"/>
      <w:sz w:val="36"/>
      <w:szCs w:val="36"/>
    </w:rPr>
  </w:style>
  <w:style w:type="paragraph" w:customStyle="1" w:styleId="105">
    <w:name w:val="附录标题"/>
    <w:next w:val="7"/>
    <w:qFormat/>
    <w:uiPriority w:val="0"/>
    <w:pPr>
      <w:tabs>
        <w:tab w:val="left" w:pos="0"/>
      </w:tabs>
      <w:adjustRightInd w:val="0"/>
      <w:snapToGrid w:val="0"/>
      <w:spacing w:after="100" w:afterLines="100"/>
      <w:jc w:val="center"/>
    </w:pPr>
    <w:rPr>
      <w:rFonts w:ascii="微软雅黑" w:hAnsi="微软雅黑" w:eastAsia="微软雅黑" w:cstheme="minorBidi"/>
      <w:b/>
      <w:bCs/>
      <w:kern w:val="28"/>
      <w:sz w:val="44"/>
      <w:szCs w:val="44"/>
      <w:lang w:val="en-US" w:eastAsia="zh-CN" w:bidi="ar-SA"/>
    </w:rPr>
  </w:style>
  <w:style w:type="character" w:customStyle="1" w:styleId="106">
    <w:name w:val="摘要"/>
    <w:basedOn w:val="88"/>
    <w:qFormat/>
    <w:uiPriority w:val="0"/>
    <w:rPr>
      <w:rFonts w:hint="eastAsia" w:ascii="Arial" w:hAnsi="Arial"/>
      <w:b/>
      <w:lang w:val="en-US" w:eastAsia="zh-CN"/>
    </w:rPr>
  </w:style>
  <w:style w:type="character" w:customStyle="1" w:styleId="107">
    <w:name w:val="参考文献条目"/>
    <w:basedOn w:val="88"/>
    <w:qFormat/>
    <w:uiPriority w:val="0"/>
    <w:rPr>
      <w:rFonts w:ascii="宋体" w:hAnsi="宋体" w:eastAsia="宋体" w:cs="Times New Roman"/>
      <w:color w:val="262626" w:themeColor="text1" w:themeTint="D9"/>
      <w:kern w:val="2"/>
      <w:sz w:val="24"/>
      <w:szCs w:val="24"/>
      <w:lang w:val="en-US" w:eastAsia="zh-CN" w:bidi="ar-SA"/>
      <w14:textFill>
        <w14:solidFill>
          <w14:schemeClr w14:val="tx1">
            <w14:lumMod w14:val="85000"/>
            <w14:lumOff w14:val="15000"/>
          </w14:schemeClr>
        </w14:solidFill>
      </w14:textFill>
    </w:rPr>
  </w:style>
  <w:style w:type="character" w:customStyle="1" w:styleId="108">
    <w:name w:val="关键词"/>
    <w:basedOn w:val="88"/>
    <w:qFormat/>
    <w:uiPriority w:val="0"/>
    <w:rPr>
      <w:rFonts w:hint="eastAsia" w:ascii="Arial" w:hAnsi="Arial"/>
      <w:b/>
      <w:lang w:val="en-US" w:eastAsia="zh-CN"/>
    </w:rPr>
  </w:style>
  <w:style w:type="character" w:customStyle="1" w:styleId="109">
    <w:name w:val="着重标题"/>
    <w:basedOn w:val="88"/>
    <w:qFormat/>
    <w:uiPriority w:val="0"/>
    <w:rPr>
      <w:rFonts w:ascii="宋体" w:hAnsi="宋体" w:eastAsia="宋体" w:cs="宋体"/>
      <w:kern w:val="2"/>
      <w:sz w:val="28"/>
      <w:szCs w:val="28"/>
      <w:lang w:val="en-US" w:eastAsia="zh-CN" w:bidi="ar-SA"/>
    </w:rPr>
  </w:style>
  <w:style w:type="character" w:customStyle="1" w:styleId="110">
    <w:name w:val="列表编号 字符"/>
    <w:link w:val="24"/>
    <w:qFormat/>
    <w:uiPriority w:val="0"/>
  </w:style>
  <w:style w:type="character" w:customStyle="1" w:styleId="111">
    <w:name w:val="列表项目符号 字符"/>
    <w:link w:val="28"/>
    <w:qFormat/>
    <w:uiPriority w:val="0"/>
  </w:style>
  <w:style w:type="character" w:customStyle="1" w:styleId="112">
    <w:name w:val="列表项目符号 2 字符"/>
    <w:link w:val="42"/>
    <w:qFormat/>
    <w:uiPriority w:val="0"/>
  </w:style>
  <w:style w:type="character" w:customStyle="1" w:styleId="113">
    <w:name w:val="HTML 地址 字符"/>
    <w:basedOn w:val="88"/>
    <w:link w:val="43"/>
    <w:qFormat/>
    <w:uiPriority w:val="0"/>
    <w:rPr>
      <w:rFonts w:ascii="汉仪正圆-45W" w:hAnsi="汉仪正圆-45W" w:eastAsia="汉仪正圆-45W" w:cstheme="minorBidi"/>
      <w:i/>
      <w:iCs/>
      <w:kern w:val="2"/>
      <w:sz w:val="22"/>
      <w:szCs w:val="22"/>
    </w:rPr>
  </w:style>
  <w:style w:type="character" w:customStyle="1" w:styleId="114">
    <w:name w:val="HTML 预设格式 字符"/>
    <w:basedOn w:val="88"/>
    <w:link w:val="83"/>
    <w:qFormat/>
    <w:uiPriority w:val="0"/>
    <w:rPr>
      <w:rFonts w:ascii="Courier New" w:hAnsi="Courier New" w:eastAsia="汉仪正圆-45W" w:cs="Courier New"/>
      <w:kern w:val="2"/>
    </w:rPr>
  </w:style>
  <w:style w:type="paragraph" w:customStyle="1" w:styleId="115">
    <w:name w:val="TOC 标题1"/>
    <w:basedOn w:val="2"/>
    <w:next w:val="1"/>
    <w:unhideWhenUsed/>
    <w:qFormat/>
    <w:uiPriority w:val="39"/>
    <w:pPr>
      <w:widowControl w:val="0"/>
      <w:numPr>
        <w:numId w:val="0"/>
      </w:numPr>
      <w:tabs>
        <w:tab w:val="clear" w:pos="0"/>
      </w:tabs>
      <w:spacing w:before="340" w:beforeLines="0" w:after="330" w:line="578" w:lineRule="auto"/>
      <w:ind w:firstLine="440" w:firstLineChars="200"/>
      <w:jc w:val="both"/>
      <w:outlineLvl w:val="9"/>
    </w:pPr>
    <w:rPr>
      <w:rFonts w:ascii="汉仪正圆-45W" w:hAnsi="汉仪正圆-45W" w:eastAsia="汉仪正圆-45W"/>
      <w:sz w:val="44"/>
      <w:szCs w:val="44"/>
    </w:rPr>
  </w:style>
  <w:style w:type="character" w:customStyle="1" w:styleId="116">
    <w:name w:val="称呼 字符"/>
    <w:link w:val="33"/>
    <w:qFormat/>
    <w:uiPriority w:val="0"/>
    <w:rPr>
      <w:rFonts w:ascii="微软雅黑" w:hAnsi="微软雅黑"/>
      <w:szCs w:val="21"/>
    </w:rPr>
  </w:style>
  <w:style w:type="character" w:customStyle="1" w:styleId="117">
    <w:name w:val="纯文本 字符"/>
    <w:basedOn w:val="88"/>
    <w:link w:val="47"/>
    <w:qFormat/>
    <w:uiPriority w:val="0"/>
    <w:rPr>
      <w:rFonts w:hAnsi="Courier New" w:cs="Courier New" w:asciiTheme="minorEastAsia" w:eastAsiaTheme="minorEastAsia"/>
      <w:kern w:val="2"/>
      <w:sz w:val="22"/>
      <w:szCs w:val="22"/>
    </w:rPr>
  </w:style>
  <w:style w:type="character" w:customStyle="1" w:styleId="118">
    <w:name w:val="电子邮件签名 字符"/>
    <w:basedOn w:val="88"/>
    <w:link w:val="23"/>
    <w:qFormat/>
    <w:uiPriority w:val="0"/>
    <w:rPr>
      <w:rFonts w:ascii="汉仪正圆-45W" w:hAnsi="汉仪正圆-45W" w:eastAsia="汉仪正圆-45W" w:cstheme="minorBidi"/>
      <w:kern w:val="2"/>
      <w:sz w:val="22"/>
      <w:szCs w:val="22"/>
    </w:rPr>
  </w:style>
  <w:style w:type="character" w:customStyle="1" w:styleId="119">
    <w:name w:val="宏文本 字符"/>
    <w:basedOn w:val="88"/>
    <w:link w:val="19"/>
    <w:qFormat/>
    <w:uiPriority w:val="0"/>
    <w:rPr>
      <w:rFonts w:ascii="Courier New" w:hAnsi="Courier New" w:eastAsia="宋体" w:cs="Courier New"/>
      <w:kern w:val="2"/>
      <w:sz w:val="24"/>
      <w:szCs w:val="24"/>
    </w:rPr>
  </w:style>
  <w:style w:type="character" w:customStyle="1" w:styleId="120">
    <w:name w:val="结束语 字符"/>
    <w:basedOn w:val="88"/>
    <w:link w:val="35"/>
    <w:qFormat/>
    <w:uiPriority w:val="0"/>
    <w:rPr>
      <w:rFonts w:ascii="汉仪正圆-45W" w:hAnsi="汉仪正圆-45W" w:eastAsia="汉仪正圆-45W" w:cstheme="minorBidi"/>
      <w:kern w:val="2"/>
      <w:sz w:val="22"/>
      <w:szCs w:val="22"/>
    </w:rPr>
  </w:style>
  <w:style w:type="paragraph" w:customStyle="1" w:styleId="121">
    <w:name w:val="列表段落1"/>
    <w:basedOn w:val="1"/>
    <w:qFormat/>
    <w:uiPriority w:val="99"/>
    <w:pPr>
      <w:ind w:firstLine="420"/>
    </w:pPr>
  </w:style>
  <w:style w:type="paragraph" w:customStyle="1" w:styleId="122">
    <w:name w:val="明显引用1"/>
    <w:basedOn w:val="1"/>
    <w:next w:val="1"/>
    <w:link w:val="123"/>
    <w:qFormat/>
    <w:uiPriority w:val="99"/>
    <w:pPr>
      <w:pBdr>
        <w:top w:val="single" w:color="4874CB" w:themeColor="accent1" w:sz="4" w:space="10"/>
        <w:bottom w:val="single" w:color="4874CB" w:themeColor="accent1" w:sz="4" w:space="10"/>
      </w:pBdr>
      <w:spacing w:before="360" w:after="360"/>
      <w:ind w:left="864" w:right="864"/>
      <w:jc w:val="center"/>
    </w:pPr>
    <w:rPr>
      <w:rFonts w:ascii="汉仪正圆-45W" w:hAnsi="汉仪正圆-45W" w:eastAsia="汉仪正圆-45W"/>
      <w:i/>
      <w:iCs/>
      <w:color w:val="4874CB" w:themeColor="accent1"/>
      <w:sz w:val="22"/>
      <w:szCs w:val="22"/>
      <w14:textFill>
        <w14:solidFill>
          <w14:schemeClr w14:val="accent1"/>
        </w14:solidFill>
      </w14:textFill>
    </w:rPr>
  </w:style>
  <w:style w:type="character" w:customStyle="1" w:styleId="123">
    <w:name w:val="明显引用 字符"/>
    <w:basedOn w:val="88"/>
    <w:link w:val="122"/>
    <w:qFormat/>
    <w:uiPriority w:val="99"/>
    <w:rPr>
      <w:rFonts w:ascii="汉仪正圆-45W" w:hAnsi="汉仪正圆-45W" w:eastAsia="汉仪正圆-45W" w:cstheme="minorBidi"/>
      <w:i/>
      <w:iCs/>
      <w:color w:val="4874CB" w:themeColor="accent1"/>
      <w:kern w:val="2"/>
      <w:sz w:val="22"/>
      <w:szCs w:val="22"/>
      <w14:textFill>
        <w14:solidFill>
          <w14:schemeClr w14:val="accent1"/>
        </w14:solidFill>
      </w14:textFill>
    </w:rPr>
  </w:style>
  <w:style w:type="character" w:customStyle="1" w:styleId="124">
    <w:name w:val="签名 字符"/>
    <w:link w:val="61"/>
    <w:qFormat/>
    <w:uiPriority w:val="0"/>
    <w:rPr>
      <w:rFonts w:ascii="微软雅黑" w:hAnsi="微软雅黑"/>
      <w:color w:val="262626" w:themeColor="text1" w:themeTint="D9"/>
      <w:szCs w:val="21"/>
      <w14:textFill>
        <w14:solidFill>
          <w14:schemeClr w14:val="tx1">
            <w14:lumMod w14:val="85000"/>
            <w14:lumOff w14:val="15000"/>
          </w14:schemeClr>
        </w14:solidFill>
      </w14:textFill>
    </w:rPr>
  </w:style>
  <w:style w:type="character" w:customStyle="1" w:styleId="125">
    <w:name w:val="日期 字符"/>
    <w:link w:val="52"/>
    <w:qFormat/>
    <w:uiPriority w:val="0"/>
    <w:rPr>
      <w:rFonts w:ascii="微软雅黑" w:hAnsi="微软雅黑"/>
      <w:color w:val="262626" w:themeColor="text1" w:themeTint="D9"/>
      <w:szCs w:val="21"/>
      <w14:textFill>
        <w14:solidFill>
          <w14:schemeClr w14:val="tx1">
            <w14:lumMod w14:val="85000"/>
            <w14:lumOff w14:val="15000"/>
          </w14:schemeClr>
        </w14:solidFill>
      </w14:textFill>
    </w:rPr>
  </w:style>
  <w:style w:type="paragraph" w:customStyle="1" w:styleId="126">
    <w:name w:val="书目1"/>
    <w:basedOn w:val="1"/>
    <w:next w:val="1"/>
    <w:unhideWhenUsed/>
    <w:qFormat/>
    <w:uiPriority w:val="37"/>
  </w:style>
  <w:style w:type="character" w:customStyle="1" w:styleId="127">
    <w:name w:val="文档结构图 字符"/>
    <w:basedOn w:val="88"/>
    <w:link w:val="30"/>
    <w:qFormat/>
    <w:uiPriority w:val="0"/>
    <w:rPr>
      <w:rFonts w:ascii="Microsoft YaHei UI" w:hAnsi="汉仪正圆-45W" w:eastAsia="Microsoft YaHei UI" w:cstheme="minorBidi"/>
      <w:kern w:val="2"/>
      <w:sz w:val="18"/>
      <w:szCs w:val="18"/>
    </w:rPr>
  </w:style>
  <w:style w:type="paragraph" w:customStyle="1" w:styleId="128">
    <w:name w:val="无间隔1"/>
    <w:qFormat/>
    <w:uiPriority w:val="99"/>
    <w:pPr>
      <w:widowControl w:val="0"/>
      <w:adjustRightInd w:val="0"/>
      <w:snapToGrid w:val="0"/>
      <w:ind w:firstLine="440" w:firstLineChars="200"/>
      <w:jc w:val="both"/>
    </w:pPr>
    <w:rPr>
      <w:rFonts w:ascii="汉仪正圆-45W" w:hAnsi="汉仪正圆-45W" w:eastAsia="汉仪正圆-45W" w:cstheme="minorBidi"/>
      <w:kern w:val="2"/>
      <w:sz w:val="22"/>
      <w:szCs w:val="22"/>
      <w:lang w:val="en-US" w:eastAsia="zh-CN" w:bidi="ar-SA"/>
    </w:rPr>
  </w:style>
  <w:style w:type="character" w:customStyle="1" w:styleId="129">
    <w:name w:val="信息标题 字符"/>
    <w:basedOn w:val="88"/>
    <w:link w:val="82"/>
    <w:qFormat/>
    <w:uiPriority w:val="0"/>
    <w:rPr>
      <w:rFonts w:asciiTheme="majorHAnsi" w:hAnsiTheme="majorHAnsi" w:eastAsiaTheme="majorEastAsia" w:cstheme="majorBidi"/>
      <w:kern w:val="2"/>
      <w:sz w:val="24"/>
      <w:szCs w:val="24"/>
      <w:shd w:val="pct20" w:color="auto" w:fill="auto"/>
    </w:rPr>
  </w:style>
  <w:style w:type="paragraph" w:customStyle="1" w:styleId="130">
    <w:name w:val="引用1"/>
    <w:basedOn w:val="1"/>
    <w:next w:val="1"/>
    <w:link w:val="131"/>
    <w:qFormat/>
    <w:uiPriority w:val="99"/>
    <w:pPr>
      <w:spacing w:before="200" w:after="160"/>
      <w:ind w:left="864" w:right="864"/>
      <w:jc w:val="center"/>
    </w:pPr>
    <w:rPr>
      <w:rFonts w:ascii="汉仪正圆-45W" w:hAnsi="汉仪正圆-45W" w:eastAsia="汉仪正圆-45W"/>
      <w:i/>
      <w:iCs/>
      <w:color w:val="404040" w:themeColor="text1" w:themeTint="BF"/>
      <w:sz w:val="22"/>
      <w:szCs w:val="22"/>
      <w14:textFill>
        <w14:solidFill>
          <w14:schemeClr w14:val="tx1">
            <w14:lumMod w14:val="75000"/>
            <w14:lumOff w14:val="25000"/>
          </w14:schemeClr>
        </w14:solidFill>
      </w14:textFill>
    </w:rPr>
  </w:style>
  <w:style w:type="character" w:customStyle="1" w:styleId="131">
    <w:name w:val="引用 字符"/>
    <w:basedOn w:val="88"/>
    <w:link w:val="130"/>
    <w:qFormat/>
    <w:uiPriority w:val="99"/>
    <w:rPr>
      <w:rFonts w:ascii="汉仪正圆-45W" w:hAnsi="汉仪正圆-45W" w:eastAsia="汉仪正圆-45W" w:cstheme="minorBidi"/>
      <w:i/>
      <w:iCs/>
      <w:color w:val="404040" w:themeColor="text1" w:themeTint="BF"/>
      <w:kern w:val="2"/>
      <w:sz w:val="22"/>
      <w:szCs w:val="22"/>
      <w14:textFill>
        <w14:solidFill>
          <w14:schemeClr w14:val="tx1">
            <w14:lumMod w14:val="75000"/>
            <w14:lumOff w14:val="25000"/>
          </w14:schemeClr>
        </w14:solidFill>
      </w14:textFill>
    </w:rPr>
  </w:style>
  <w:style w:type="character" w:customStyle="1" w:styleId="132">
    <w:name w:val="正文文本 2 字符"/>
    <w:basedOn w:val="88"/>
    <w:link w:val="79"/>
    <w:qFormat/>
    <w:uiPriority w:val="0"/>
    <w:rPr>
      <w:rFonts w:ascii="汉仪正圆-45W" w:hAnsi="汉仪正圆-45W" w:eastAsia="汉仪正圆-45W" w:cstheme="minorBidi"/>
      <w:kern w:val="2"/>
      <w:sz w:val="22"/>
      <w:szCs w:val="22"/>
    </w:rPr>
  </w:style>
  <w:style w:type="character" w:customStyle="1" w:styleId="133">
    <w:name w:val="正文文本 3 字符"/>
    <w:basedOn w:val="88"/>
    <w:link w:val="34"/>
    <w:qFormat/>
    <w:uiPriority w:val="0"/>
    <w:rPr>
      <w:rFonts w:ascii="汉仪正圆-45W" w:hAnsi="汉仪正圆-45W" w:eastAsia="汉仪正圆-45W" w:cstheme="minorBidi"/>
      <w:kern w:val="2"/>
      <w:sz w:val="16"/>
      <w:szCs w:val="16"/>
    </w:rPr>
  </w:style>
  <w:style w:type="character" w:customStyle="1" w:styleId="134">
    <w:name w:val="正文文本 字符"/>
    <w:link w:val="7"/>
    <w:qFormat/>
    <w:uiPriority w:val="0"/>
    <w:rPr>
      <w:rFonts w:ascii="微软雅黑" w:hAnsi="微软雅黑"/>
      <w:szCs w:val="21"/>
    </w:rPr>
  </w:style>
  <w:style w:type="character" w:customStyle="1" w:styleId="135">
    <w:name w:val="正文文本首行缩进 字符"/>
    <w:basedOn w:val="134"/>
    <w:link w:val="16"/>
    <w:qFormat/>
    <w:uiPriority w:val="0"/>
    <w:rPr>
      <w:rFonts w:ascii="汉仪正圆-45W" w:hAnsi="汉仪正圆-45W" w:eastAsia="汉仪正圆-45W" w:cstheme="minorBidi"/>
      <w:kern w:val="2"/>
      <w:sz w:val="22"/>
      <w:szCs w:val="22"/>
    </w:rPr>
  </w:style>
  <w:style w:type="character" w:customStyle="1" w:styleId="136">
    <w:name w:val="正文文本缩进 字符"/>
    <w:basedOn w:val="88"/>
    <w:link w:val="37"/>
    <w:qFormat/>
    <w:uiPriority w:val="0"/>
    <w:rPr>
      <w:rFonts w:ascii="汉仪正圆-45W" w:hAnsi="汉仪正圆-45W" w:eastAsia="汉仪正圆-45W" w:cstheme="minorBidi"/>
      <w:kern w:val="2"/>
      <w:sz w:val="22"/>
      <w:szCs w:val="22"/>
    </w:rPr>
  </w:style>
  <w:style w:type="character" w:customStyle="1" w:styleId="137">
    <w:name w:val="正文文本首行缩进 2 字符"/>
    <w:basedOn w:val="136"/>
    <w:link w:val="59"/>
    <w:qFormat/>
    <w:uiPriority w:val="0"/>
    <w:rPr>
      <w:rFonts w:ascii="汉仪正圆-45W" w:hAnsi="汉仪正圆-45W" w:eastAsia="汉仪正圆-45W" w:cstheme="minorBidi"/>
      <w:kern w:val="2"/>
      <w:sz w:val="22"/>
      <w:szCs w:val="22"/>
    </w:rPr>
  </w:style>
  <w:style w:type="character" w:customStyle="1" w:styleId="138">
    <w:name w:val="正文文本缩进 2 字符"/>
    <w:basedOn w:val="88"/>
    <w:link w:val="53"/>
    <w:qFormat/>
    <w:uiPriority w:val="0"/>
    <w:rPr>
      <w:rFonts w:ascii="汉仪正圆-45W" w:hAnsi="汉仪正圆-45W" w:eastAsia="汉仪正圆-45W" w:cstheme="minorBidi"/>
      <w:kern w:val="2"/>
      <w:sz w:val="22"/>
      <w:szCs w:val="22"/>
    </w:rPr>
  </w:style>
  <w:style w:type="character" w:customStyle="1" w:styleId="139">
    <w:name w:val="正文文本缩进 3 字符"/>
    <w:basedOn w:val="88"/>
    <w:link w:val="73"/>
    <w:qFormat/>
    <w:uiPriority w:val="0"/>
    <w:rPr>
      <w:rFonts w:ascii="汉仪正圆-45W" w:hAnsi="汉仪正圆-45W" w:eastAsia="汉仪正圆-45W" w:cstheme="minorBidi"/>
      <w:kern w:val="2"/>
      <w:sz w:val="16"/>
      <w:szCs w:val="16"/>
    </w:rPr>
  </w:style>
  <w:style w:type="character" w:customStyle="1" w:styleId="140">
    <w:name w:val="注释标题 字符"/>
    <w:basedOn w:val="88"/>
    <w:link w:val="20"/>
    <w:qFormat/>
    <w:uiPriority w:val="0"/>
    <w:rPr>
      <w:rFonts w:ascii="汉仪正圆-45W" w:hAnsi="汉仪正圆-45W" w:eastAsia="汉仪正圆-45W" w:cstheme="minorBidi"/>
      <w:kern w:val="2"/>
      <w:sz w:val="22"/>
      <w:szCs w:val="22"/>
    </w:rPr>
  </w:style>
  <w:style w:type="paragraph" w:customStyle="1" w:styleId="141">
    <w:name w:val="主送对象"/>
    <w:next w:val="7"/>
    <w:qFormat/>
    <w:uiPriority w:val="0"/>
    <w:pPr>
      <w:adjustRightInd w:val="0"/>
      <w:snapToGrid w:val="0"/>
      <w:spacing w:line="288" w:lineRule="auto"/>
    </w:pPr>
    <w:rPr>
      <w:rFonts w:ascii="微软雅黑" w:hAnsi="微软雅黑" w:eastAsia="微软雅黑" w:cs="Times New Roman"/>
      <w:color w:val="262626" w:themeColor="text1" w:themeTint="D9"/>
      <w:sz w:val="24"/>
      <w:szCs w:val="24"/>
      <w:lang w:val="en-US" w:eastAsia="zh-CN" w:bidi="ar-SA"/>
      <w14:textFill>
        <w14:solidFill>
          <w14:schemeClr w14:val="tx1">
            <w14:lumMod w14:val="85000"/>
            <w14:lumOff w14:val="15000"/>
          </w14:schemeClr>
        </w14:solidFill>
      </w14:textFill>
    </w:rPr>
  </w:style>
  <w:style w:type="character" w:customStyle="1" w:styleId="142">
    <w:name w:val="批注框文本 字符"/>
    <w:link w:val="56"/>
    <w:qFormat/>
    <w:uiPriority w:val="0"/>
    <w:rPr>
      <w:rFonts w:ascii="微软雅黑" w:hAnsi="微软雅黑"/>
      <w:sz w:val="18"/>
      <w:szCs w:val="18"/>
    </w:rPr>
  </w:style>
  <w:style w:type="paragraph" w:customStyle="1" w:styleId="143">
    <w:name w:val="致谢标题"/>
    <w:qFormat/>
    <w:uiPriority w:val="0"/>
    <w:pPr>
      <w:adjustRightInd w:val="0"/>
      <w:snapToGrid w:val="0"/>
      <w:spacing w:after="100" w:afterLines="100"/>
      <w:jc w:val="center"/>
      <w:outlineLvl w:val="0"/>
    </w:pPr>
    <w:rPr>
      <w:rFonts w:ascii="微软雅黑" w:hAnsi="微软雅黑" w:eastAsia="微软雅黑" w:cstheme="minorBidi"/>
      <w:b/>
      <w:bCs/>
      <w:kern w:val="28"/>
      <w:sz w:val="44"/>
      <w:szCs w:val="44"/>
      <w:lang w:val="en-US" w:eastAsia="zh-CN" w:bidi="ar-SA"/>
    </w:rPr>
  </w:style>
  <w:style w:type="paragraph" w:customStyle="1" w:styleId="144">
    <w:name w:val="声明标题"/>
    <w:next w:val="7"/>
    <w:qFormat/>
    <w:uiPriority w:val="0"/>
    <w:pPr>
      <w:adjustRightInd w:val="0"/>
      <w:snapToGrid w:val="0"/>
      <w:spacing w:after="100" w:afterLines="100"/>
      <w:jc w:val="center"/>
    </w:pPr>
    <w:rPr>
      <w:rFonts w:ascii="微软雅黑" w:hAnsi="微软雅黑" w:eastAsia="微软雅黑" w:cstheme="minorBidi"/>
      <w:b/>
      <w:bCs/>
      <w:kern w:val="28"/>
      <w:sz w:val="44"/>
      <w:szCs w:val="44"/>
      <w:lang w:val="en-US" w:eastAsia="zh-CN" w:bidi="ar-SA"/>
    </w:rPr>
  </w:style>
  <w:style w:type="paragraph" w:customStyle="1" w:styleId="145">
    <w:name w:val="参考文献标题"/>
    <w:link w:val="146"/>
    <w:qFormat/>
    <w:uiPriority w:val="0"/>
    <w:pPr>
      <w:adjustRightInd w:val="0"/>
      <w:snapToGrid w:val="0"/>
      <w:spacing w:after="100" w:afterLines="100"/>
      <w:jc w:val="center"/>
    </w:pPr>
    <w:rPr>
      <w:rFonts w:ascii="微软雅黑" w:hAnsi="微软雅黑" w:eastAsia="微软雅黑" w:cstheme="minorBidi"/>
      <w:b/>
      <w:bCs/>
      <w:sz w:val="44"/>
      <w:szCs w:val="44"/>
      <w:lang w:val="en-US" w:eastAsia="zh-CN" w:bidi="ar-SA"/>
    </w:rPr>
  </w:style>
  <w:style w:type="character" w:customStyle="1" w:styleId="146">
    <w:name w:val="参考文献标题 Char"/>
    <w:link w:val="145"/>
    <w:qFormat/>
    <w:uiPriority w:val="0"/>
    <w:rPr>
      <w:rFonts w:ascii="微软雅黑" w:hAnsi="微软雅黑" w:eastAsia="微软雅黑" w:cstheme="minorBidi"/>
      <w:b/>
      <w:bCs/>
      <w:sz w:val="44"/>
      <w:szCs w:val="44"/>
      <w:lang w:val="en-US" w:eastAsia="zh-CN"/>
    </w:rPr>
  </w:style>
  <w:style w:type="paragraph" w:customStyle="1" w:styleId="147">
    <w:name w:val="Revision"/>
    <w:hidden/>
    <w:unhideWhenUsed/>
    <w:qFormat/>
    <w:uiPriority w:val="99"/>
    <w:rPr>
      <w:rFonts w:eastAsia="微软雅黑" w:asciiTheme="minorHAnsi" w:hAnsiTheme="minorHAnsi"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7564</Words>
  <Characters>7740</Characters>
  <Lines>58</Lines>
  <Paragraphs>16</Paragraphs>
  <TotalTime>0</TotalTime>
  <ScaleCrop>false</ScaleCrop>
  <LinksUpToDate>false</LinksUpToDate>
  <CharactersWithSpaces>7777</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2024-12-12T12:05:00Z</dcterms:created>
  <dc:creator>52175</dc:creator>
  <cp:lastModifiedBy>陈祥华</cp:lastModifiedBy>
  <dcterms:modified xsi:type="dcterms:W3CDTF">2025-10-20T08:13:05Z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A91D8C9FE87E44A4BCA4B89BF950531C_13</vt:lpwstr>
  </property>
  <property fmtid="{D5CDD505-2E9C-101B-9397-08002B2CF9AE}" pid="4" name="KSOTemplateDocerSaveRecord">
    <vt:lpwstr>eyJoZGlkIjoiOWRiNWE4ZTU5MDU3MzMzY2FhNGM4NmQ4NTNjNDU4NjAiLCJ1c2VySWQiOiIyMTQ1OTcwNjYifQ==</vt:lpwstr>
  </property>
</Properties>
</file>