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33132">
      <w:pPr>
        <w:jc w:val="center"/>
        <w:rPr>
          <w:rFonts w:hint="default" w:eastAsia="宋体"/>
          <w:sz w:val="44"/>
          <w:szCs w:val="44"/>
          <w:lang w:val="en-US" w:eastAsia="zh-CN"/>
        </w:rPr>
      </w:pPr>
      <w:r>
        <w:rPr>
          <w:rFonts w:hint="eastAsia" w:eastAsia="宋体" w:cs="Times New Roman"/>
          <w:sz w:val="44"/>
          <w:szCs w:val="44"/>
          <w:lang w:val="en-US" w:eastAsia="zh-CN"/>
        </w:rPr>
        <w:t>武汉市第一医院机房搬迁</w:t>
      </w:r>
      <w:r>
        <w:rPr>
          <w:rFonts w:hint="eastAsia" w:cs="Times New Roman"/>
          <w:sz w:val="44"/>
          <w:szCs w:val="44"/>
          <w:lang w:val="en-US" w:eastAsia="zh-CN"/>
        </w:rPr>
        <w:t>服务</w:t>
      </w:r>
      <w:r>
        <w:rPr>
          <w:rFonts w:hint="eastAsia" w:eastAsia="宋体" w:cs="Times New Roman"/>
          <w:sz w:val="44"/>
          <w:szCs w:val="44"/>
          <w:lang w:val="en-US" w:eastAsia="zh-CN"/>
        </w:rPr>
        <w:t>项目</w:t>
      </w:r>
    </w:p>
    <w:p w14:paraId="2F0FB7A7">
      <w:pPr>
        <w:pStyle w:val="11"/>
        <w:ind w:firstLine="0" w:firstLineChars="0"/>
        <w:rPr>
          <w:rFonts w:ascii="仿宋" w:hAnsi="仿宋" w:eastAsia="仿宋" w:cs="Arial"/>
          <w:b/>
          <w:szCs w:val="24"/>
        </w:rPr>
      </w:pPr>
      <w:bookmarkStart w:id="0" w:name="_Toc61945833"/>
    </w:p>
    <w:p w14:paraId="2D4ABA57">
      <w:pPr>
        <w:pStyle w:val="3"/>
        <w:numPr>
          <w:ilvl w:val="0"/>
          <w:numId w:val="1"/>
        </w:numPr>
        <w:tabs>
          <w:tab w:val="left" w:pos="360"/>
        </w:tabs>
        <w:spacing w:before="0" w:after="0" w:line="360" w:lineRule="auto"/>
        <w:ind w:left="616" w:hanging="616"/>
        <w:jc w:val="left"/>
        <w:rPr>
          <w:rFonts w:ascii="仿宋" w:hAnsi="仿宋" w:eastAsia="仿宋" w:cs="Times New Roman"/>
          <w:bCs w:val="0"/>
          <w:color w:val="auto"/>
          <w:lang w:val="zh-CN"/>
        </w:rPr>
      </w:pPr>
      <w:bookmarkStart w:id="1" w:name="_Toc48289582"/>
      <w:r>
        <w:rPr>
          <w:rFonts w:hint="eastAsia" w:ascii="仿宋" w:hAnsi="仿宋" w:eastAsia="仿宋" w:cs="Times New Roman"/>
          <w:bCs w:val="0"/>
          <w:color w:val="auto"/>
          <w:lang w:val="zh-CN"/>
        </w:rPr>
        <w:t>采购内容</w:t>
      </w:r>
      <w:bookmarkEnd w:id="1"/>
    </w:p>
    <w:tbl>
      <w:tblPr>
        <w:tblStyle w:val="8"/>
        <w:tblW w:w="4997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"/>
        <w:gridCol w:w="1155"/>
        <w:gridCol w:w="741"/>
        <w:gridCol w:w="608"/>
        <w:gridCol w:w="1179"/>
        <w:gridCol w:w="3914"/>
      </w:tblGrid>
      <w:tr w14:paraId="2B2841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D9C3"/>
            <w:noWrap w:val="0"/>
            <w:vAlign w:val="center"/>
          </w:tcPr>
          <w:p w14:paraId="56A8346F">
            <w:pPr>
              <w:spacing w:line="360" w:lineRule="auto"/>
              <w:ind w:left="-48" w:leftChars="-23" w:right="-48" w:rightChars="-23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序号</w:t>
            </w:r>
          </w:p>
        </w:tc>
        <w:tc>
          <w:tcPr>
            <w:tcW w:w="67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noWrap w:val="0"/>
            <w:vAlign w:val="center"/>
          </w:tcPr>
          <w:p w14:paraId="177FA644">
            <w:pPr>
              <w:spacing w:line="360" w:lineRule="auto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名称</w:t>
            </w:r>
          </w:p>
        </w:tc>
        <w:tc>
          <w:tcPr>
            <w:tcW w:w="4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noWrap w:val="0"/>
            <w:vAlign w:val="center"/>
          </w:tcPr>
          <w:p w14:paraId="76883331">
            <w:pPr>
              <w:spacing w:line="360" w:lineRule="auto"/>
              <w:ind w:left="-48" w:leftChars="-23" w:right="-48" w:rightChars="-23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数量</w:t>
            </w:r>
          </w:p>
        </w:tc>
        <w:tc>
          <w:tcPr>
            <w:tcW w:w="35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noWrap w:val="0"/>
            <w:vAlign w:val="center"/>
          </w:tcPr>
          <w:p w14:paraId="493F9F52">
            <w:pPr>
              <w:spacing w:line="360" w:lineRule="auto"/>
              <w:ind w:left="-48" w:leftChars="-23" w:right="-48" w:rightChars="-23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单位</w:t>
            </w:r>
          </w:p>
        </w:tc>
        <w:tc>
          <w:tcPr>
            <w:tcW w:w="69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noWrap w:val="0"/>
            <w:vAlign w:val="center"/>
          </w:tcPr>
          <w:p w14:paraId="5C4EB754">
            <w:pPr>
              <w:spacing w:line="360" w:lineRule="auto"/>
              <w:ind w:left="-48" w:leftChars="-23" w:right="-48" w:rightChars="-23"/>
              <w:jc w:val="center"/>
              <w:rPr>
                <w:rFonts w:hint="eastAsia" w:ascii="仿宋" w:hAnsi="仿宋" w:eastAsia="仿宋"/>
                <w:lang w:val="en-US" w:eastAsia="zh-CN"/>
              </w:rPr>
            </w:pPr>
            <w:r>
              <w:rPr>
                <w:rFonts w:hint="eastAsia" w:ascii="仿宋" w:hAnsi="仿宋" w:eastAsia="仿宋"/>
                <w:lang w:val="en-US" w:eastAsia="zh-CN"/>
              </w:rPr>
              <w:t>预算</w:t>
            </w:r>
          </w:p>
        </w:tc>
        <w:tc>
          <w:tcPr>
            <w:tcW w:w="22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DD9C3"/>
            <w:noWrap w:val="0"/>
            <w:vAlign w:val="center"/>
          </w:tcPr>
          <w:p w14:paraId="5B76EBC8">
            <w:pPr>
              <w:spacing w:line="360" w:lineRule="auto"/>
              <w:ind w:left="-48" w:leftChars="-23" w:right="-48" w:rightChars="-23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要求/备注</w:t>
            </w:r>
          </w:p>
        </w:tc>
      </w:tr>
      <w:tr w14:paraId="19724E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54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11B03">
            <w:pPr>
              <w:pStyle w:val="12"/>
              <w:widowControl w:val="0"/>
              <w:numPr>
                <w:ilvl w:val="0"/>
                <w:numId w:val="2"/>
              </w:numPr>
              <w:tabs>
                <w:tab w:val="left" w:pos="33"/>
              </w:tabs>
              <w:ind w:left="-93" w:right="-48" w:rightChars="-23" w:hanging="3"/>
              <w:jc w:val="center"/>
              <w:rPr>
                <w:rFonts w:ascii="仿宋" w:hAnsi="仿宋" w:eastAsia="仿宋"/>
                <w:sz w:val="21"/>
                <w:szCs w:val="21"/>
              </w:rPr>
            </w:pPr>
          </w:p>
        </w:tc>
        <w:tc>
          <w:tcPr>
            <w:tcW w:w="67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8F43E">
            <w:pPr>
              <w:ind w:left="-48" w:leftChars="-23" w:right="-48" w:rightChars="-23"/>
              <w:jc w:val="center"/>
              <w:rPr>
                <w:rFonts w:ascii="仿宋" w:hAnsi="仿宋" w:eastAsia="仿宋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</w:rPr>
              <w:t>机房搬迁服务</w:t>
            </w:r>
          </w:p>
        </w:tc>
        <w:tc>
          <w:tcPr>
            <w:tcW w:w="43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AA6F2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5AE83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项</w:t>
            </w:r>
          </w:p>
        </w:tc>
        <w:tc>
          <w:tcPr>
            <w:tcW w:w="69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47D2C">
            <w:pPr>
              <w:ind w:left="-48" w:leftChars="-23" w:right="-48" w:rightChars="-23"/>
              <w:jc w:val="center"/>
              <w:rPr>
                <w:rFonts w:hint="default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sz w:val="21"/>
                <w:szCs w:val="21"/>
                <w:lang w:val="en-US" w:eastAsia="zh-CN"/>
              </w:rPr>
              <w:t>79万元</w:t>
            </w:r>
          </w:p>
        </w:tc>
        <w:tc>
          <w:tcPr>
            <w:tcW w:w="229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76D5F">
            <w:pPr>
              <w:ind w:left="-48" w:leftChars="-23" w:right="-48" w:rightChars="-23"/>
              <w:jc w:val="left"/>
              <w:rPr>
                <w:rFonts w:hint="eastAsia" w:ascii="仿宋" w:hAnsi="仿宋" w:eastAsia="方正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caps w:val="0"/>
                <w:color w:val="2D2D2D"/>
                <w:spacing w:val="0"/>
                <w:sz w:val="21"/>
                <w:szCs w:val="21"/>
                <w:shd w:val="clear" w:color="auto" w:fill="FFFFFF"/>
              </w:rPr>
              <w:t>新机房环境调研、原始机房网络环境调研、机房设备调研、搬迁范围确认、物理设备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caps w:val="0"/>
                <w:color w:val="2D2D2D"/>
                <w:spacing w:val="0"/>
                <w:sz w:val="21"/>
                <w:szCs w:val="21"/>
                <w:shd w:val="clear" w:color="auto" w:fill="FFFFFF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caps w:val="0"/>
                <w:color w:val="2D2D2D"/>
                <w:spacing w:val="0"/>
                <w:sz w:val="21"/>
                <w:szCs w:val="21"/>
                <w:shd w:val="clear" w:color="auto" w:fill="FFFFFF"/>
              </w:rPr>
              <w:t>设备链路调研、位置规划、预放线以及线缆打标、设备租赁、耗材准备、数据备份服务、新虚拟化环境搭建、NTP天线敷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caps w:val="0"/>
                <w:color w:val="2D2D2D"/>
                <w:spacing w:val="0"/>
                <w:sz w:val="21"/>
                <w:szCs w:val="21"/>
                <w:highlight w:val="none"/>
                <w:shd w:val="clear" w:color="auto" w:fill="FFFFFF"/>
              </w:rPr>
              <w:t>设、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caps w:val="0"/>
                <w:color w:val="2D2D2D"/>
                <w:spacing w:val="0"/>
                <w:sz w:val="21"/>
                <w:szCs w:val="21"/>
                <w:highlight w:val="none"/>
                <w:shd w:val="clear" w:color="auto" w:fill="FFFFFF"/>
                <w:lang w:val="en-US" w:eastAsia="zh-CN"/>
              </w:rPr>
              <w:t>配合运营商专线电路业务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caps w:val="0"/>
                <w:color w:val="2D2D2D"/>
                <w:spacing w:val="0"/>
                <w:sz w:val="21"/>
                <w:szCs w:val="21"/>
                <w:highlight w:val="none"/>
                <w:shd w:val="clear" w:color="auto" w:fill="FFFFFF"/>
              </w:rPr>
              <w:t>迁移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caps w:val="0"/>
                <w:color w:val="2D2D2D"/>
                <w:spacing w:val="0"/>
                <w:sz w:val="21"/>
                <w:szCs w:val="21"/>
                <w:shd w:val="clear" w:color="auto" w:fill="FFFFFF"/>
              </w:rPr>
              <w:t>、业务与设备停机、设备下架、车辆运输、设备上架、线缆还原、开机测试、应用恢复、配合测试、应用保障、零散搬迁、标签标注、线路捆扎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i w:val="0"/>
                <w:caps w:val="0"/>
                <w:color w:val="2D2D2D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等。</w:t>
            </w:r>
          </w:p>
        </w:tc>
      </w:tr>
      <w:tr w14:paraId="6D6AF3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010" w:type="pct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D6C94">
            <w:pPr>
              <w:ind w:left="-48" w:leftChars="-23" w:right="-48" w:rightChars="-23"/>
              <w:jc w:val="center"/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预算合计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F2580">
            <w:pPr>
              <w:ind w:left="-48" w:leftChars="-23" w:right="-48" w:rightChars="-23"/>
              <w:jc w:val="center"/>
              <w:rPr>
                <w:rFonts w:hint="default" w:ascii="仿宋" w:hAnsi="仿宋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79万元</w:t>
            </w:r>
          </w:p>
        </w:tc>
      </w:tr>
      <w:tr w14:paraId="530F6F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257BF">
            <w:pPr>
              <w:ind w:left="-48" w:leftChars="-23" w:right="-48" w:rightChars="-23"/>
              <w:jc w:val="center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实施/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交货期</w:t>
            </w:r>
          </w:p>
        </w:tc>
        <w:tc>
          <w:tcPr>
            <w:tcW w:w="4459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219E8">
            <w:pPr>
              <w:ind w:right="-48" w:rightChars="-23"/>
              <w:rPr>
                <w:rFonts w:hint="eastAsia" w:ascii="仿宋" w:hAnsi="仿宋" w:eastAsia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Times New Roman"/>
                <w:sz w:val="21"/>
                <w:szCs w:val="21"/>
                <w:u w:val="single"/>
                <w:lang w:val="en-US" w:eastAsia="zh-CN"/>
              </w:rPr>
              <w:t>根据医院通知后90天内完成搬迁工作</w:t>
            </w:r>
          </w:p>
        </w:tc>
      </w:tr>
      <w:tr w14:paraId="6362C3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E843C">
            <w:pPr>
              <w:ind w:left="-48" w:leftChars="-23" w:right="-48" w:rightChars="-23"/>
              <w:jc w:val="center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质保</w:t>
            </w: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/服务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期</w:t>
            </w:r>
          </w:p>
        </w:tc>
        <w:tc>
          <w:tcPr>
            <w:tcW w:w="4459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A3A8C">
            <w:pPr>
              <w:ind w:right="-48" w:rightChars="-23"/>
              <w:rPr>
                <w:rFonts w:hint="eastAsia" w:ascii="仿宋" w:hAnsi="仿宋" w:eastAsia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u w:val="single"/>
                <w:lang w:val="en-US" w:eastAsia="zh-CN"/>
              </w:rPr>
              <w:t xml:space="preserve">  1 年</w:t>
            </w:r>
            <w:r>
              <w:rPr>
                <w:rFonts w:hint="eastAsia" w:ascii="仿宋" w:hAnsi="仿宋" w:eastAsia="仿宋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21"/>
                <w:szCs w:val="21"/>
                <w:lang w:val="en-US" w:eastAsia="zh-CN"/>
              </w:rPr>
              <w:t>搬迁服务验收之日起</w:t>
            </w:r>
            <w:r>
              <w:rPr>
                <w:rFonts w:hint="eastAsia" w:ascii="仿宋" w:hAnsi="仿宋" w:eastAsia="仿宋"/>
                <w:sz w:val="21"/>
                <w:szCs w:val="21"/>
                <w:lang w:eastAsia="zh-CN"/>
              </w:rPr>
              <w:t>）</w:t>
            </w:r>
            <w:bookmarkStart w:id="2" w:name="_GoBack"/>
            <w:bookmarkEnd w:id="2"/>
          </w:p>
        </w:tc>
      </w:tr>
      <w:tr w14:paraId="49691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94D94">
            <w:pPr>
              <w:ind w:right="-48" w:rightChars="-23"/>
              <w:rPr>
                <w:rFonts w:hint="default" w:ascii="仿宋" w:hAnsi="仿宋" w:eastAsia="仿宋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1"/>
                <w:szCs w:val="21"/>
                <w:u w:val="none"/>
                <w:lang w:val="en-US" w:eastAsia="zh-CN"/>
              </w:rPr>
              <w:t>其他要求：</w:t>
            </w:r>
          </w:p>
        </w:tc>
      </w:tr>
    </w:tbl>
    <w:p w14:paraId="5003B4E4">
      <w:pPr>
        <w:pStyle w:val="3"/>
        <w:numPr>
          <w:ilvl w:val="0"/>
          <w:numId w:val="1"/>
        </w:numPr>
        <w:tabs>
          <w:tab w:val="left" w:pos="360"/>
        </w:tabs>
        <w:spacing w:before="0" w:after="0" w:line="360" w:lineRule="auto"/>
        <w:ind w:left="616" w:hanging="616"/>
        <w:jc w:val="left"/>
        <w:rPr>
          <w:rFonts w:ascii="仿宋" w:hAnsi="仿宋" w:eastAsia="仿宋" w:cs="Times New Roman"/>
          <w:bCs w:val="0"/>
          <w:color w:val="auto"/>
          <w:lang w:val="zh-CN"/>
        </w:rPr>
      </w:pPr>
      <w:r>
        <w:rPr>
          <w:rFonts w:hint="eastAsia" w:ascii="仿宋" w:hAnsi="仿宋" w:eastAsia="仿宋" w:cs="Times New Roman"/>
          <w:bCs w:val="0"/>
          <w:color w:val="auto"/>
          <w:lang w:val="en-US" w:eastAsia="zh-CN"/>
        </w:rPr>
        <w:t>采购需求</w:t>
      </w:r>
    </w:p>
    <w:p w14:paraId="6E4B630B">
      <w:pPr>
        <w:pStyle w:val="11"/>
        <w:ind w:firstLine="0" w:firstLineChars="0"/>
        <w:rPr>
          <w:rFonts w:ascii="仿宋" w:hAnsi="仿宋" w:eastAsia="仿宋"/>
          <w:b/>
          <w:szCs w:val="24"/>
        </w:rPr>
      </w:pPr>
      <w:r>
        <w:rPr>
          <w:rFonts w:ascii="仿宋" w:hAnsi="仿宋" w:eastAsia="仿宋" w:cs="Arial"/>
          <w:b/>
          <w:szCs w:val="24"/>
        </w:rPr>
        <w:t>1、</w:t>
      </w:r>
      <w:r>
        <w:rPr>
          <w:rFonts w:ascii="仿宋" w:hAnsi="仿宋" w:eastAsia="仿宋"/>
          <w:b/>
          <w:szCs w:val="24"/>
        </w:rPr>
        <w:t>技术要求</w:t>
      </w:r>
    </w:p>
    <w:bookmarkEnd w:id="0"/>
    <w:tbl>
      <w:tblPr>
        <w:tblStyle w:val="8"/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1265"/>
        <w:gridCol w:w="6696"/>
      </w:tblGrid>
      <w:tr w14:paraId="55BF32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7AD7B261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7E96E310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指标项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61E8B3EF">
            <w:pPr>
              <w:pStyle w:val="4"/>
              <w:widowControl/>
              <w:spacing w:line="240" w:lineRule="atLeast"/>
              <w:ind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要求</w:t>
            </w:r>
          </w:p>
        </w:tc>
      </w:tr>
      <w:tr w14:paraId="236F91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3BDC71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43AD7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新机房环境调研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20152520"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实地勘察搬迁通道，测量通道宽度、高度、转弯半径，记录通道内障碍物、电梯承载量/尺寸等关键数据，制定设备搬运路线；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精准统计新机房机架机位数量、机位尺寸、承重能力，标记可用机位编号；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核查 PDU 端口类型、数量、额定功率；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检查精密空调内外机安装位置、制冷量、送风方式、管路走向；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全面开展新机房配电系统检查，包括配电柜、电缆规格阻、备用电源（UPS/发电机）容量；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 检测机房环控系统，含温湿度传感器、烟感报警器、消防系统、视频监控的安装及工作状态。</w:t>
            </w:r>
          </w:p>
        </w:tc>
      </w:tr>
      <w:tr w14:paraId="102846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0D5158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2E4DE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网络环境搬迁技术服务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619CCE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1.确认现有网络设备信息、上架位置、设备用途</w:t>
            </w:r>
          </w:p>
          <w:p w14:paraId="38810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2.确认设备拓扑连接关系和端口对应关系</w:t>
            </w:r>
          </w:p>
          <w:p w14:paraId="31C3B1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3.确认设备网络地址、网段和路由信息</w:t>
            </w:r>
          </w:p>
          <w:p w14:paraId="33FAA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4.对基础调研信息进行整理和分析，找出可能存在的风险或问题</w:t>
            </w:r>
          </w:p>
          <w:p w14:paraId="73AE42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5.核对设备功率、重量、电源接口型号及数量等信息</w:t>
            </w:r>
          </w:p>
          <w:p w14:paraId="0B66B9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6.根据设备类型、功能、硬件规格并结合机房的功能分区，来确定设备搬迁至新机房后的布局</w:t>
            </w:r>
          </w:p>
          <w:p w14:paraId="42975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7.根据各个设备的网络、光纤、电源接口配置情况，来规划设备搬迁至新机房后的线缆连接及走线情况</w:t>
            </w:r>
          </w:p>
          <w:p w14:paraId="26D70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8.设备搬迁前需要根据设备的具体搬迁信息，整理并在设备前面板进行粘贴标签（设备标签应包含设备信息、目标机房机柜信息及连接信息）</w:t>
            </w:r>
          </w:p>
          <w:p w14:paraId="66300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9.搬迁前需要对新机房进行现场环境查看，确保现场环境符合搬入要求</w:t>
            </w:r>
          </w:p>
          <w:p w14:paraId="53A90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10.检查机房的外联网络情况，确保搬迁后设备正常启动后可以提供正常的业务访问需求</w:t>
            </w:r>
          </w:p>
          <w:p w14:paraId="02DE2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11.基于确定的搬迁策略和批次，从各系统详细搬迁方案和各类重点设备搬迁方案两方面入手，进行搬迁方案的细化设计</w:t>
            </w:r>
          </w:p>
          <w:p w14:paraId="2FE8F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12.根据搬迁中可能发生的事故及潜在的隐患，提前准备逐一的应对措施，确保搬迁的顺利实施；</w:t>
            </w:r>
          </w:p>
          <w:p w14:paraId="2FEAE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13.服务商需完成武汉市一医院旧机房与新机房SDN网络打通，形成多院区Muti-Pod架构</w:t>
            </w:r>
          </w:p>
          <w:p w14:paraId="16EA55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14.对本批次所需搬迁设备的物理状态信息进行确认及核对，确保不存在故障，对本批次所需搬迁设备配置进行备份</w:t>
            </w:r>
          </w:p>
          <w:p w14:paraId="46ED0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15.指派各产品专业技术工程师，在搬迁启动后，对各设备按照规范进行分解处理，进行设备启停、设备连线，并对端口、线缆贴制标签。并负责处理可能发生的软硬件故障。</w:t>
            </w:r>
          </w:p>
          <w:p w14:paraId="3CD7BB88">
            <w:pPr>
              <w:pStyle w:val="2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16.搬迁结束后值守3天，协助客户处理搬迁遗留事宜</w:t>
            </w:r>
          </w:p>
        </w:tc>
      </w:tr>
      <w:tr w14:paraId="36F7CB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030951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52228F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机房设备调研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3B0BDBDB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梳理机房所有设备基础信息，建立设备台账，包含设备名称、型号、序列号、生产厂商、安装时间、使用年限；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记录设备硬件配置，如服务器的 CPU、内存、硬盘、网卡，存储设备的磁盘数量、容量、RAID 级别，网络设备的端口数量、速率；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标注设备运行状态、所属业务系统、重要等级，区分核心设备、关键设备、普通设备；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核查设备供电方式、功率消耗、线缆接口类型，统计设备配套配件数量及完好情况；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收集设备厂商联系方式、设备维保状态、设备配置文件备份情况，形成标准化设备调研表。</w:t>
            </w:r>
          </w:p>
          <w:p w14:paraId="336F296F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6.针对运行超过5年或已停产的设备，要求制定专项加固和保护方案，甚至建议提前制定“应急预案”（如设备宕机后的替代方案）。</w:t>
            </w:r>
          </w:p>
        </w:tc>
      </w:tr>
      <w:tr w14:paraId="1C7C0D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5E62CF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5E2001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搬迁范围确认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0B8B3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以设备调研表为基础，组织技术团队、院方业务负责人召开搬迁范围确认会议；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逐一核对设备清单，明确需搬迁的核心业务设备（如 HIS 数据库服务器、存储设备）、网络设备、安全设备、辅助设备等，标记无需搬迁的废弃、闲置设备；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结合业务需求，确认是否同步搬迁设备配套的软件系统、授权文件、外接配件；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明确搬迁设备的所属业务系统边界，避免遗漏关联设备，形成签字确认的搬迁范围确认单，作为后续搬迁工作的核心依据。</w:t>
            </w:r>
          </w:p>
        </w:tc>
      </w:tr>
      <w:tr w14:paraId="2CFAA9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2E98C1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2A6C3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物理设备链路调研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6C7D8B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针对确认搬迁的所有设备，现场逐一核查物理链路连接情况，绘制设备链路连接详图；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记录服务器与存储、服务器与交换机、交换机与交换机之间的链路类型（光纤/网线）、接口编号、线缆规格、传输速率；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标注设备电源线连接的 PDU 端口编号、供电回路，记录安全设备（如防火墙、入侵检测）的链路接入及转发路径；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对每一条链路进行编号标识，同步记录链路对应的业务系统，明确核心业务链路的优先级；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梳理设备外接链路（如打印机、监控设备、外接存储），形成设备链路调研台账，确保链路信息无遗漏、无错误。</w:t>
            </w:r>
          </w:p>
        </w:tc>
      </w:tr>
      <w:tr w14:paraId="6C656B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457AFE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7C8E9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位置规划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31B6F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依据搬迁上架设备清单，结合新机房机架机位分布、承重要求，制定设备精准放置规划表，明确每台设备的机架编号、U 位、安装方向；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遵循 “核心设备集中部署、同业务设备就近部署、散热优先” 原则，规划设备位置，预留设备散热空间、维护操作空间；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结合设备链路调研结果，规划设备间线缆走向，缩短核心链路长度，减少信号损耗，避免线缆交叉缠绕；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对 PDU 供电进行合理规划，按设备功率分配供电端口，做好三相负载平衡，核心设备采用双路供电规划；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规划新机房设备标识牌、链路标识牌的张贴位置，形成新机房设备布局图。</w:t>
            </w:r>
          </w:p>
        </w:tc>
      </w:tr>
      <w:tr w14:paraId="22A448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7D364A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19B92D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预放线以及线缆打标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48E13780"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根据新机房设备布局图和链路规划，提前采购符合规格的光纤线、网线、电源线，针对核心业务设备、关键网络设备开展预放线工作；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按照设备端口编号，将线缆一端布放至对应设备机位，另一端布放至对接设备机位，做好线缆路径固定，避免影响机房其他施工；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采用标准化标签对所有预放线缆进行打标，标签包含线缆编号、两端设备名称、设备端口、所属业务系统、链路类型，标签采用防水、防刮材质，张贴在线缆两端；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对预放线缆进行通断测试、光功率测试（光纤），确保线缆完好可用；应急响应：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建立预放线及打标台账，记录线缆信息、测试结果，做到线缆可追溯，最大限度压缩正式搬迁时的线缆部署时间。</w:t>
            </w:r>
          </w:p>
        </w:tc>
      </w:tr>
      <w:tr w14:paraId="449C4E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0243D5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367A7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备品备件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35291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结合机房设备调研结果，统计核心/关键设备易损、易坏配件类型及数量，制定备品备件采购及储备清单；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硬件备件：储备服务器硬盘、内存条、网卡、电源模块、RAID 卡，存储设备缓存模块、扩展卡，交换机风扇模块等，型号与现有设备完全匹配；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网络备件：备齐不同规格光模块、光纤跳线、网线、水晶头，以及小型交换机、光电转换器等应急网络设备；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所有备品备件提前验收测试，确保完好可用，分类整理、统一存放并张贴标识，安排专人管理，建立领用、归还台账；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搬迁现场设置临时备件库，包括小型机整机1台、300G硬盘2块、600G硬盘1块、2T硬盘2块、存储硬盘4T 1块、存储硬盘6T 1块、EMC VNX5700 控制器1块、风扇1个，确保故障发生时能快速调取、更换，搬迁完成后对剩余备件进行清点、封存，做好后续维保衔接。</w:t>
            </w:r>
          </w:p>
        </w:tc>
      </w:tr>
      <w:tr w14:paraId="62F477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692CA9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15638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设备租赁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4CF9C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针对 HIS 数据库业务需求，租赁小型机和全闪存储30天，小型机满足power9系列或以上型号，CPU不低于16核、 内存不低于256G 硬盘容量不低于固态256G，存储为主流品牌全闪存储，可用容量不低于85T；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完成临时设备的硬件安装、调试，包括硬件检测、RAID 配置、系统安装；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搭建 HIS 数据库临时运行环境，完成数据库软件安装、配置，进行数据迁移、同步，测试临时环境的稳定性、数据一致性；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安排专人负责临时设备的运行监控，确保在机房搬迁期间，HIS 数据库业务连续稳定运行，搬迁完成后完成临时设备的拆除、归还工作。</w:t>
            </w:r>
          </w:p>
        </w:tc>
      </w:tr>
      <w:tr w14:paraId="7AD8F3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77EEE2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1182FC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搬迁耗材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0E450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提前统计搬迁全过程所需耗材，制定耗材采购清单，确保耗材规格、数量符合搬迁需求；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网络耗材：根据链路规划提供不同规格的光纤线、网线、光模块（单模/多模、不同速率）、光纤跳线、水晶头、配线架；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提供临时光链路所需的光纤盒、耦合器，足量的轧带、扎带座；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提供防震珍珠棉、气泡膜、打包纸箱、缠绕膜、泡沫板，根据设备尺寸定制包装材料，确保设备运输防护；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提供防水防刮标签纸、标签打印机、记号笔、设备标识牌、机架标识牌；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 提供设备打包垫、绝缘胶带、螺丝刀、扳手、光纤切割刀等工具耗材，所有耗材提前验收、分类存放，安排专人管理。</w:t>
            </w:r>
          </w:p>
        </w:tc>
      </w:tr>
      <w:tr w14:paraId="05BBD7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0E2A13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2016A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数据备份服务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5F764A7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1.强制要求在关机搬迁前，对所有业务数据进行全量备份。</w:t>
            </w:r>
          </w:p>
          <w:p w14:paraId="61A64F3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2.备份需验证可恢复性，并提供备份完成报告。对于核心数据库，要求进行“冷备”与“逻辑备份”双重保障。</w:t>
            </w:r>
          </w:p>
          <w:p w14:paraId="7C472DF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3.数据完整性校验：</w:t>
            </w:r>
          </w:p>
          <w:p w14:paraId="6F3C0E4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4.搬迁前后需通过校验手段，验证关键文件和数据库的完整性，确保数据不丢。</w:t>
            </w:r>
          </w:p>
          <w:p w14:paraId="7210B5B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5.涉密与敏感数据保护：</w:t>
            </w:r>
          </w:p>
          <w:p w14:paraId="5489857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6.若涉及涉密网或敏感数据，需明确要求数据不离境（机房）、存储介质不失控。</w:t>
            </w:r>
          </w:p>
          <w:p w14:paraId="36558DA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7.人员要求： 接触数据的人员需签署保密协议，进行背景审查。</w:t>
            </w:r>
          </w:p>
          <w:p w14:paraId="45548E0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8.根据医院要求制定差异化数据备份方案；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 核心业务系统采用“全量备份+增量备份”的方式，关键业务系统采用全量备份，普通业务系统根据需求采用定时备份；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 提供专业备份工具，可用备份容量不低于150T混合存储,支持数据库备份、文件备份、虚拟化环境备份,备份数据保留1年；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 严格按照备份方案执行数据备份操作，记录备份时间、备份内容、备份路径、备份文件大小；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 对备份文件进行完整性、可恢复性测试，确保备份数据能够正常还原，将备份报告、测试结果提交院方确认，备份文件妥善保管，做好防丢失、防损坏措施。</w:t>
            </w:r>
          </w:p>
          <w:p w14:paraId="70FA88EF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C5DF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21CEF6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49308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NTP 天线敷设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44384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实地勘察新大楼机房位置，确定 NTP 卫星天线的最佳安装点位，要求安装位置视野开阔，无高大建筑物、遮挡物，确保卫星信号接收稳定；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根据安装点位与机房 NTP 服务器的距离，定制敷设合适长度的低损耗馈线，规划馈线敷设路径，尽量减少弯折，避免信号衰减；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完成天线敷设后，进行卫星信号搜索、调试，检测信号强度、同步精度，确保 NTP 服务器能够准确接收卫星授时信号；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测试授时服务的稳定性，检查机房内所有设备与 NTP 服务器的时间同步情况，确保整个机房设备时间统一、精准，满足业务系统对时间同步的要求。</w:t>
            </w:r>
          </w:p>
        </w:tc>
      </w:tr>
      <w:tr w14:paraId="11C22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5672E2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5888C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配合运营商专线电路业务割接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72CDD9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 配合制定运营商专线电路设备搬迁方案。明确搬迁时间、停机窗口、业务恢复时间，与院方业务负责人沟通，确认业务停机需求，发布搬迁通知；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 配合运营商在搬迁前对专线电路设备进行全面检测。记录设备配置参数、光功率值、业务链路信息，备份设备配置文件；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 指导运营商按照 “业务停机→设备停机→设备拆除→运输→上架→调试→业务恢复” 的流程执行迁移；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 运营商专线电路业务割接后，业务系统的恢复测试。</w:t>
            </w:r>
          </w:p>
        </w:tc>
      </w:tr>
      <w:tr w14:paraId="58B28F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237353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372E9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搬迁技术服务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20BE96D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1.设备搬迁实施期间提供每天不低于8人的现场技术支持。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2.搬迁过程中的应急响应，并制定常见搬迁故障的应急预案。3.搬迁期间的现场必须安排人员值守，搬迁后一周内的“特保期”要求驻场人员不低于3人。</w:t>
            </w:r>
          </w:p>
        </w:tc>
      </w:tr>
      <w:tr w14:paraId="2654FF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18E886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311EF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业务与设备停机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50E88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结合各业务系统的运行特性、重要程度，制定分批次、分时段的业务与设备停机计划，避开业务高峰时段，最小化停机对院方业务的影响；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针对支持在线迁移的设备（如虚拟化虚拟机、部分网络设备），优先采用在线迁移方式，无需停机，实现业务无缝过渡；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对不支持在线迁移的设备，提前发布停机通知，明确停机时间、涉及业务、恢复时间，协调院方做好业务停机准备；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业务停机：由院方业务负责人确认业务数据已保存、业务流程已终止，技术团队切断业务系统与设备的连接；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设备停机：按照 “先终端、后服务器、再网络 / 存储设备” 的顺序，依次关闭设备电源，关闭前检查设备运行状态，备份设备配置文件，做好停机记录；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 停机过程中安排专人值守，及时处理突发情况，所有设备停机后，再次确认设备状态，方可进行后续拆除工作。</w:t>
            </w:r>
          </w:p>
        </w:tc>
      </w:tr>
      <w:tr w14:paraId="2F9479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51591A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66B58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设备下架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38AA6C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设备下架前，再次核对设备调研表、链路标识，确保下架设备为搬迁范围内设备，避免误操作；2. 按照 “先线缆、后设备” 的顺序，逐一拆除设备的电源线、光纤线、网线等，拆除时做好标记，与设备编号一一对应；3. 组织专业技术人员，使用专用工具按照设备安装规范拆除设备，避免暴力拆卸损坏硬件；4. 对拆除后的设备进行统一编号，与设备台账保持一致，编号清晰标注在设备醒目位置；5. 采用防震珍珠棉对设备进行多层包裹，易损部件（如网卡、光模块）单独包装防护，放入定制纸箱，填充泡沫板固定，做好打包标记，标注设备名称、编号、搬运注意事项；6. 对打包完成的设备进行分类堆放，轻拿轻放，做好防雨、防碰撞措施，等待运输，全程记录设备下架、打包过程。</w:t>
            </w:r>
          </w:p>
        </w:tc>
      </w:tr>
      <w:tr w14:paraId="35F6FF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76A7AF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41F92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车辆运输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0A8FC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根据搬迁设备的数量、尺寸、重量，调配符合要求的运输车辆，选用带有防震、防滑装置的封闭式货车；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运输车辆提前进行全面检查，确保车辆车况良好、刹车系统、避震系统正常，配备必要的消防器材、备用工具；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设备装车时，按照 “重下轻上、核心设备单独放置、防倾倒、防挤压” 的原则，使用叉车、吊车等工具进行装卸，专人指挥，确保装车安全；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装车后对设备进行固定，使用绑带将设备与车厢固定，防止运输途中晃动、碰撞，核心设备安排专人押运，全程监控设备状态；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设备运输至新机房后，按照预定顺序卸车，轻卸轻放，核对设备编号，确保设备无丢失、无损坏。</w:t>
            </w:r>
          </w:p>
        </w:tc>
      </w:tr>
      <w:tr w14:paraId="1C7D86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5F60E4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72FF5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设备上架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5DB6B2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设备抵达新机房后，先在指定区域解包，拆除包装材料，逐一核对设备编号、名称，检查设备外观是否有损坏、硬件是否完好，发现问题及时记录并处理；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按照新机房设备布局规划表，明确每台设备的机架编号、U 位，提前安装设备导轨，确保导轨安装水平、牢固；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由专业技术人员将设备平稳推入机架，固定设备螺丝，确保设备安装牢固、无晃动，核心设备做好双重固定；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设备上架遵循 “先核心设备、后关键设备、再普通设备，先网络设备、后服务器 / 存储设备” 的顺序，同步做好设备上架记录，标注上架时间、安装人员；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设备上架完成后，检查机房机架承重情况，确保符合安全要求，整理设备包装材料，统一清理，保持新机房环境整洁。</w:t>
            </w:r>
          </w:p>
        </w:tc>
      </w:tr>
      <w:tr w14:paraId="024CF8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445CDC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3016E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线缆还原、开机测试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7BA5B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线缆还原：根据设备链路调研台账、预放线打标信息，逐一恢复设备的电源线、光纤线、网线等线缆连接，严格按照标签标识对应设备端口，确保连接准确无误；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线缆连接完成后，进行理线工作，使用轧带、理线架将线缆整理规范，做到横平竖直，无交叉缠绕，做好线缆固定；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设备外观和硬件完好性检测：检查设备外壳、接口、指示灯是否正常，查看硬盘、内存、网卡等硬件是否插紧，无松动、损坏；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加电测试：按照 “先 UPS/PDU、后网络设备、再服务器 / 存储设备” 的顺序依次加电，首次加电后观察设备指示灯、风扇运行状态，检测设备供电是否正常；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运行情况检查：通过设备控制台、管理界面查看设备硬件状态、配置信息，测试网络链路连通性、光功率值，检查设备是否能正常启动，无报错信息，做好开机测试记录，对异常设备及时排查、处理。</w:t>
            </w:r>
          </w:p>
        </w:tc>
      </w:tr>
      <w:tr w14:paraId="1174B0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7659FB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3AADDB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应用恢复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174AA5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按照业务系统的重要等级，制定分批次的应用系统恢复计划，优先恢复核心业务系统（如 HIS、收费系统），再恢复关键业务系统，最后恢复普通业务系统；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服务器设备恢复正常后，依次启动应用系统的数据库服务、中间件服务、应用程序服务，严格按照应用系统的启动流程操作，避免启动顺序错误导致系统故障；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恢复过程中配置应用系统的网络参数、数据库连接参数、服务端口等，确保应用系统与网络、存储设备正常对接；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对恢复后的应用系统进行基础测试，包括系统登录、功能模块访问、数据查询 / 录入、业务流程流转等，检查系统运行是否流畅，无卡顿、报错；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及时处理应用恢复过程中出现的问题，如服务启动失败、数据连接异常、网络不通等，确保应用系统逐步恢复至正常运行状态，做好应用恢复记录。</w:t>
            </w:r>
          </w:p>
        </w:tc>
      </w:tr>
      <w:tr w14:paraId="461DAA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664DA5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14E5B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配合测试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09B22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搬迁完成后，及时通知院方各应用系统责任人，明确测试时间、测试内容、对接人员；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安排专业技术团队全程配合各业务系统的测试工作，专人对接各系统责任人，提供技术支持；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配合开展功能测试，验证应用系统的所有功能模块是否正常使用，业务流程是否完整、顺畅；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配合开展性能测试，检测应用系统在正常负载、峰值负载下的运行速度、响应时间，确保满足业务使用要求；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配合开展数据一致性测试，核对搬迁前后应用系统的数据内容、数据格式是否一致，无数据丢失、错乱；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 配合开展兼容性测试，检查应用系统与新机房的硬件、网络、虚拟化环境是否兼容；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 及时记录测试过程中发现的问题，快速排查、整改，直至所有应用系统测试通过。</w:t>
            </w:r>
          </w:p>
        </w:tc>
      </w:tr>
      <w:tr w14:paraId="10C5BD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615D18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357FC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应用保障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44557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搬迁完成后，安排资深工程师组建驻场值守团队，提供30天全天候应用保障服务，制定驻场值守制度，明确值守人员职责、工作时间、应急处理流程；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值守工程师实时监控各应用系统、设备的运行状态，通过监控平台查看设备 CPU、内存、硬盘使用率，网络带宽，应用系统响应时间等指标，及时发现异常并预警；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为院方工作人员提供现场技术支持，解答操作疑问，协助处理日常使用过程中出现的小问题；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每日做好驻场值守记录，记录设备运行状态、应用系统使用情况、故障处理情况，30天值守结束后，形成应用保障总结报告，提交院方，同时做好后续技术支持衔接工作。</w:t>
            </w:r>
          </w:p>
        </w:tc>
      </w:tr>
      <w:tr w14:paraId="654486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7E203F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1170E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零散搬迁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781BCB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针对集中搬迁未覆盖的零散设备，制定专项零散搬迁方案，明确搬迁时间、路线、责任人；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对零散设备进行统一梳理、统计，建立零散设备台账，标注设备名称、型号、所属部门、使用状态，进行统一编号、打包；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零散搬迁采用灵活的运输方式，根据设备数量、尺寸调配小型车辆，做到随搬随运，减少设备积压；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零散设备抵达新场地后，按照院方要求进行上架、安装、调试，完成线缆连接、开机测试、应用恢复；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安排专人对接院方各部门，确认零散设备的安装位置、使用需求，做好设备移交工作，确保零散设备搬迁到位、正常使用；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 零散搬迁完成后，核对设备台账，确保无设备丢失、遗漏，形成零散搬迁完成报告。</w:t>
            </w:r>
          </w:p>
        </w:tc>
      </w:tr>
      <w:tr w14:paraId="102620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0EAED9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058B7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标签标注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2AD3E227"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制定标准化的标签标注规范，明确标签内容、格式、张贴位置，确保标签标注统一、规范、可追溯；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针对所有搬迁设备，在设备醒目位置张贴设备标识标签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对设备的所有链路线缆（电源线、网线、光纤线）进行全链路标签标注，线缆两端必须张贴标签，标签包含线缆编号、两端设备名称、设备端口；</w:t>
            </w:r>
          </w:p>
          <w:p w14:paraId="7D1349B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4.所有线缆（电源线、光纤、网线）必须粘贴“唯一性标签”，实行“同进同出”或“一端对应”标签法，防止复接错误.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标签采用防水、防刮、耐磨的材质，使用标签打印机打印，确保字迹清晰，不易脱落，所有标签标注完成后，进行全面核查，确保无遗漏、无错误，形成标签标注台账。</w:t>
            </w:r>
          </w:p>
        </w:tc>
      </w:tr>
      <w:tr w14:paraId="04332D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5B768E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71EE5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线路捆扎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2E149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制定机房线路捆扎规范，遵循 “横平竖直、分层整理、标识清晰、便于维护” 的原则，对新机房所有线路（电源线、网线、光纤线）进行统一整理、捆扎；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线路按类型分类整理，电源线与网络线（网线 / 光纤线）分开敷设、分开捆扎，避免电磁干扰，不同业务系统的线路也进行分类整理；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线路捆扎完成后，检查线路是否有松动、下垂，标签是否完好，确保线路布局整洁、规范，便于后续的维护、扩容工作，形成线路捆扎验收记录。</w:t>
            </w:r>
          </w:p>
        </w:tc>
      </w:tr>
      <w:tr w14:paraId="0FA194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0CA711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6695F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技术团队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7CADA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项目管理与人员素质（服务能力）的要求</w:t>
            </w:r>
          </w:p>
          <w:p w14:paraId="277B9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1.项目经理：具备信息系统项目管理师、通信工程师（互联网技术）中级及以上级别、CISP-PTE(注册信息安全专业人员)证书。</w:t>
            </w:r>
          </w:p>
          <w:p w14:paraId="49099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2.项目团队成员（除项目经理外）：至少有一人具备OCP(Oracle数据库管理员认证专家)或以上级别证书、至少有一人具备华为HCIP(信息安全)或以上级别证书,熟悉主流软硬件操作。</w:t>
            </w:r>
          </w:p>
        </w:tc>
      </w:tr>
      <w:tr w14:paraId="4CAC83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8" w:type="pct"/>
            <w:shd w:val="clear" w:color="auto" w:fill="FFFFFF"/>
            <w:noWrap w:val="0"/>
            <w:vAlign w:val="center"/>
          </w:tcPr>
          <w:p w14:paraId="2FEBCE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742" w:type="pct"/>
            <w:shd w:val="clear" w:color="auto" w:fill="FFFFFF"/>
            <w:noWrap w:val="0"/>
            <w:vAlign w:val="center"/>
          </w:tcPr>
          <w:p w14:paraId="22D09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其他服务</w:t>
            </w:r>
          </w:p>
        </w:tc>
        <w:tc>
          <w:tcPr>
            <w:tcW w:w="3929" w:type="pct"/>
            <w:shd w:val="clear" w:color="auto" w:fill="FFFFFF"/>
            <w:noWrap w:val="0"/>
            <w:vAlign w:val="center"/>
          </w:tcPr>
          <w:p w14:paraId="0AF89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1.提供搬迁过程涉及的设备配件</w:t>
            </w:r>
          </w:p>
          <w:p w14:paraId="73EBE1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2.搬迁重损保险：向保险公司购买重损保险，用以保障下架后至上架前的过程中的重大损失（货物丢失、碰撞变形、进水着火等严重事故）</w:t>
            </w:r>
          </w:p>
          <w:p w14:paraId="47A70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80" w:lineRule="exact"/>
              <w:ind w:left="0" w:leftChars="0" w:right="0" w:right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3.搬迁轻损赔付及备品备件保障：搬迁过程中提供现场备机备件保障用以满足故障快速修复，针对非重损的一般损失进行赔付</w:t>
            </w:r>
          </w:p>
        </w:tc>
      </w:tr>
    </w:tbl>
    <w:p w14:paraId="7CC1849D">
      <w:pPr>
        <w:rPr>
          <w:rFonts w:ascii="仿宋" w:hAnsi="仿宋" w:eastAsia="仿宋"/>
          <w:sz w:val="24"/>
          <w:szCs w:val="24"/>
        </w:rPr>
      </w:pPr>
    </w:p>
    <w:p w14:paraId="7E80D659">
      <w:pPr>
        <w:pStyle w:val="11"/>
        <w:ind w:firstLine="0" w:firstLineChars="0"/>
        <w:rPr>
          <w:rFonts w:hint="default" w:ascii="仿宋" w:hAnsi="仿宋" w:eastAsia="仿宋"/>
          <w:b/>
          <w:szCs w:val="24"/>
          <w:lang w:val="en-US" w:eastAsia="zh-CN"/>
        </w:rPr>
      </w:pPr>
      <w:r>
        <w:rPr>
          <w:rFonts w:ascii="仿宋" w:hAnsi="仿宋" w:eastAsia="仿宋" w:cs="Arial"/>
          <w:b/>
          <w:szCs w:val="24"/>
        </w:rPr>
        <w:t>2、</w:t>
      </w:r>
      <w:r>
        <w:rPr>
          <w:rFonts w:hint="eastAsia" w:ascii="仿宋" w:hAnsi="仿宋" w:eastAsia="仿宋" w:cs="Arial"/>
          <w:b/>
          <w:szCs w:val="24"/>
          <w:lang w:val="en-US" w:eastAsia="zh-CN"/>
        </w:rPr>
        <w:t>投标人要求</w:t>
      </w:r>
    </w:p>
    <w:p w14:paraId="31EB9807">
      <w:pPr>
        <w:numPr>
          <w:ilvl w:val="0"/>
          <w:numId w:val="7"/>
        </w:numPr>
        <w:spacing w:line="360" w:lineRule="auto"/>
        <w:ind w:left="420" w:leftChars="200" w:firstLine="0" w:firstLineChars="0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投标人需具有类似的成功案例。</w:t>
      </w:r>
    </w:p>
    <w:p w14:paraId="780EC3B4">
      <w:pPr>
        <w:numPr>
          <w:ilvl w:val="0"/>
          <w:numId w:val="7"/>
        </w:numPr>
        <w:spacing w:line="360" w:lineRule="auto"/>
        <w:ind w:left="420" w:leftChars="200" w:firstLine="0" w:firstLineChars="0"/>
        <w:rPr>
          <w:rFonts w:hint="eastAsia" w:ascii="仿宋" w:hAnsi="仿宋" w:eastAsia="仿宋" w:cs="仿宋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投标人需针对本项目特点和需求，提供项目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实施进度及计划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、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风险识别与控制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、质量保障措施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、系统测试管理方案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等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。</w:t>
      </w:r>
    </w:p>
    <w:p w14:paraId="129DEEA9">
      <w:pPr>
        <w:numPr>
          <w:ilvl w:val="0"/>
          <w:numId w:val="7"/>
        </w:numPr>
        <w:spacing w:line="360" w:lineRule="auto"/>
        <w:ind w:left="420" w:leftChars="200" w:firstLine="0" w:firstLineChars="0"/>
        <w:rPr>
          <w:rFonts w:hint="eastAsia" w:ascii="仿宋" w:hAnsi="仿宋" w:eastAsia="仿宋" w:cs="仿宋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sz w:val="24"/>
          <w:szCs w:val="24"/>
        </w:rPr>
        <w:t>搬迁完成后提供不少于90天（3个月）的应用保障期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重点保障系统稳定运行及解决搬迁引入的隐性故障</w:t>
      </w:r>
      <w:r>
        <w:rPr>
          <w:rFonts w:hint="eastAsia" w:ascii="仿宋" w:hAnsi="仿宋" w:eastAsia="仿宋" w:cs="仿宋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。</w:t>
      </w:r>
    </w:p>
    <w:p w14:paraId="6516D347">
      <w:pPr>
        <w:pStyle w:val="11"/>
        <w:ind w:firstLine="0" w:firstLineChars="0"/>
        <w:rPr>
          <w:rFonts w:hint="eastAsia" w:ascii="仿宋" w:hAnsi="仿宋" w:eastAsia="仿宋" w:cs="仿宋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3、商务</w:t>
      </w:r>
      <w:r>
        <w:rPr>
          <w:rFonts w:hint="eastAsia" w:ascii="仿宋" w:hAnsi="仿宋" w:eastAsia="仿宋" w:cs="Arial"/>
          <w:b/>
          <w:szCs w:val="24"/>
          <w:lang w:val="en-US" w:eastAsia="zh-CN"/>
        </w:rPr>
        <w:t>要求</w:t>
      </w:r>
    </w:p>
    <w:p w14:paraId="282588C5">
      <w:pPr>
        <w:numPr>
          <w:ilvl w:val="0"/>
          <w:numId w:val="8"/>
        </w:numPr>
        <w:spacing w:line="360" w:lineRule="auto"/>
        <w:ind w:left="420" w:leftChars="200"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搬迁前投标人需</w:t>
      </w:r>
      <w:r>
        <w:rPr>
          <w:rFonts w:hint="eastAsia" w:ascii="仿宋" w:hAnsi="仿宋" w:eastAsia="仿宋" w:cs="仿宋"/>
          <w:sz w:val="24"/>
          <w:szCs w:val="24"/>
        </w:rPr>
        <w:t>提供与现网设备型号一致的备件，或提供性能参数不低于现网设备且兼容现网系统的备件方案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方案需经采购人签字确认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6FCB8636">
      <w:pPr>
        <w:numPr>
          <w:ilvl w:val="0"/>
          <w:numId w:val="8"/>
        </w:numPr>
        <w:spacing w:line="360" w:lineRule="auto"/>
        <w:ind w:left="420" w:leftChars="200"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在正式搬迁前，必须组织至少一次“实战模拟演练”或“桌面推演”，验证回退方案的有效性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演练成果需经采购人签字确认。</w:t>
      </w:r>
    </w:p>
    <w:p w14:paraId="3C8D0E8F">
      <w:pPr>
        <w:numPr>
          <w:ilvl w:val="0"/>
          <w:numId w:val="8"/>
        </w:numPr>
        <w:spacing w:line="360" w:lineRule="auto"/>
        <w:ind w:left="420" w:leftChars="200"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搬迁过程中意外损坏：投标人需针对本项目相关事项保险公司投保，</w:t>
      </w:r>
      <w:r>
        <w:rPr>
          <w:rFonts w:hint="eastAsia" w:ascii="仿宋" w:hAnsi="仿宋" w:eastAsia="仿宋" w:cs="仿宋"/>
          <w:sz w:val="24"/>
          <w:szCs w:val="24"/>
        </w:rPr>
        <w:t>“轻损”指设备维修费用不超过设备原值10%的情况，由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负责免费维修或更换配件；“重损”指设备原值损失超过10%或全损，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需在3个工作日内按设备原值（或重置价值）赔付给甲方。</w:t>
      </w:r>
    </w:p>
    <w:p w14:paraId="5C6830E4">
      <w:pPr>
        <w:numPr>
          <w:ilvl w:val="0"/>
          <w:numId w:val="8"/>
        </w:numPr>
        <w:spacing w:line="360" w:lineRule="auto"/>
        <w:ind w:left="420" w:leftChars="200"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搬迁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结束</w:t>
      </w:r>
      <w:r>
        <w:rPr>
          <w:rFonts w:hint="eastAsia" w:ascii="仿宋" w:hAnsi="仿宋" w:eastAsia="仿宋" w:cs="仿宋"/>
          <w:sz w:val="24"/>
          <w:szCs w:val="24"/>
        </w:rPr>
        <w:t>后，未使用的备件退还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，已消耗的备件由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承担费用。</w:t>
      </w:r>
    </w:p>
    <w:p w14:paraId="220BA984">
      <w:pPr>
        <w:numPr>
          <w:ilvl w:val="0"/>
          <w:numId w:val="8"/>
        </w:numPr>
        <w:spacing w:line="360" w:lineRule="auto"/>
        <w:ind w:left="420" w:leftChars="200"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搬迁中必要的</w:t>
      </w:r>
      <w:r>
        <w:rPr>
          <w:rFonts w:hint="eastAsia" w:ascii="仿宋" w:hAnsi="仿宋" w:eastAsia="仿宋" w:cs="仿宋"/>
          <w:sz w:val="24"/>
          <w:szCs w:val="24"/>
        </w:rPr>
        <w:t>租赁设备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和工具</w:t>
      </w:r>
      <w:r>
        <w:rPr>
          <w:rFonts w:hint="eastAsia" w:ascii="仿宋" w:hAnsi="仿宋" w:eastAsia="仿宋" w:cs="仿宋"/>
          <w:sz w:val="24"/>
          <w:szCs w:val="24"/>
        </w:rPr>
        <w:t>归还前，必须进行数据擦除并经甲方安全人员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签字</w:t>
      </w:r>
      <w:r>
        <w:rPr>
          <w:rFonts w:hint="eastAsia" w:ascii="仿宋" w:hAnsi="仿宋" w:eastAsia="仿宋" w:cs="仿宋"/>
          <w:sz w:val="24"/>
          <w:szCs w:val="24"/>
        </w:rPr>
        <w:t>确认，确保无残留医院数据。</w:t>
      </w:r>
    </w:p>
    <w:p w14:paraId="05202B69">
      <w:pPr>
        <w:numPr>
          <w:ilvl w:val="0"/>
          <w:numId w:val="8"/>
        </w:numPr>
        <w:spacing w:line="360" w:lineRule="auto"/>
        <w:ind w:left="420" w:leftChars="200" w:firstLine="0" w:firstLine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 w:bidi="ar"/>
        </w:rPr>
        <w:t>验收标准：</w:t>
      </w:r>
    </w:p>
    <w:p w14:paraId="166B0839">
      <w:pPr>
        <w:keepNext w:val="0"/>
        <w:keepLines w:val="0"/>
        <w:widowControl/>
        <w:suppressLineNumbers w:val="0"/>
        <w:ind w:left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 w:bidi="ar"/>
        </w:rPr>
        <w:t>物理验收：设备外观完好、布局符合规划、线缆标识清晰、走线规范（符合GB50462标准）。</w:t>
      </w:r>
    </w:p>
    <w:p w14:paraId="5DA04A73">
      <w:pPr>
        <w:keepNext w:val="0"/>
        <w:keepLines w:val="0"/>
        <w:widowControl/>
        <w:suppressLineNumbers w:val="0"/>
        <w:ind w:left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 w:bidi="ar"/>
        </w:rPr>
        <w:t>功能验收：所有应用系统功能模块可正常访问，业务流程跑通。</w:t>
      </w:r>
    </w:p>
    <w:p w14:paraId="6291C032">
      <w:pPr>
        <w:keepNext w:val="0"/>
        <w:keepLines w:val="0"/>
        <w:widowControl/>
        <w:suppressLineNumbers w:val="0"/>
        <w:ind w:left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 w:bidi="ar"/>
        </w:rPr>
        <w:t>性能验收：关键业务系统（HIS、EMR）在业务高峰期响应时间不高于搬迁前基线数据的110%。</w:t>
      </w:r>
    </w:p>
    <w:p w14:paraId="519B667A">
      <w:pPr>
        <w:keepNext w:val="0"/>
        <w:keepLines w:val="0"/>
        <w:widowControl/>
        <w:suppressLineNumbers w:val="0"/>
        <w:ind w:leftChars="20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 w:bidi="ar"/>
        </w:rPr>
        <w:t>数据验收：核心数据库记录数与搬迁前一致，无数据丢失。</w:t>
      </w:r>
    </w:p>
    <w:p w14:paraId="450F7F17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533BF4"/>
    <w:multiLevelType w:val="singleLevel"/>
    <w:tmpl w:val="AF533BF4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2D46333"/>
    <w:multiLevelType w:val="singleLevel"/>
    <w:tmpl w:val="D2D46333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D9A57819"/>
    <w:multiLevelType w:val="singleLevel"/>
    <w:tmpl w:val="D9A57819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09A7EE5F"/>
    <w:multiLevelType w:val="singleLevel"/>
    <w:tmpl w:val="09A7EE5F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0BE5779A"/>
    <w:multiLevelType w:val="multilevel"/>
    <w:tmpl w:val="0BE5779A"/>
    <w:lvl w:ilvl="0" w:tentative="0">
      <w:start w:val="1"/>
      <w:numFmt w:val="decimal"/>
      <w:lvlText w:val="%1"/>
      <w:lvlJc w:val="left"/>
      <w:pPr>
        <w:ind w:left="420" w:hanging="420"/>
      </w:pPr>
      <w:rPr>
        <w:rFonts w:hint="default" w:ascii="宋体" w:hAnsi="宋体" w:eastAsia="宋体"/>
        <w:b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0CA20CDA"/>
    <w:multiLevelType w:val="singleLevel"/>
    <w:tmpl w:val="0CA20CDA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336853BA"/>
    <w:multiLevelType w:val="multilevel"/>
    <w:tmpl w:val="336853BA"/>
    <w:lvl w:ilvl="0" w:tentative="0">
      <w:start w:val="1"/>
      <w:numFmt w:val="chineseCountingThousand"/>
      <w:lvlText w:val="%1、"/>
      <w:lvlJc w:val="left"/>
      <w:pPr>
        <w:ind w:left="420" w:hanging="420"/>
      </w:pPr>
      <w:rPr>
        <w:rFonts w:hint="eastAsia"/>
        <w:sz w:val="30"/>
        <w:szCs w:val="3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C5B6731"/>
    <w:multiLevelType w:val="singleLevel"/>
    <w:tmpl w:val="7C5B673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AE8876"/>
    <w:rsid w:val="05991F60"/>
    <w:rsid w:val="05C43A86"/>
    <w:rsid w:val="06A54C50"/>
    <w:rsid w:val="070E6F20"/>
    <w:rsid w:val="0BAE8876"/>
    <w:rsid w:val="0EEA5EC8"/>
    <w:rsid w:val="11227D05"/>
    <w:rsid w:val="121A37CD"/>
    <w:rsid w:val="141D2FD5"/>
    <w:rsid w:val="18623D7E"/>
    <w:rsid w:val="191526BE"/>
    <w:rsid w:val="1BAF15B4"/>
    <w:rsid w:val="1C424981"/>
    <w:rsid w:val="1F4253BF"/>
    <w:rsid w:val="215D76CB"/>
    <w:rsid w:val="277817B3"/>
    <w:rsid w:val="30987AC8"/>
    <w:rsid w:val="340C3D9A"/>
    <w:rsid w:val="42C949B2"/>
    <w:rsid w:val="45714CCB"/>
    <w:rsid w:val="488D17AC"/>
    <w:rsid w:val="49E14F29"/>
    <w:rsid w:val="4C767461"/>
    <w:rsid w:val="51926D13"/>
    <w:rsid w:val="519A07DF"/>
    <w:rsid w:val="54E245E2"/>
    <w:rsid w:val="55636EFD"/>
    <w:rsid w:val="629B07CD"/>
    <w:rsid w:val="63C35974"/>
    <w:rsid w:val="667B3E2D"/>
    <w:rsid w:val="6AB802F6"/>
    <w:rsid w:val="6D387B95"/>
    <w:rsid w:val="717B5D99"/>
    <w:rsid w:val="73EA058C"/>
    <w:rsid w:val="7778290C"/>
    <w:rsid w:val="793446A1"/>
    <w:rsid w:val="AF7D1D24"/>
    <w:rsid w:val="DDFB01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widowControl w:val="0"/>
      <w:spacing w:before="200" w:after="200" w:line="300" w:lineRule="exact"/>
      <w:jc w:val="center"/>
      <w:outlineLvl w:val="1"/>
    </w:pPr>
    <w:rPr>
      <w:rFonts w:ascii="宋体" w:hAnsi="宋体" w:cs="Times New Roman"/>
      <w:b/>
      <w:bCs/>
      <w:iCs/>
      <w:color w:val="000000"/>
      <w:kern w:val="2"/>
      <w:sz w:val="28"/>
      <w:szCs w:val="28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widowControl/>
      <w:jc w:val="left"/>
    </w:pPr>
    <w:rPr>
      <w:rFonts w:ascii="Arial" w:hAnsi="Arial" w:eastAsia="宋体" w:cs="Times New Roman"/>
      <w:kern w:val="0"/>
      <w:sz w:val="20"/>
      <w:szCs w:val="20"/>
      <w:lang w:val="de-DE" w:eastAsia="en-US"/>
    </w:rPr>
  </w:style>
  <w:style w:type="paragraph" w:styleId="4">
    <w:name w:val="Normal Indent"/>
    <w:basedOn w:val="1"/>
    <w:unhideWhenUsed/>
    <w:qFormat/>
    <w:uiPriority w:val="0"/>
    <w:pPr>
      <w:widowControl w:val="0"/>
      <w:ind w:firstLine="420" w:firstLineChars="200"/>
    </w:pPr>
    <w:rPr>
      <w:kern w:val="2"/>
      <w:szCs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*正文"/>
    <w:basedOn w:val="1"/>
    <w:qFormat/>
    <w:uiPriority w:val="0"/>
    <w:pPr>
      <w:spacing w:line="300" w:lineRule="auto"/>
      <w:ind w:firstLine="480" w:firstLineChars="200"/>
    </w:pPr>
    <w:rPr>
      <w:rFonts w:ascii="宋体" w:hAnsi="宋体"/>
      <w:sz w:val="24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8312</Words>
  <Characters>8624</Characters>
  <Lines>0</Lines>
  <Paragraphs>0</Paragraphs>
  <TotalTime>60</TotalTime>
  <ScaleCrop>false</ScaleCrop>
  <LinksUpToDate>false</LinksUpToDate>
  <CharactersWithSpaces>8800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2026-03-18T07:45:00Z</dcterms:created>
  <dc:creator>隽</dc:creator>
  <cp:lastModifiedBy>隽</cp:lastModifiedBy>
  <cp:lastPrinted>2026-04-03T16:03:39Z</cp:lastPrinted>
  <dcterms:modified xsi:type="dcterms:W3CDTF">2026-04-03T16:42:19Z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D0D06DB84228420091DFB0DAD77162EC_13</vt:lpwstr>
  </property>
  <property fmtid="{D5CDD505-2E9C-101B-9397-08002B2CF9AE}" pid="4" name="KSOTemplateDocerSaveRecord">
    <vt:lpwstr>eyJoZGlkIjoiMzlmMDI2MjJkZTk1YTZmYWVmMjlmYzNmOTZhMmRlZjIiLCJ1c2VySWQiOiIxNjk2OTc0NjU2In0=</vt:lpwstr>
  </property>
</Properties>
</file>