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5B8B89">
      <w:pPr>
        <w:pStyle w:val="11"/>
        <w:bidi w:val="0"/>
        <w:rPr>
          <w:rFonts w:hint="eastAsia"/>
        </w:rPr>
      </w:pPr>
      <w:r>
        <w:rPr>
          <w:rFonts w:hint="eastAsia"/>
        </w:rPr>
        <w:t>武汉市档案馆</w:t>
      </w:r>
    </w:p>
    <w:p w14:paraId="465E3208">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仿宋" w:hAnsi="仿宋" w:eastAsia="仿宋" w:cs="仿宋"/>
          <w:b/>
          <w:bCs/>
          <w:sz w:val="52"/>
          <w:szCs w:val="52"/>
        </w:rPr>
      </w:pPr>
      <w:r>
        <w:rPr>
          <w:rFonts w:hint="eastAsia" w:ascii="仿宋" w:hAnsi="仿宋" w:eastAsia="仿宋" w:cs="仿宋"/>
          <w:b/>
          <w:bCs/>
          <w:sz w:val="52"/>
          <w:szCs w:val="52"/>
        </w:rPr>
        <w:t>2026年信息化运维与延保服务项目</w:t>
      </w:r>
    </w:p>
    <w:p w14:paraId="6E5AC98C">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仿宋" w:hAnsi="仿宋" w:eastAsia="仿宋" w:cs="仿宋"/>
          <w:b/>
          <w:bCs/>
          <w:sz w:val="52"/>
          <w:szCs w:val="52"/>
        </w:rPr>
      </w:pPr>
    </w:p>
    <w:p w14:paraId="5CCDF395">
      <w:pPr>
        <w:keepNext w:val="0"/>
        <w:keepLines w:val="0"/>
        <w:pageBreakBefore w:val="0"/>
        <w:widowControl w:val="0"/>
        <w:kinsoku/>
        <w:wordWrap/>
        <w:overflowPunct/>
        <w:topLinePunct w:val="0"/>
        <w:autoSpaceDE/>
        <w:autoSpaceDN/>
        <w:bidi w:val="0"/>
        <w:adjustRightInd/>
        <w:snapToGrid/>
        <w:spacing w:before="100" w:beforeAutospacing="1" w:after="100" w:afterAutospacing="1" w:line="360" w:lineRule="auto"/>
        <w:jc w:val="center"/>
        <w:textAlignment w:val="auto"/>
        <w:rPr>
          <w:rFonts w:hint="eastAsia" w:ascii="仿宋" w:hAnsi="仿宋" w:eastAsia="仿宋" w:cs="仿宋"/>
          <w:b/>
          <w:bCs/>
          <w:sz w:val="52"/>
          <w:szCs w:val="52"/>
        </w:rPr>
      </w:pPr>
    </w:p>
    <w:p w14:paraId="3D1F56E0">
      <w:pPr>
        <w:spacing w:before="0"/>
        <w:ind w:right="1512"/>
        <w:jc w:val="center"/>
        <w:rPr>
          <w:rFonts w:hint="eastAsia" w:ascii="仿宋" w:hAnsi="仿宋" w:eastAsia="仿宋" w:cs="仿宋"/>
          <w:b/>
          <w:sz w:val="84"/>
          <w:lang w:eastAsia="zh-CN"/>
        </w:rPr>
      </w:pPr>
      <w:r>
        <w:rPr>
          <w:rFonts w:hint="eastAsia" w:ascii="仿宋" w:hAnsi="仿宋" w:eastAsia="仿宋" w:cs="仿宋"/>
          <w:b/>
          <w:spacing w:val="84"/>
          <w:sz w:val="84"/>
          <w:lang w:val="en-US" w:eastAsia="zh-CN"/>
        </w:rPr>
        <w:t xml:space="preserve">   </w:t>
      </w:r>
      <w:r>
        <w:rPr>
          <w:rFonts w:hint="eastAsia" w:ascii="仿宋" w:hAnsi="仿宋" w:eastAsia="仿宋" w:cs="仿宋"/>
          <w:b/>
          <w:spacing w:val="84"/>
          <w:sz w:val="84"/>
        </w:rPr>
        <w:t>采购</w:t>
      </w:r>
      <w:r>
        <w:rPr>
          <w:rFonts w:hint="eastAsia" w:ascii="仿宋" w:hAnsi="仿宋" w:eastAsia="仿宋" w:cs="仿宋"/>
          <w:b/>
          <w:spacing w:val="84"/>
          <w:sz w:val="84"/>
          <w:lang w:val="en-US" w:eastAsia="zh-CN"/>
        </w:rPr>
        <w:t>需求</w:t>
      </w:r>
    </w:p>
    <w:p w14:paraId="07382363">
      <w:pPr>
        <w:pStyle w:val="11"/>
        <w:ind w:left="0"/>
        <w:rPr>
          <w:rFonts w:hint="eastAsia" w:ascii="仿宋" w:hAnsi="仿宋" w:eastAsia="仿宋" w:cs="仿宋"/>
          <w:b/>
          <w:sz w:val="20"/>
        </w:rPr>
      </w:pPr>
    </w:p>
    <w:p w14:paraId="56EC8F77">
      <w:pPr>
        <w:pStyle w:val="11"/>
        <w:ind w:left="0"/>
        <w:rPr>
          <w:rFonts w:hint="eastAsia" w:ascii="仿宋" w:hAnsi="仿宋" w:eastAsia="仿宋" w:cs="仿宋"/>
          <w:b/>
          <w:sz w:val="20"/>
        </w:rPr>
      </w:pPr>
    </w:p>
    <w:p w14:paraId="54E42CDB">
      <w:pPr>
        <w:pStyle w:val="11"/>
        <w:ind w:left="0"/>
        <w:rPr>
          <w:rFonts w:hint="eastAsia" w:ascii="仿宋" w:hAnsi="仿宋" w:eastAsia="仿宋" w:cs="仿宋"/>
          <w:b/>
          <w:sz w:val="20"/>
        </w:rPr>
      </w:pPr>
    </w:p>
    <w:p w14:paraId="599BB03A">
      <w:pPr>
        <w:pStyle w:val="11"/>
        <w:ind w:left="0"/>
        <w:rPr>
          <w:rFonts w:hint="eastAsia" w:ascii="仿宋" w:hAnsi="仿宋" w:eastAsia="仿宋" w:cs="仿宋"/>
          <w:b/>
          <w:sz w:val="20"/>
        </w:rPr>
      </w:pPr>
    </w:p>
    <w:p w14:paraId="08F4B44A">
      <w:pPr>
        <w:pStyle w:val="11"/>
        <w:spacing w:before="3"/>
        <w:ind w:left="0"/>
        <w:jc w:val="center"/>
        <w:rPr>
          <w:rFonts w:hint="eastAsia" w:ascii="仿宋" w:hAnsi="仿宋" w:eastAsia="仿宋" w:cs="仿宋"/>
          <w:b/>
          <w:sz w:val="13"/>
        </w:rPr>
      </w:pPr>
    </w:p>
    <w:p w14:paraId="4F519609">
      <w:pPr>
        <w:bidi w:val="0"/>
        <w:jc w:val="center"/>
        <w:rPr>
          <w:rFonts w:hint="eastAsia" w:ascii="仿宋" w:hAnsi="仿宋" w:eastAsia="仿宋" w:cs="仿宋"/>
          <w:b/>
          <w:bCs/>
          <w:sz w:val="36"/>
          <w:szCs w:val="36"/>
        </w:rPr>
      </w:pPr>
      <w:r>
        <w:rPr>
          <w:rFonts w:hint="eastAsia" w:ascii="仿宋" w:hAnsi="仿宋" w:eastAsia="仿宋" w:cs="仿宋"/>
          <w:b/>
          <w:bCs/>
          <w:sz w:val="36"/>
          <w:szCs w:val="36"/>
        </w:rPr>
        <w:t>202</w:t>
      </w:r>
      <w:r>
        <w:rPr>
          <w:rFonts w:hint="eastAsia" w:ascii="仿宋" w:hAnsi="仿宋" w:eastAsia="仿宋" w:cs="仿宋"/>
          <w:b/>
          <w:bCs/>
          <w:sz w:val="36"/>
          <w:szCs w:val="36"/>
          <w:lang w:val="en-US" w:eastAsia="zh-CN"/>
        </w:rPr>
        <w:t>6</w:t>
      </w:r>
      <w:r>
        <w:rPr>
          <w:rFonts w:hint="eastAsia" w:ascii="仿宋" w:hAnsi="仿宋" w:eastAsia="仿宋" w:cs="仿宋"/>
          <w:b/>
          <w:bCs/>
          <w:sz w:val="36"/>
          <w:szCs w:val="36"/>
        </w:rPr>
        <w:t xml:space="preserve"> 年 </w:t>
      </w:r>
      <w:r>
        <w:rPr>
          <w:rFonts w:hint="eastAsia" w:ascii="仿宋" w:hAnsi="仿宋" w:eastAsia="仿宋" w:cs="仿宋"/>
          <w:b/>
          <w:bCs/>
          <w:sz w:val="36"/>
          <w:szCs w:val="36"/>
          <w:lang w:val="en-US" w:eastAsia="zh-CN"/>
        </w:rPr>
        <w:t>1</w:t>
      </w:r>
      <w:r>
        <w:rPr>
          <w:rFonts w:hint="eastAsia" w:ascii="仿宋" w:hAnsi="仿宋" w:eastAsia="仿宋" w:cs="仿宋"/>
          <w:b/>
          <w:bCs/>
          <w:sz w:val="36"/>
          <w:szCs w:val="36"/>
        </w:rPr>
        <w:t xml:space="preserve"> 月</w:t>
      </w:r>
    </w:p>
    <w:p w14:paraId="23A57BC3">
      <w:pPr>
        <w:rPr>
          <w:rFonts w:hint="eastAsia"/>
        </w:rPr>
      </w:pPr>
      <w:r>
        <w:rPr>
          <w:rFonts w:hint="eastAsia"/>
        </w:rPr>
        <w:br w:type="page"/>
      </w:r>
    </w:p>
    <w:p w14:paraId="38E13DF5">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项目基本情况</w:t>
      </w:r>
    </w:p>
    <w:p w14:paraId="1A484EC7">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 w:hAnsi="仿宋" w:eastAsia="仿宋" w:cs="仿宋"/>
          <w:b w:val="0"/>
          <w:bCs w:val="0"/>
          <w:sz w:val="28"/>
          <w:szCs w:val="28"/>
          <w:lang w:val="en-US" w:eastAsia="zh-CN"/>
        </w:rPr>
      </w:pPr>
      <w:r>
        <w:rPr>
          <w:rFonts w:hint="default" w:ascii="仿宋" w:hAnsi="仿宋" w:eastAsia="仿宋" w:cs="仿宋"/>
          <w:b w:val="0"/>
          <w:bCs w:val="0"/>
          <w:sz w:val="28"/>
          <w:szCs w:val="28"/>
          <w:lang w:val="en-US" w:eastAsia="zh-CN"/>
        </w:rPr>
        <w:t>项目名称：2026年信息化运维与延保服务项目</w:t>
      </w:r>
    </w:p>
    <w:p w14:paraId="62750F59">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 w:hAnsi="仿宋" w:eastAsia="仿宋" w:cs="仿宋"/>
          <w:b w:val="0"/>
          <w:bCs w:val="0"/>
          <w:sz w:val="28"/>
          <w:szCs w:val="28"/>
          <w:lang w:val="en-US" w:eastAsia="zh-CN"/>
        </w:rPr>
      </w:pPr>
      <w:r>
        <w:rPr>
          <w:rFonts w:hint="default" w:ascii="仿宋" w:hAnsi="仿宋" w:eastAsia="仿宋" w:cs="仿宋"/>
          <w:b w:val="0"/>
          <w:bCs w:val="0"/>
          <w:sz w:val="28"/>
          <w:szCs w:val="28"/>
          <w:lang w:val="en-US" w:eastAsia="zh-CN"/>
        </w:rPr>
        <w:t>预算金额：</w:t>
      </w:r>
      <w:r>
        <w:rPr>
          <w:rFonts w:hint="eastAsia" w:ascii="仿宋" w:hAnsi="仿宋" w:eastAsia="仿宋" w:cs="仿宋"/>
          <w:b w:val="0"/>
          <w:bCs w:val="0"/>
          <w:sz w:val="28"/>
          <w:szCs w:val="28"/>
          <w:lang w:val="en-US" w:eastAsia="zh-CN"/>
        </w:rPr>
        <w:t>66.85</w:t>
      </w:r>
      <w:r>
        <w:rPr>
          <w:rFonts w:hint="default" w:ascii="仿宋" w:hAnsi="仿宋" w:eastAsia="仿宋" w:cs="仿宋"/>
          <w:b w:val="0"/>
          <w:bCs w:val="0"/>
          <w:sz w:val="28"/>
          <w:szCs w:val="28"/>
          <w:lang w:val="en-US" w:eastAsia="zh-CN"/>
        </w:rPr>
        <w:t>万元</w:t>
      </w:r>
    </w:p>
    <w:p w14:paraId="48DC9C54">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 w:hAnsi="仿宋" w:eastAsia="仿宋" w:cs="仿宋"/>
          <w:b w:val="0"/>
          <w:bCs w:val="0"/>
          <w:sz w:val="28"/>
          <w:szCs w:val="28"/>
          <w:lang w:val="en-US" w:eastAsia="zh-CN"/>
        </w:rPr>
      </w:pPr>
      <w:r>
        <w:rPr>
          <w:rFonts w:hint="default" w:ascii="仿宋" w:hAnsi="仿宋" w:eastAsia="仿宋" w:cs="仿宋"/>
          <w:b w:val="0"/>
          <w:bCs w:val="0"/>
          <w:sz w:val="28"/>
          <w:szCs w:val="28"/>
          <w:lang w:val="en-US" w:eastAsia="zh-CN"/>
        </w:rPr>
        <w:t>运维期限</w:t>
      </w:r>
      <w:r>
        <w:rPr>
          <w:rFonts w:hint="eastAsia" w:ascii="仿宋" w:hAnsi="仿宋" w:eastAsia="仿宋" w:cs="仿宋"/>
          <w:b w:val="0"/>
          <w:bCs w:val="0"/>
          <w:sz w:val="28"/>
          <w:szCs w:val="28"/>
          <w:lang w:val="en-US" w:eastAsia="zh-CN"/>
        </w:rPr>
        <w:t>：自合同签订起一年</w:t>
      </w:r>
    </w:p>
    <w:p w14:paraId="72DF132E">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 w:hAnsi="仿宋" w:eastAsia="仿宋" w:cs="仿宋"/>
          <w:b w:val="0"/>
          <w:bCs w:val="0"/>
          <w:sz w:val="28"/>
          <w:szCs w:val="28"/>
          <w:lang w:val="en-US" w:eastAsia="zh-CN"/>
        </w:rPr>
      </w:pPr>
      <w:r>
        <w:rPr>
          <w:rFonts w:hint="default" w:ascii="仿宋" w:hAnsi="仿宋" w:eastAsia="仿宋" w:cs="仿宋"/>
          <w:b w:val="0"/>
          <w:bCs w:val="0"/>
          <w:sz w:val="28"/>
          <w:szCs w:val="28"/>
          <w:lang w:val="en-US" w:eastAsia="zh-CN"/>
        </w:rPr>
        <w:t>采购单位</w:t>
      </w:r>
      <w:r>
        <w:rPr>
          <w:rFonts w:hint="eastAsia" w:ascii="仿宋" w:hAnsi="仿宋" w:eastAsia="仿宋" w:cs="仿宋"/>
          <w:b w:val="0"/>
          <w:bCs w:val="0"/>
          <w:sz w:val="28"/>
          <w:szCs w:val="28"/>
          <w:lang w:val="en-US" w:eastAsia="zh-CN"/>
        </w:rPr>
        <w:t>：武汉市档案馆</w:t>
      </w:r>
    </w:p>
    <w:p w14:paraId="1E71E7A9">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仿宋" w:hAnsi="仿宋" w:eastAsia="仿宋" w:cs="仿宋"/>
          <w:b w:val="0"/>
          <w:bCs w:val="0"/>
          <w:sz w:val="28"/>
          <w:szCs w:val="28"/>
          <w:lang w:val="en-US" w:eastAsia="zh-CN"/>
        </w:rPr>
      </w:pPr>
      <w:r>
        <w:rPr>
          <w:rFonts w:hint="default" w:ascii="仿宋" w:hAnsi="仿宋" w:eastAsia="仿宋" w:cs="仿宋"/>
          <w:b w:val="0"/>
          <w:bCs w:val="0"/>
          <w:sz w:val="28"/>
          <w:szCs w:val="28"/>
          <w:lang w:val="en-US" w:eastAsia="zh-CN"/>
        </w:rPr>
        <w:t>采购方式</w:t>
      </w:r>
      <w:r>
        <w:rPr>
          <w:rFonts w:hint="eastAsia" w:ascii="仿宋" w:hAnsi="仿宋" w:eastAsia="仿宋" w:cs="仿宋"/>
          <w:b w:val="0"/>
          <w:bCs w:val="0"/>
          <w:sz w:val="28"/>
          <w:szCs w:val="28"/>
          <w:lang w:val="en-US" w:eastAsia="zh-CN"/>
        </w:rPr>
        <w:t>：电子商城</w:t>
      </w:r>
    </w:p>
    <w:p w14:paraId="4E96C086">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仿宋" w:hAnsi="仿宋" w:eastAsia="仿宋" w:cs="仿宋"/>
          <w:b/>
          <w:sz w:val="32"/>
          <w:szCs w:val="32"/>
          <w:lang w:val="en-US" w:eastAsia="zh-CN"/>
        </w:rPr>
      </w:pPr>
      <w:r>
        <w:rPr>
          <w:rFonts w:hint="eastAsia" w:ascii="仿宋" w:hAnsi="仿宋" w:eastAsia="仿宋" w:cs="仿宋"/>
          <w:b/>
          <w:sz w:val="32"/>
          <w:szCs w:val="32"/>
          <w:lang w:val="en-US" w:eastAsia="zh-CN"/>
        </w:rPr>
        <w:t>报价人资格要求</w:t>
      </w:r>
    </w:p>
    <w:p w14:paraId="6998154B">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满足《中华人民共和国政府采购法》第二十二条规定，即：</w:t>
      </w:r>
    </w:p>
    <w:p w14:paraId="7F90BC1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（1）具有独立承担民事责任的能力；</w:t>
      </w:r>
    </w:p>
    <w:p w14:paraId="75B6A7D2">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（2）具有良好的商业信誉和健全的财务会计制度；</w:t>
      </w:r>
    </w:p>
    <w:p w14:paraId="3C5F733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（3）具有履行合同所必需的设备和专业技术能力；</w:t>
      </w:r>
    </w:p>
    <w:p w14:paraId="165A1EA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（4）有依法缴纳税收和社会保障资金的良好记录；</w:t>
      </w:r>
    </w:p>
    <w:p w14:paraId="77C4EC8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（5）参加政府采购活动前三年内，在经营活动中没有重大违法记录；</w:t>
      </w:r>
    </w:p>
    <w:p w14:paraId="1E86675F">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（6）法律、行政法规规定的其他条件。</w:t>
      </w:r>
    </w:p>
    <w:p w14:paraId="012A4FD8">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本项目的特定资格要求:无。</w:t>
      </w:r>
    </w:p>
    <w:p w14:paraId="6B32D899">
      <w:pP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14:paraId="6FDFB5EB">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仿宋" w:hAnsi="仿宋" w:eastAsia="仿宋" w:cs="仿宋"/>
          <w:b/>
          <w:sz w:val="32"/>
          <w:szCs w:val="32"/>
          <w:lang w:val="en-US" w:eastAsia="zh-CN"/>
        </w:rPr>
      </w:pPr>
      <w:r>
        <w:rPr>
          <w:rFonts w:hint="eastAsia" w:ascii="仿宋" w:hAnsi="仿宋" w:eastAsia="仿宋" w:cs="仿宋"/>
          <w:b/>
          <w:sz w:val="32"/>
          <w:szCs w:val="32"/>
          <w:lang w:val="en-US" w:eastAsia="zh-CN"/>
        </w:rPr>
        <w:t>采购需求</w:t>
      </w:r>
    </w:p>
    <w:p w14:paraId="207DED70">
      <w:pPr>
        <w:pStyle w:val="2"/>
        <w:keepNext/>
        <w:keepLines/>
        <w:pageBreakBefore w:val="0"/>
        <w:widowControl w:val="0"/>
        <w:kinsoku/>
        <w:wordWrap/>
        <w:overflowPunct/>
        <w:topLinePunct w:val="0"/>
        <w:autoSpaceDE/>
        <w:autoSpaceDN/>
        <w:bidi w:val="0"/>
        <w:adjustRightInd/>
        <w:snapToGrid/>
        <w:spacing w:before="0" w:after="0" w:line="360" w:lineRule="auto"/>
        <w:ind w:left="0" w:firstLine="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服务清单</w:t>
      </w:r>
    </w:p>
    <w:tbl>
      <w:tblPr>
        <w:tblStyle w:val="15"/>
        <w:tblW w:w="9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924"/>
        <w:gridCol w:w="3196"/>
        <w:gridCol w:w="898"/>
        <w:gridCol w:w="975"/>
        <w:gridCol w:w="1779"/>
      </w:tblGrid>
      <w:tr w14:paraId="66337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Align w:val="center"/>
          </w:tcPr>
          <w:p w14:paraId="6442688C">
            <w:p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序号</w:t>
            </w:r>
          </w:p>
        </w:tc>
        <w:tc>
          <w:tcPr>
            <w:tcW w:w="1924" w:type="dxa"/>
            <w:vAlign w:val="center"/>
          </w:tcPr>
          <w:p w14:paraId="2DA4E9A7">
            <w:p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服务大类</w:t>
            </w:r>
          </w:p>
        </w:tc>
        <w:tc>
          <w:tcPr>
            <w:tcW w:w="3196" w:type="dxa"/>
            <w:vAlign w:val="center"/>
          </w:tcPr>
          <w:p w14:paraId="262B388D">
            <w:p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服务子类</w:t>
            </w:r>
          </w:p>
        </w:tc>
        <w:tc>
          <w:tcPr>
            <w:tcW w:w="898" w:type="dxa"/>
            <w:vAlign w:val="center"/>
          </w:tcPr>
          <w:p w14:paraId="4C4D47E7">
            <w:p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数量</w:t>
            </w:r>
          </w:p>
        </w:tc>
        <w:tc>
          <w:tcPr>
            <w:tcW w:w="975" w:type="dxa"/>
            <w:vAlign w:val="center"/>
          </w:tcPr>
          <w:p w14:paraId="4DA30000">
            <w:p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单位</w:t>
            </w:r>
          </w:p>
        </w:tc>
        <w:tc>
          <w:tcPr>
            <w:tcW w:w="1779" w:type="dxa"/>
            <w:vAlign w:val="center"/>
          </w:tcPr>
          <w:p w14:paraId="13E36376">
            <w:pPr>
              <w:spacing w:line="360" w:lineRule="auto"/>
              <w:jc w:val="center"/>
              <w:rPr>
                <w:rFonts w:hint="eastAsia"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预算金额</w:t>
            </w:r>
          </w:p>
          <w:p w14:paraId="1298B64C">
            <w:pPr>
              <w:spacing w:line="360" w:lineRule="auto"/>
              <w:jc w:val="center"/>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（万元）</w:t>
            </w:r>
          </w:p>
        </w:tc>
      </w:tr>
      <w:tr w14:paraId="287E1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Merge w:val="restart"/>
            <w:vAlign w:val="center"/>
          </w:tcPr>
          <w:p w14:paraId="6AD1B5F9">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1924" w:type="dxa"/>
            <w:vMerge w:val="restart"/>
            <w:vAlign w:val="center"/>
          </w:tcPr>
          <w:p w14:paraId="2CB842A7">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信息化运维服务</w:t>
            </w:r>
          </w:p>
        </w:tc>
        <w:tc>
          <w:tcPr>
            <w:tcW w:w="3196" w:type="dxa"/>
            <w:vAlign w:val="center"/>
          </w:tcPr>
          <w:p w14:paraId="398F3CFF">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网站配套服务</w:t>
            </w:r>
          </w:p>
        </w:tc>
        <w:tc>
          <w:tcPr>
            <w:tcW w:w="898" w:type="dxa"/>
            <w:vAlign w:val="center"/>
          </w:tcPr>
          <w:p w14:paraId="48C64349">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975" w:type="dxa"/>
            <w:vAlign w:val="center"/>
          </w:tcPr>
          <w:p w14:paraId="6EBE53CF">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项/年</w:t>
            </w:r>
          </w:p>
        </w:tc>
        <w:tc>
          <w:tcPr>
            <w:tcW w:w="1779" w:type="dxa"/>
            <w:vAlign w:val="center"/>
          </w:tcPr>
          <w:p w14:paraId="2A71741E">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1.8</w:t>
            </w:r>
          </w:p>
        </w:tc>
      </w:tr>
      <w:tr w14:paraId="552C4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Merge w:val="continue"/>
            <w:vAlign w:val="center"/>
          </w:tcPr>
          <w:p w14:paraId="575917E3">
            <w:pPr>
              <w:spacing w:line="360" w:lineRule="auto"/>
              <w:jc w:val="center"/>
              <w:rPr>
                <w:rFonts w:hint="eastAsia" w:ascii="仿宋" w:hAnsi="仿宋" w:eastAsia="仿宋" w:cs="仿宋"/>
                <w:b w:val="0"/>
                <w:bCs w:val="0"/>
                <w:sz w:val="24"/>
                <w:szCs w:val="24"/>
                <w:vertAlign w:val="baseline"/>
                <w:lang w:val="en-US" w:eastAsia="zh-CN"/>
              </w:rPr>
            </w:pPr>
          </w:p>
        </w:tc>
        <w:tc>
          <w:tcPr>
            <w:tcW w:w="1924" w:type="dxa"/>
            <w:vMerge w:val="continue"/>
            <w:vAlign w:val="center"/>
          </w:tcPr>
          <w:p w14:paraId="74140D2A">
            <w:pPr>
              <w:spacing w:line="360" w:lineRule="auto"/>
              <w:jc w:val="center"/>
              <w:rPr>
                <w:rFonts w:hint="eastAsia" w:ascii="仿宋" w:hAnsi="仿宋" w:eastAsia="仿宋" w:cs="仿宋"/>
                <w:b w:val="0"/>
                <w:bCs w:val="0"/>
                <w:sz w:val="24"/>
                <w:szCs w:val="24"/>
                <w:vertAlign w:val="baseline"/>
                <w:lang w:val="en-US" w:eastAsia="zh-CN"/>
              </w:rPr>
            </w:pPr>
          </w:p>
        </w:tc>
        <w:tc>
          <w:tcPr>
            <w:tcW w:w="3196" w:type="dxa"/>
            <w:vAlign w:val="center"/>
          </w:tcPr>
          <w:p w14:paraId="14943849">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安全运维服务</w:t>
            </w:r>
          </w:p>
        </w:tc>
        <w:tc>
          <w:tcPr>
            <w:tcW w:w="898" w:type="dxa"/>
            <w:vAlign w:val="center"/>
          </w:tcPr>
          <w:p w14:paraId="46D90ECD">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975" w:type="dxa"/>
            <w:vAlign w:val="center"/>
          </w:tcPr>
          <w:p w14:paraId="0729D841">
            <w:p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项/年</w:t>
            </w:r>
          </w:p>
        </w:tc>
        <w:tc>
          <w:tcPr>
            <w:tcW w:w="1779" w:type="dxa"/>
            <w:vAlign w:val="center"/>
          </w:tcPr>
          <w:p w14:paraId="198C4EFD">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11.5</w:t>
            </w:r>
          </w:p>
        </w:tc>
      </w:tr>
      <w:tr w14:paraId="7A7D4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Merge w:val="continue"/>
            <w:vAlign w:val="center"/>
          </w:tcPr>
          <w:p w14:paraId="7F1C1828">
            <w:pPr>
              <w:spacing w:line="360" w:lineRule="auto"/>
              <w:jc w:val="center"/>
              <w:rPr>
                <w:rFonts w:hint="eastAsia" w:ascii="仿宋" w:hAnsi="仿宋" w:eastAsia="仿宋" w:cs="仿宋"/>
                <w:b w:val="0"/>
                <w:bCs w:val="0"/>
                <w:sz w:val="24"/>
                <w:szCs w:val="24"/>
                <w:vertAlign w:val="baseline"/>
                <w:lang w:val="en-US" w:eastAsia="zh-CN"/>
              </w:rPr>
            </w:pPr>
          </w:p>
        </w:tc>
        <w:tc>
          <w:tcPr>
            <w:tcW w:w="1924" w:type="dxa"/>
            <w:vMerge w:val="continue"/>
            <w:vAlign w:val="center"/>
          </w:tcPr>
          <w:p w14:paraId="3E80B426">
            <w:pPr>
              <w:spacing w:line="360" w:lineRule="auto"/>
              <w:jc w:val="center"/>
              <w:rPr>
                <w:rFonts w:hint="eastAsia" w:ascii="仿宋" w:hAnsi="仿宋" w:eastAsia="仿宋" w:cs="仿宋"/>
                <w:b w:val="0"/>
                <w:bCs w:val="0"/>
                <w:sz w:val="24"/>
                <w:szCs w:val="24"/>
                <w:vertAlign w:val="baseline"/>
                <w:lang w:val="en-US" w:eastAsia="zh-CN"/>
              </w:rPr>
            </w:pPr>
          </w:p>
        </w:tc>
        <w:tc>
          <w:tcPr>
            <w:tcW w:w="3196" w:type="dxa"/>
            <w:vAlign w:val="center"/>
          </w:tcPr>
          <w:p w14:paraId="3BCCEA6D">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IT综合运维服务</w:t>
            </w:r>
          </w:p>
        </w:tc>
        <w:tc>
          <w:tcPr>
            <w:tcW w:w="898" w:type="dxa"/>
            <w:vAlign w:val="center"/>
          </w:tcPr>
          <w:p w14:paraId="1B65A2CC">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975" w:type="dxa"/>
            <w:vAlign w:val="center"/>
          </w:tcPr>
          <w:p w14:paraId="55E25EF3">
            <w:p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项/年</w:t>
            </w:r>
          </w:p>
        </w:tc>
        <w:tc>
          <w:tcPr>
            <w:tcW w:w="1779" w:type="dxa"/>
            <w:vAlign w:val="center"/>
          </w:tcPr>
          <w:p w14:paraId="7BCD70F3">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20.7</w:t>
            </w:r>
          </w:p>
        </w:tc>
      </w:tr>
      <w:tr w14:paraId="48DB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Merge w:val="continue"/>
            <w:vAlign w:val="center"/>
          </w:tcPr>
          <w:p w14:paraId="107CC151">
            <w:pPr>
              <w:spacing w:line="360" w:lineRule="auto"/>
              <w:jc w:val="center"/>
              <w:rPr>
                <w:rFonts w:hint="eastAsia" w:ascii="仿宋" w:hAnsi="仿宋" w:eastAsia="仿宋" w:cs="仿宋"/>
                <w:b w:val="0"/>
                <w:bCs w:val="0"/>
                <w:sz w:val="24"/>
                <w:szCs w:val="24"/>
                <w:vertAlign w:val="baseline"/>
                <w:lang w:val="en-US" w:eastAsia="zh-CN"/>
              </w:rPr>
            </w:pPr>
          </w:p>
        </w:tc>
        <w:tc>
          <w:tcPr>
            <w:tcW w:w="1924" w:type="dxa"/>
            <w:vMerge w:val="continue"/>
            <w:vAlign w:val="center"/>
          </w:tcPr>
          <w:p w14:paraId="3D769360">
            <w:pPr>
              <w:spacing w:line="360" w:lineRule="auto"/>
              <w:jc w:val="center"/>
              <w:rPr>
                <w:rFonts w:hint="eastAsia" w:ascii="仿宋" w:hAnsi="仿宋" w:eastAsia="仿宋" w:cs="仿宋"/>
                <w:b w:val="0"/>
                <w:bCs w:val="0"/>
                <w:sz w:val="24"/>
                <w:szCs w:val="24"/>
                <w:vertAlign w:val="baseline"/>
                <w:lang w:val="en-US" w:eastAsia="zh-CN"/>
              </w:rPr>
            </w:pPr>
          </w:p>
        </w:tc>
        <w:tc>
          <w:tcPr>
            <w:tcW w:w="3196" w:type="dxa"/>
            <w:vAlign w:val="center"/>
          </w:tcPr>
          <w:p w14:paraId="19D4B802">
            <w:p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数字档案资源集成管理与利用平台系统运维服务</w:t>
            </w:r>
          </w:p>
        </w:tc>
        <w:tc>
          <w:tcPr>
            <w:tcW w:w="898" w:type="dxa"/>
            <w:vAlign w:val="center"/>
          </w:tcPr>
          <w:p w14:paraId="50680291">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975" w:type="dxa"/>
            <w:vAlign w:val="center"/>
          </w:tcPr>
          <w:p w14:paraId="32D856E4">
            <w:p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项/年</w:t>
            </w:r>
          </w:p>
        </w:tc>
        <w:tc>
          <w:tcPr>
            <w:tcW w:w="1779" w:type="dxa"/>
            <w:vAlign w:val="center"/>
          </w:tcPr>
          <w:p w14:paraId="3D0DD8D7">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16</w:t>
            </w:r>
          </w:p>
        </w:tc>
      </w:tr>
      <w:tr w14:paraId="6A522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20" w:type="dxa"/>
            <w:vAlign w:val="center"/>
          </w:tcPr>
          <w:p w14:paraId="1F97C0D3">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2</w:t>
            </w:r>
          </w:p>
        </w:tc>
        <w:tc>
          <w:tcPr>
            <w:tcW w:w="1924" w:type="dxa"/>
            <w:vAlign w:val="center"/>
          </w:tcPr>
          <w:p w14:paraId="42A199D9">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机房部分核心设备延保服务</w:t>
            </w:r>
          </w:p>
        </w:tc>
        <w:tc>
          <w:tcPr>
            <w:tcW w:w="3196" w:type="dxa"/>
            <w:vAlign w:val="center"/>
          </w:tcPr>
          <w:p w14:paraId="22BF05BF">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机房设备维保服务</w:t>
            </w:r>
          </w:p>
        </w:tc>
        <w:tc>
          <w:tcPr>
            <w:tcW w:w="898" w:type="dxa"/>
            <w:vAlign w:val="center"/>
          </w:tcPr>
          <w:p w14:paraId="31BB5271">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w:t>
            </w:r>
          </w:p>
        </w:tc>
        <w:tc>
          <w:tcPr>
            <w:tcW w:w="975" w:type="dxa"/>
            <w:vAlign w:val="center"/>
          </w:tcPr>
          <w:p w14:paraId="16186FF0">
            <w:pPr>
              <w:spacing w:line="360" w:lineRule="auto"/>
              <w:jc w:val="center"/>
              <w:rPr>
                <w:rFonts w:hint="eastAsia"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项/年</w:t>
            </w:r>
          </w:p>
        </w:tc>
        <w:tc>
          <w:tcPr>
            <w:tcW w:w="1779" w:type="dxa"/>
            <w:vAlign w:val="center"/>
          </w:tcPr>
          <w:p w14:paraId="630B1F3D">
            <w:pPr>
              <w:spacing w:line="360" w:lineRule="auto"/>
              <w:jc w:val="center"/>
              <w:rPr>
                <w:rFonts w:hint="default" w:ascii="仿宋" w:hAnsi="仿宋" w:eastAsia="仿宋" w:cs="仿宋"/>
                <w:b w:val="0"/>
                <w:bCs w:val="0"/>
                <w:sz w:val="24"/>
                <w:szCs w:val="24"/>
                <w:vertAlign w:val="baseline"/>
                <w:lang w:val="en-US" w:eastAsia="zh-CN"/>
              </w:rPr>
            </w:pPr>
            <w:r>
              <w:rPr>
                <w:rFonts w:hint="eastAsia" w:ascii="仿宋" w:hAnsi="仿宋" w:eastAsia="仿宋" w:cs="仿宋"/>
                <w:b w:val="0"/>
                <w:bCs w:val="0"/>
                <w:sz w:val="24"/>
                <w:szCs w:val="24"/>
                <w:vertAlign w:val="baseline"/>
                <w:lang w:val="en-US" w:eastAsia="zh-CN"/>
              </w:rPr>
              <w:t>16.85</w:t>
            </w:r>
          </w:p>
        </w:tc>
      </w:tr>
      <w:tr w14:paraId="02E73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7713" w:type="dxa"/>
            <w:gridSpan w:val="5"/>
            <w:vAlign w:val="center"/>
          </w:tcPr>
          <w:p w14:paraId="5EC63294">
            <w:pPr>
              <w:spacing w:line="360" w:lineRule="auto"/>
              <w:jc w:val="center"/>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合计</w:t>
            </w:r>
          </w:p>
        </w:tc>
        <w:tc>
          <w:tcPr>
            <w:tcW w:w="1779" w:type="dxa"/>
            <w:vAlign w:val="center"/>
          </w:tcPr>
          <w:p w14:paraId="4E1CE818">
            <w:pPr>
              <w:spacing w:line="360" w:lineRule="auto"/>
              <w:jc w:val="center"/>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66.85</w:t>
            </w:r>
          </w:p>
        </w:tc>
      </w:tr>
      <w:tr w14:paraId="37EB5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492" w:type="dxa"/>
            <w:gridSpan w:val="6"/>
            <w:vAlign w:val="center"/>
          </w:tcPr>
          <w:p w14:paraId="1963E96D">
            <w:pPr>
              <w:spacing w:line="360" w:lineRule="auto"/>
              <w:jc w:val="center"/>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备注：预算总金额为66.85 万元，投标人报价不得高于最高限价，否则其资格将被否决。</w:t>
            </w:r>
          </w:p>
        </w:tc>
      </w:tr>
    </w:tbl>
    <w:p w14:paraId="709DAA75">
      <w:pPr>
        <w:rPr>
          <w:rFonts w:hint="eastAsia"/>
          <w:lang w:val="en-US" w:eastAsia="zh-CN"/>
        </w:rPr>
      </w:pPr>
      <w:r>
        <w:rPr>
          <w:rFonts w:hint="eastAsia"/>
          <w:lang w:val="en-US" w:eastAsia="zh-CN"/>
        </w:rPr>
        <w:br w:type="page"/>
      </w:r>
    </w:p>
    <w:p w14:paraId="386D1978">
      <w:pPr>
        <w:pStyle w:val="2"/>
        <w:keepNext/>
        <w:keepLines/>
        <w:pageBreakBefore w:val="0"/>
        <w:widowControl w:val="0"/>
        <w:kinsoku/>
        <w:wordWrap/>
        <w:overflowPunct/>
        <w:topLinePunct w:val="0"/>
        <w:autoSpaceDE/>
        <w:autoSpaceDN/>
        <w:bidi w:val="0"/>
        <w:adjustRightInd/>
        <w:snapToGrid/>
        <w:spacing w:before="0" w:after="0" w:line="360" w:lineRule="auto"/>
        <w:ind w:left="0" w:firstLine="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服务内容</w:t>
      </w:r>
    </w:p>
    <w:p w14:paraId="63C76F09">
      <w:pPr>
        <w:pStyle w:val="3"/>
        <w:keepNext/>
        <w:keepLines/>
        <w:pageBreakBefore w:val="0"/>
        <w:widowControl w:val="0"/>
        <w:kinsoku/>
        <w:wordWrap/>
        <w:overflowPunct/>
        <w:topLinePunct w:val="0"/>
        <w:autoSpaceDE/>
        <w:autoSpaceDN/>
        <w:bidi w:val="0"/>
        <w:adjustRightInd/>
        <w:snapToGrid/>
        <w:spacing w:before="0" w:after="0" w:line="360" w:lineRule="auto"/>
        <w:ind w:left="0" w:firstLine="0"/>
        <w:textAlignment w:val="auto"/>
        <w:rPr>
          <w:rFonts w:hint="eastAsia" w:ascii="仿宋" w:hAnsi="仿宋" w:eastAsia="仿宋" w:cs="仿宋"/>
          <w:lang w:val="en-US" w:eastAsia="zh-CN"/>
        </w:rPr>
      </w:pPr>
      <w:r>
        <w:rPr>
          <w:rFonts w:hint="eastAsia" w:ascii="仿宋" w:hAnsi="仿宋" w:eastAsia="仿宋" w:cs="仿宋"/>
          <w:lang w:val="en-US" w:eastAsia="zh-CN"/>
        </w:rPr>
        <w:t>信息化运维服务</w:t>
      </w:r>
    </w:p>
    <w:p w14:paraId="4D32A1D6">
      <w:pPr>
        <w:pStyle w:val="4"/>
        <w:keepNext/>
        <w:keepLines/>
        <w:pageBreakBefore w:val="0"/>
        <w:widowControl w:val="0"/>
        <w:numPr>
          <w:ilvl w:val="0"/>
          <w:numId w:val="5"/>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网站配套服务</w:t>
      </w:r>
    </w:p>
    <w:p w14:paraId="60C00F4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sz w:val="28"/>
          <w:szCs w:val="28"/>
          <w:lang w:val="en-US" w:eastAsia="zh-CN"/>
        </w:rPr>
      </w:pPr>
      <w:r>
        <w:rPr>
          <w:rFonts w:hint="eastAsia" w:ascii="仿宋" w:hAnsi="仿宋" w:eastAsia="仿宋" w:cs="仿宋"/>
          <w:b w:val="0"/>
          <w:bCs/>
          <w:sz w:val="28"/>
          <w:szCs w:val="28"/>
          <w:lang w:val="en-US" w:eastAsia="zh-CN"/>
        </w:rPr>
        <w:t>提供网站SSL证书服务一年。</w:t>
      </w:r>
    </w:p>
    <w:p w14:paraId="670D0BD4">
      <w:pPr>
        <w:pStyle w:val="4"/>
        <w:keepNext/>
        <w:keepLines/>
        <w:pageBreakBefore w:val="0"/>
        <w:widowControl w:val="0"/>
        <w:numPr>
          <w:ilvl w:val="0"/>
          <w:numId w:val="5"/>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安全运维服务</w:t>
      </w:r>
    </w:p>
    <w:p w14:paraId="1B646B78">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562" w:firstLineChars="200"/>
        <w:textAlignment w:val="auto"/>
        <w:rPr>
          <w:rFonts w:hint="default"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数字档案资源管理系统漏洞扫描服务</w:t>
      </w:r>
    </w:p>
    <w:p w14:paraId="60BBB0A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提供每月一次的数字档案资源管理系统漏洞扫描服务，</w:t>
      </w:r>
      <w:r>
        <w:rPr>
          <w:rFonts w:hint="default" w:ascii="仿宋" w:hAnsi="仿宋" w:eastAsia="仿宋" w:cs="仿宋"/>
          <w:b w:val="0"/>
          <w:bCs/>
          <w:sz w:val="28"/>
          <w:szCs w:val="28"/>
          <w:lang w:val="en-US" w:eastAsia="zh-CN"/>
        </w:rPr>
        <w:t>使用系统漏洞扫描工具对</w:t>
      </w:r>
      <w:r>
        <w:rPr>
          <w:rFonts w:hint="eastAsia" w:ascii="仿宋" w:hAnsi="仿宋" w:eastAsia="仿宋" w:cs="仿宋"/>
          <w:b w:val="0"/>
          <w:bCs/>
          <w:sz w:val="28"/>
          <w:szCs w:val="28"/>
          <w:lang w:val="en-US" w:eastAsia="zh-CN"/>
        </w:rPr>
        <w:t>网站和</w:t>
      </w:r>
      <w:r>
        <w:rPr>
          <w:rFonts w:hint="default" w:ascii="仿宋" w:hAnsi="仿宋" w:eastAsia="仿宋" w:cs="仿宋"/>
          <w:b w:val="0"/>
          <w:bCs/>
          <w:sz w:val="28"/>
          <w:szCs w:val="28"/>
          <w:lang w:val="en-US" w:eastAsia="zh-CN"/>
        </w:rPr>
        <w:t>数字档案资源管理系统、数据库、操作系统、中间件等进行全方位扫描</w:t>
      </w:r>
      <w:r>
        <w:rPr>
          <w:rFonts w:hint="eastAsia" w:ascii="仿宋" w:hAnsi="仿宋" w:eastAsia="仿宋" w:cs="仿宋"/>
          <w:b w:val="0"/>
          <w:bCs/>
          <w:sz w:val="28"/>
          <w:szCs w:val="28"/>
          <w:lang w:val="en-US" w:eastAsia="zh-CN"/>
        </w:rPr>
        <w:t>。</w:t>
      </w:r>
    </w:p>
    <w:p w14:paraId="35BDEF3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扫描完成后由技术人员对漏洞进行确认测试，提供漏洞扫描报告并协助开发人员整改。</w:t>
      </w:r>
    </w:p>
    <w:p w14:paraId="2B5A60C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562" w:firstLineChars="200"/>
        <w:textAlignment w:val="auto"/>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内网威胁分析、处置服务</w:t>
      </w:r>
    </w:p>
    <w:p w14:paraId="6E9B923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提供内网威胁分析、处置服务，7×24小时安全应急响应支持，承诺2小时内到达现场，出具年度内网安全分析报告。</w:t>
      </w:r>
    </w:p>
    <w:p w14:paraId="182FA5E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提供互联网安全服务，当发生网络安全事件时，迅速采取措施和行动，以最快的速度恢复系统的可用性，阻止和降低安全事件带来的严重性影响，通过二线技术团队支持和快速响应，及时抑制和消除系统安全事件，提高采购人业务系统的业务连续性。</w:t>
      </w:r>
    </w:p>
    <w:p w14:paraId="4306624A">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提供在重点保障时期提供不少于15天的专项安全保障，根据采购人实际要求派驻具有丰富安全服务经验和应急处理能力的安全工程师，在重要时期提供现场网络安全值守服务，确保采购人网络安全，直至重要保障时期结束。</w:t>
      </w:r>
    </w:p>
    <w:p w14:paraId="0559C96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提供每年一次的网络安全应急演练，根据采购人实际要求，结合已制定的应急预案，模拟实战对网络信息系统开展应急演练。通过演练，使相关方熟悉应急响应流程，提高对安全事件的响应能力：同时验证预案的正确性和适用性，对应急演练过程进行总结分析。</w:t>
      </w:r>
    </w:p>
    <w:p w14:paraId="774FE111">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562" w:firstLineChars="200"/>
        <w:textAlignment w:val="auto"/>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托管式安全运营服务（MVA/MDR）</w:t>
      </w:r>
    </w:p>
    <w:p w14:paraId="30D28F37">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提供托管式安全运营服务（MVA/MDR），包括全天候威胁管理与响应。通过对内网环境进行持续日志与流量监测分析、流量监测分析、入侵与攻击对抗、局域网远程应急响应支撑，提高远程处置和应急响应能力，快速发现并处置安全事件，及时通报处置结果。每月提供安全运营周报，并对其中重点内容进行汇报，按照采购人要求进行整改或处置。</w:t>
      </w:r>
    </w:p>
    <w:p w14:paraId="7BFE23B3">
      <w:pPr>
        <w:pStyle w:val="4"/>
        <w:keepNext/>
        <w:keepLines/>
        <w:pageBreakBefore w:val="0"/>
        <w:widowControl w:val="0"/>
        <w:numPr>
          <w:ilvl w:val="0"/>
          <w:numId w:val="5"/>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IT综合运维服务</w:t>
      </w:r>
    </w:p>
    <w:p w14:paraId="1343F3FA">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派驻一名工程师，提供1年每周5天*8小时的数据中心驻场服务。</w:t>
      </w:r>
    </w:p>
    <w:p w14:paraId="7E6D36FC">
      <w:pPr>
        <w:pStyle w:val="17"/>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highlight w:val="none"/>
          <w:lang w:val="en-US" w:eastAsia="zh-CN"/>
        </w:rPr>
      </w:pPr>
      <w:r>
        <w:rPr>
          <w:rFonts w:hint="eastAsia" w:ascii="仿宋" w:hAnsi="仿宋" w:eastAsia="仿宋" w:cs="仿宋"/>
          <w:b w:val="0"/>
          <w:bCs/>
          <w:sz w:val="28"/>
          <w:szCs w:val="28"/>
          <w:highlight w:val="none"/>
          <w:lang w:val="en-US" w:eastAsia="zh-CN"/>
        </w:rPr>
        <w:t>磁带库定期备份服务：每月派工程师对磁带库进行数据备份。</w:t>
      </w:r>
    </w:p>
    <w:p w14:paraId="11EDFEE1">
      <w:pPr>
        <w:pStyle w:val="17"/>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二线支持与应急响应服务：在武汉本地设有服务台，可提供7*24小时电话支持、远程服务，隐患或故障判断和排除服务。对巡检中发现的隐患或故障，驻场工程师及时向客户报告，并在3个工作日内完成判断和排除；对客户提供的报修信息，驻场工程师须在10分钟内到达故障现场，60分钟内完成判断和排除。驻场工程师无法判断或排除故障时，联系后台技术支持，故障排除后登记维修养护情况。</w:t>
      </w:r>
    </w:p>
    <w:p w14:paraId="5437657C">
      <w:pPr>
        <w:pStyle w:val="17"/>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UPS电池专业巡检服务：对机房UPS电池提供2次上门巡检服务，如有需更换零部件，须报请客户确认，费用由客户承担,及时向客户提交相应报告。</w:t>
      </w:r>
    </w:p>
    <w:p w14:paraId="78075314">
      <w:pPr>
        <w:pStyle w:val="17"/>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机柜模组内8台精密空调巡检服务：对机柜模组内8台精密空调提供2次上门巡检服务、2次清洗服务。</w:t>
      </w:r>
    </w:p>
    <w:p w14:paraId="4B8776C8">
      <w:pPr>
        <w:pStyle w:val="17"/>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会议保障服务：驻场工程师协助甲方做好会议保障，建立会议保障制度。会议前十五分钟做好开机、调试工作；会中进行同步现场保障，重要会议全程保障；会后做好设备的维护工作。</w:t>
      </w:r>
    </w:p>
    <w:p w14:paraId="7AE5C6DA">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上网行为管理及流量控制服务：驻场工程师协助客户进行上网安全策略规划及实施，采取网络安全准入措施，保障内外网物理安全。</w:t>
      </w:r>
    </w:p>
    <w:p w14:paraId="0EDC456F">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UPS电池放电测试：每年1次放电测试，根据放电测试情况，评估电池真实容量及损耗。</w:t>
      </w:r>
    </w:p>
    <w:p w14:paraId="2CC90DAA">
      <w:pPr>
        <w:pStyle w:val="17"/>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560" w:firstLineChars="200"/>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其他服务：维护保养服务（核心网络、数据中心）；驻场工程师对客户服务范围内设备进行巡检，并记录设备变更情况；每月对服务器、存储设备进行系统调优，提供5*8小时二线支持和应急响应服务，服务器、存储设备在质保期内联系原厂并协助解决问题，如设备没有续保，因故障产生的更换零部件及维修费由客户承担。</w:t>
      </w:r>
    </w:p>
    <w:p w14:paraId="5A8C8377">
      <w:pPr>
        <w:pStyle w:val="4"/>
        <w:keepNext/>
        <w:keepLines/>
        <w:pageBreakBefore w:val="0"/>
        <w:widowControl w:val="0"/>
        <w:numPr>
          <w:ilvl w:val="0"/>
          <w:numId w:val="5"/>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数字档案资源集成管理与利用平台系统运维服务</w:t>
      </w:r>
    </w:p>
    <w:p w14:paraId="1B1529C9">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560" w:firstLineChars="200"/>
        <w:textAlignment w:val="auto"/>
        <w:rPr>
          <w:rFonts w:hint="default"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派驻一名工程师，提供1年每周5天*8小时的驻场服务，提供以下服务：</w:t>
      </w:r>
    </w:p>
    <w:p w14:paraId="03FFA4C9">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每月巡检一次并出具月度巡检报告，保障系统正常运行及优化需求，对系统进行定期巡检、故障排除、系统数据备份与恢复以及临时文件清理，负责用户权限调整与维护、数据库维护，确保业务平台系统平稳运行。</w:t>
      </w:r>
    </w:p>
    <w:p w14:paraId="3B687C1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4"/>
          <w:szCs w:val="24"/>
          <w:lang w:val="en-US" w:eastAsia="zh-CN"/>
        </w:rPr>
      </w:pPr>
      <w:r>
        <w:rPr>
          <w:rFonts w:hint="eastAsia" w:ascii="仿宋" w:hAnsi="仿宋" w:eastAsia="仿宋" w:cs="仿宋"/>
          <w:b w:val="0"/>
          <w:bCs/>
          <w:sz w:val="28"/>
          <w:szCs w:val="28"/>
          <w:lang w:val="en-US" w:eastAsia="zh-CN"/>
        </w:rPr>
        <w:t>承</w:t>
      </w:r>
      <w:r>
        <w:rPr>
          <w:rFonts w:hint="eastAsia" w:ascii="仿宋" w:hAnsi="仿宋" w:eastAsia="仿宋" w:cs="仿宋"/>
          <w:b w:val="0"/>
          <w:bCs/>
          <w:sz w:val="28"/>
          <w:szCs w:val="28"/>
          <w:highlight w:val="none"/>
          <w:lang w:val="en-US" w:eastAsia="zh-CN"/>
        </w:rPr>
        <w:t>担</w:t>
      </w:r>
      <w:bookmarkStart w:id="0" w:name="_GoBack"/>
      <w:bookmarkEnd w:id="0"/>
      <w:r>
        <w:rPr>
          <w:rFonts w:hint="eastAsia" w:ascii="仿宋" w:hAnsi="仿宋" w:eastAsia="仿宋" w:cs="仿宋"/>
          <w:b w:val="0"/>
          <w:bCs/>
          <w:sz w:val="28"/>
          <w:szCs w:val="28"/>
          <w:highlight w:val="none"/>
          <w:lang w:val="en-US" w:eastAsia="zh-CN"/>
        </w:rPr>
        <w:t>市直单位的档案数</w:t>
      </w:r>
      <w:r>
        <w:rPr>
          <w:rFonts w:hint="eastAsia" w:ascii="仿宋" w:hAnsi="仿宋" w:eastAsia="仿宋" w:cs="仿宋"/>
          <w:b w:val="0"/>
          <w:bCs/>
          <w:sz w:val="28"/>
          <w:szCs w:val="28"/>
          <w:lang w:val="en-US" w:eastAsia="zh-CN"/>
        </w:rPr>
        <w:t>据格式包核对、上传、数据梳理、检查及接受工作</w:t>
      </w:r>
      <w:r>
        <w:rPr>
          <w:rFonts w:hint="eastAsia" w:ascii="仿宋" w:hAnsi="仿宋" w:eastAsia="仿宋" w:cs="仿宋"/>
          <w:b w:val="0"/>
          <w:bCs/>
          <w:sz w:val="24"/>
          <w:szCs w:val="24"/>
          <w:lang w:val="en-US" w:eastAsia="zh-CN"/>
        </w:rPr>
        <w:t>。</w:t>
      </w:r>
    </w:p>
    <w:p w14:paraId="372D0D59">
      <w:pPr>
        <w:pStyle w:val="3"/>
        <w:keepNext/>
        <w:keepLines/>
        <w:pageBreakBefore w:val="0"/>
        <w:widowControl w:val="0"/>
        <w:kinsoku/>
        <w:wordWrap/>
        <w:overflowPunct/>
        <w:topLinePunct w:val="0"/>
        <w:autoSpaceDE/>
        <w:autoSpaceDN/>
        <w:bidi w:val="0"/>
        <w:adjustRightInd/>
        <w:snapToGrid/>
        <w:spacing w:before="0" w:after="0" w:line="360" w:lineRule="auto"/>
        <w:ind w:left="0" w:firstLine="0"/>
        <w:textAlignment w:val="auto"/>
        <w:rPr>
          <w:rFonts w:hint="eastAsia" w:ascii="仿宋" w:hAnsi="仿宋" w:eastAsia="仿宋" w:cs="仿宋"/>
          <w:lang w:val="en-US" w:eastAsia="zh-CN"/>
        </w:rPr>
      </w:pPr>
      <w:r>
        <w:rPr>
          <w:rFonts w:hint="eastAsia" w:ascii="仿宋" w:hAnsi="仿宋" w:eastAsia="仿宋" w:cs="仿宋"/>
          <w:lang w:val="en-US" w:eastAsia="zh-CN"/>
        </w:rPr>
        <w:t>机房部分核心设备延保服务</w:t>
      </w:r>
    </w:p>
    <w:p w14:paraId="59B7F29D">
      <w:pPr>
        <w:pStyle w:val="4"/>
        <w:keepNext/>
        <w:keepLines/>
        <w:pageBreakBefore w:val="0"/>
        <w:widowControl w:val="0"/>
        <w:numPr>
          <w:ilvl w:val="0"/>
          <w:numId w:val="9"/>
        </w:numPr>
        <w:kinsoku/>
        <w:wordWrap/>
        <w:overflowPunct/>
        <w:topLinePunct w:val="0"/>
        <w:autoSpaceDE/>
        <w:autoSpaceDN/>
        <w:bidi w:val="0"/>
        <w:adjustRightInd/>
        <w:snapToGrid/>
        <w:spacing w:before="0" w:after="0" w:line="360" w:lineRule="auto"/>
        <w:ind w:left="0" w:leftChars="0" w:firstLine="0" w:firstLineChars="0"/>
        <w:textAlignment w:val="auto"/>
        <w:rPr>
          <w:rFonts w:hint="default"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机房设备维保服务</w:t>
      </w:r>
    </w:p>
    <w:p w14:paraId="03349D2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通过对延保设备清单（详见服务明细表）中的要求购买原厂、第三方保修，延长硬件保修期，提供机房设备维保服务，延保范围内的设备如出现重大问题，提供15分钟内响应、确认为硬件故障后8 小时内备件送达现场并及时更换。</w:t>
      </w:r>
    </w:p>
    <w:tbl>
      <w:tblPr>
        <w:tblStyle w:val="15"/>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1"/>
        <w:gridCol w:w="2783"/>
        <w:gridCol w:w="3690"/>
        <w:gridCol w:w="1224"/>
        <w:gridCol w:w="1194"/>
      </w:tblGrid>
      <w:tr w14:paraId="308A8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42C46A55">
            <w:pPr>
              <w:bidi w:val="0"/>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2783" w:type="dxa"/>
            <w:vAlign w:val="center"/>
          </w:tcPr>
          <w:p w14:paraId="3DA23EE0">
            <w:pPr>
              <w:bidi w:val="0"/>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维保设备</w:t>
            </w:r>
          </w:p>
        </w:tc>
        <w:tc>
          <w:tcPr>
            <w:tcW w:w="3690" w:type="dxa"/>
            <w:vAlign w:val="center"/>
          </w:tcPr>
          <w:p w14:paraId="4F5E2E90">
            <w:pPr>
              <w:bidi w:val="0"/>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维保范围</w:t>
            </w:r>
          </w:p>
        </w:tc>
        <w:tc>
          <w:tcPr>
            <w:tcW w:w="1224" w:type="dxa"/>
            <w:vAlign w:val="center"/>
          </w:tcPr>
          <w:p w14:paraId="07D533D9">
            <w:pPr>
              <w:bidi w:val="0"/>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维保时间</w:t>
            </w:r>
          </w:p>
        </w:tc>
        <w:tc>
          <w:tcPr>
            <w:tcW w:w="1194" w:type="dxa"/>
            <w:vAlign w:val="center"/>
          </w:tcPr>
          <w:p w14:paraId="67D9D017">
            <w:pPr>
              <w:bidi w:val="0"/>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维保要求</w:t>
            </w:r>
          </w:p>
        </w:tc>
      </w:tr>
      <w:tr w14:paraId="22232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03B40B29">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2783" w:type="dxa"/>
            <w:vAlign w:val="center"/>
          </w:tcPr>
          <w:p w14:paraId="5D68FAB1">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华为存储</w:t>
            </w:r>
          </w:p>
        </w:tc>
        <w:tc>
          <w:tcPr>
            <w:tcW w:w="3690" w:type="dxa"/>
            <w:vAlign w:val="center"/>
          </w:tcPr>
          <w:p w14:paraId="504F211B">
            <w:pPr>
              <w:bidi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含硬盘介质不返还、共96块硬盘</w:t>
            </w:r>
          </w:p>
        </w:tc>
        <w:tc>
          <w:tcPr>
            <w:tcW w:w="1224" w:type="dxa"/>
            <w:vAlign w:val="center"/>
          </w:tcPr>
          <w:p w14:paraId="2880A984">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一年</w:t>
            </w:r>
          </w:p>
        </w:tc>
        <w:tc>
          <w:tcPr>
            <w:tcW w:w="1194" w:type="dxa"/>
            <w:vAlign w:val="center"/>
          </w:tcPr>
          <w:p w14:paraId="4F0C5EA3">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第三方</w:t>
            </w:r>
          </w:p>
        </w:tc>
      </w:tr>
      <w:tr w14:paraId="1C386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18EE2153">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2783" w:type="dxa"/>
            <w:vAlign w:val="center"/>
          </w:tcPr>
          <w:p w14:paraId="474E13CF">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数据中心环控管理系统</w:t>
            </w:r>
          </w:p>
        </w:tc>
        <w:tc>
          <w:tcPr>
            <w:tcW w:w="3690" w:type="dxa"/>
            <w:vAlign w:val="center"/>
          </w:tcPr>
          <w:p w14:paraId="7811B5ED">
            <w:pPr>
              <w:bidi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iManager NetEco6000</w:t>
            </w:r>
          </w:p>
        </w:tc>
        <w:tc>
          <w:tcPr>
            <w:tcW w:w="1224" w:type="dxa"/>
            <w:vAlign w:val="center"/>
          </w:tcPr>
          <w:p w14:paraId="0A3264BD">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一年</w:t>
            </w:r>
          </w:p>
        </w:tc>
        <w:tc>
          <w:tcPr>
            <w:tcW w:w="1194" w:type="dxa"/>
            <w:vAlign w:val="center"/>
          </w:tcPr>
          <w:p w14:paraId="4D306D12">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第三方</w:t>
            </w:r>
          </w:p>
        </w:tc>
      </w:tr>
      <w:tr w14:paraId="7D115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0E75355D">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2783" w:type="dxa"/>
            <w:vAlign w:val="center"/>
          </w:tcPr>
          <w:p w14:paraId="674F7CD8">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i w:val="0"/>
                <w:iCs w:val="0"/>
                <w:color w:val="auto"/>
                <w:kern w:val="0"/>
                <w:sz w:val="24"/>
                <w:szCs w:val="24"/>
                <w:u w:val="none"/>
                <w:lang w:val="en-US" w:eastAsia="zh-CN" w:bidi="ar"/>
              </w:rPr>
              <w:t>虚拟化软件</w:t>
            </w:r>
          </w:p>
        </w:tc>
        <w:tc>
          <w:tcPr>
            <w:tcW w:w="3690" w:type="dxa"/>
            <w:vAlign w:val="center"/>
          </w:tcPr>
          <w:p w14:paraId="2F6EB086">
            <w:pPr>
              <w:bidi w:val="0"/>
              <w:spacing w:line="360" w:lineRule="auto"/>
              <w:jc w:val="left"/>
              <w:rPr>
                <w:rFonts w:hint="eastAsia" w:ascii="仿宋" w:hAnsi="仿宋" w:eastAsia="仿宋" w:cs="仿宋"/>
                <w:sz w:val="24"/>
                <w:szCs w:val="24"/>
                <w:lang w:val="en-US" w:eastAsia="zh-CN"/>
              </w:rPr>
            </w:pPr>
            <w:r>
              <w:rPr>
                <w:rFonts w:hint="eastAsia" w:ascii="仿宋" w:hAnsi="仿宋" w:eastAsia="仿宋" w:cs="仿宋"/>
                <w:i w:val="0"/>
                <w:iCs w:val="0"/>
                <w:color w:val="auto"/>
                <w:kern w:val="0"/>
                <w:sz w:val="24"/>
                <w:szCs w:val="24"/>
                <w:u w:val="none"/>
                <w:lang w:val="en-US" w:eastAsia="zh-CN" w:bidi="ar"/>
              </w:rPr>
              <w:t>FusionSphere</w:t>
            </w:r>
          </w:p>
        </w:tc>
        <w:tc>
          <w:tcPr>
            <w:tcW w:w="1224" w:type="dxa"/>
            <w:vAlign w:val="center"/>
          </w:tcPr>
          <w:p w14:paraId="3AA64963">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一年</w:t>
            </w:r>
          </w:p>
        </w:tc>
        <w:tc>
          <w:tcPr>
            <w:tcW w:w="1194" w:type="dxa"/>
            <w:vAlign w:val="center"/>
          </w:tcPr>
          <w:p w14:paraId="7135C7ED">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原厂</w:t>
            </w:r>
          </w:p>
        </w:tc>
      </w:tr>
      <w:tr w14:paraId="2657D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761F7454">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2783" w:type="dxa"/>
            <w:vAlign w:val="center"/>
          </w:tcPr>
          <w:p w14:paraId="0C146B31">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i w:val="0"/>
                <w:iCs w:val="0"/>
                <w:color w:val="auto"/>
                <w:kern w:val="0"/>
                <w:sz w:val="24"/>
                <w:szCs w:val="24"/>
                <w:u w:val="none"/>
                <w:lang w:val="en-US" w:eastAsia="zh-CN" w:bidi="ar"/>
              </w:rPr>
              <w:t>内网防病毒软件</w:t>
            </w:r>
          </w:p>
        </w:tc>
        <w:tc>
          <w:tcPr>
            <w:tcW w:w="3690" w:type="dxa"/>
            <w:vAlign w:val="center"/>
          </w:tcPr>
          <w:p w14:paraId="64B0BB36">
            <w:pPr>
              <w:bidi w:val="0"/>
              <w:spacing w:line="360" w:lineRule="auto"/>
              <w:jc w:val="left"/>
              <w:rPr>
                <w:rFonts w:hint="eastAsia" w:ascii="仿宋" w:hAnsi="仿宋" w:eastAsia="仿宋" w:cs="仿宋"/>
                <w:sz w:val="24"/>
                <w:szCs w:val="24"/>
                <w:lang w:val="en-US" w:eastAsia="zh-CN"/>
              </w:rPr>
            </w:pPr>
            <w:r>
              <w:rPr>
                <w:rFonts w:hint="eastAsia" w:ascii="仿宋" w:hAnsi="仿宋" w:eastAsia="仿宋" w:cs="仿宋"/>
                <w:i w:val="0"/>
                <w:iCs w:val="0"/>
                <w:color w:val="auto"/>
                <w:kern w:val="0"/>
                <w:sz w:val="24"/>
                <w:szCs w:val="24"/>
                <w:u w:val="none"/>
                <w:lang w:val="en-US" w:eastAsia="zh-CN" w:bidi="ar"/>
              </w:rPr>
              <w:t>终端安全管理系统+32台PC终端+10服务器授权</w:t>
            </w:r>
          </w:p>
        </w:tc>
        <w:tc>
          <w:tcPr>
            <w:tcW w:w="1224" w:type="dxa"/>
            <w:vAlign w:val="center"/>
          </w:tcPr>
          <w:p w14:paraId="4F48C734">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一年</w:t>
            </w:r>
          </w:p>
        </w:tc>
        <w:tc>
          <w:tcPr>
            <w:tcW w:w="1194" w:type="dxa"/>
            <w:vAlign w:val="center"/>
          </w:tcPr>
          <w:p w14:paraId="4E256246">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原厂</w:t>
            </w:r>
          </w:p>
        </w:tc>
      </w:tr>
      <w:tr w14:paraId="486AE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7D708DC1">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2783" w:type="dxa"/>
            <w:vAlign w:val="center"/>
          </w:tcPr>
          <w:p w14:paraId="75706E1B">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i w:val="0"/>
                <w:iCs w:val="0"/>
                <w:color w:val="auto"/>
                <w:kern w:val="0"/>
                <w:sz w:val="24"/>
                <w:szCs w:val="24"/>
                <w:u w:val="none"/>
                <w:lang w:val="en-US" w:eastAsia="zh-CN" w:bidi="ar"/>
              </w:rPr>
              <w:t>外网防病毒软件</w:t>
            </w:r>
          </w:p>
        </w:tc>
        <w:tc>
          <w:tcPr>
            <w:tcW w:w="3690" w:type="dxa"/>
            <w:vAlign w:val="center"/>
          </w:tcPr>
          <w:p w14:paraId="54B9B132">
            <w:pPr>
              <w:bidi w:val="0"/>
              <w:spacing w:line="360" w:lineRule="auto"/>
              <w:jc w:val="left"/>
              <w:rPr>
                <w:rFonts w:hint="eastAsia" w:ascii="仿宋" w:hAnsi="仿宋" w:eastAsia="仿宋" w:cs="仿宋"/>
                <w:sz w:val="24"/>
                <w:szCs w:val="24"/>
                <w:lang w:val="en-US" w:eastAsia="zh-CN"/>
              </w:rPr>
            </w:pPr>
            <w:r>
              <w:rPr>
                <w:rFonts w:hint="eastAsia" w:ascii="仿宋" w:hAnsi="仿宋" w:eastAsia="仿宋" w:cs="仿宋"/>
                <w:i w:val="0"/>
                <w:iCs w:val="0"/>
                <w:color w:val="auto"/>
                <w:kern w:val="0"/>
                <w:sz w:val="24"/>
                <w:szCs w:val="24"/>
                <w:u w:val="none"/>
                <w:lang w:val="en-US" w:eastAsia="zh-CN" w:bidi="ar"/>
              </w:rPr>
              <w:t>53台终端</w:t>
            </w:r>
          </w:p>
        </w:tc>
        <w:tc>
          <w:tcPr>
            <w:tcW w:w="1224" w:type="dxa"/>
            <w:vAlign w:val="center"/>
          </w:tcPr>
          <w:p w14:paraId="4C4C74F2">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一年</w:t>
            </w:r>
          </w:p>
        </w:tc>
        <w:tc>
          <w:tcPr>
            <w:tcW w:w="1194" w:type="dxa"/>
            <w:vAlign w:val="center"/>
          </w:tcPr>
          <w:p w14:paraId="0CC77B50">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原厂</w:t>
            </w:r>
          </w:p>
        </w:tc>
      </w:tr>
      <w:tr w14:paraId="76154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51" w:type="dxa"/>
            <w:vAlign w:val="center"/>
          </w:tcPr>
          <w:p w14:paraId="5FD440D9">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2783" w:type="dxa"/>
            <w:vAlign w:val="center"/>
          </w:tcPr>
          <w:p w14:paraId="790455F2">
            <w:pPr>
              <w:bidi w:val="0"/>
              <w:spacing w:line="360" w:lineRule="auto"/>
              <w:jc w:val="center"/>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UPS机头</w:t>
            </w:r>
          </w:p>
        </w:tc>
        <w:tc>
          <w:tcPr>
            <w:tcW w:w="3690" w:type="dxa"/>
            <w:vAlign w:val="center"/>
          </w:tcPr>
          <w:p w14:paraId="3F01F40E">
            <w:pPr>
              <w:bidi w:val="0"/>
              <w:spacing w:line="360" w:lineRule="auto"/>
              <w:jc w:val="left"/>
              <w:rPr>
                <w:rFonts w:hint="eastAsia" w:ascii="仿宋" w:hAnsi="仿宋" w:eastAsia="仿宋" w:cs="仿宋"/>
                <w:i w:val="0"/>
                <w:iCs w:val="0"/>
                <w:color w:val="auto"/>
                <w:kern w:val="0"/>
                <w:sz w:val="24"/>
                <w:szCs w:val="24"/>
                <w:u w:val="none"/>
                <w:lang w:val="en-US" w:eastAsia="zh-CN" w:bidi="ar"/>
              </w:rPr>
            </w:pPr>
            <w:r>
              <w:rPr>
                <w:rFonts w:hint="eastAsia" w:ascii="仿宋" w:hAnsi="仿宋" w:eastAsia="仿宋" w:cs="仿宋"/>
                <w:i w:val="0"/>
                <w:iCs w:val="0"/>
                <w:color w:val="auto"/>
                <w:kern w:val="0"/>
                <w:sz w:val="24"/>
                <w:szCs w:val="24"/>
                <w:u w:val="none"/>
                <w:lang w:val="en-US" w:eastAsia="zh-CN" w:bidi="ar"/>
              </w:rPr>
              <w:t>2套</w:t>
            </w:r>
          </w:p>
        </w:tc>
        <w:tc>
          <w:tcPr>
            <w:tcW w:w="1224" w:type="dxa"/>
            <w:vAlign w:val="center"/>
          </w:tcPr>
          <w:p w14:paraId="5E2EEDA7">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一年</w:t>
            </w:r>
          </w:p>
        </w:tc>
        <w:tc>
          <w:tcPr>
            <w:tcW w:w="1194" w:type="dxa"/>
            <w:vAlign w:val="center"/>
          </w:tcPr>
          <w:p w14:paraId="0CB0EA77">
            <w:pPr>
              <w:bidi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原厂</w:t>
            </w:r>
          </w:p>
        </w:tc>
      </w:tr>
    </w:tbl>
    <w:p w14:paraId="5C474502">
      <w:pPr>
        <w:pStyle w:val="17"/>
        <w:rPr>
          <w:rFonts w:hint="eastAsia"/>
          <w:lang w:val="en-US" w:eastAsia="zh-CN"/>
        </w:rPr>
      </w:pPr>
    </w:p>
    <w:p w14:paraId="5D299BD0">
      <w:pPr>
        <w:pStyle w:val="2"/>
        <w:keepNext/>
        <w:keepLines/>
        <w:pageBreakBefore w:val="0"/>
        <w:widowControl w:val="0"/>
        <w:kinsoku/>
        <w:wordWrap/>
        <w:overflowPunct/>
        <w:topLinePunct w:val="0"/>
        <w:autoSpaceDE/>
        <w:autoSpaceDN/>
        <w:bidi w:val="0"/>
        <w:adjustRightInd/>
        <w:snapToGrid/>
        <w:spacing w:before="0" w:after="0" w:line="360" w:lineRule="auto"/>
        <w:ind w:left="0" w:firstLine="0"/>
        <w:textAlignment w:val="auto"/>
        <w:rPr>
          <w:rFonts w:hint="default" w:ascii="仿宋" w:hAnsi="仿宋" w:eastAsia="仿宋" w:cs="仿宋"/>
          <w:b/>
          <w:sz w:val="28"/>
          <w:szCs w:val="28"/>
          <w:lang w:val="en-US" w:eastAsia="zh-CN"/>
        </w:rPr>
      </w:pPr>
      <w:r>
        <w:rPr>
          <w:rFonts w:hint="eastAsia" w:ascii="仿宋" w:hAnsi="仿宋" w:eastAsia="仿宋" w:cs="仿宋"/>
          <w:b/>
          <w:sz w:val="28"/>
          <w:szCs w:val="28"/>
          <w:lang w:val="en-US" w:eastAsia="zh-CN"/>
        </w:rPr>
        <w:t>其他要求</w:t>
      </w:r>
    </w:p>
    <w:p w14:paraId="348196C1">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投标人应派驻2名工程师（IT综合运维服务、数字档案资源集成管理与利用平台系统运维服务）到武汉市档案馆提供每周5天*8小时的驻场服务，服从甲方管理要求（如工作时间、工作内容等），遵守各项管理规定，包含但不限于树立服务意识，工作态度认真、责任心强，有较强的理解能力和较流畅的语言表达能力和沟通能力，确保服务的及时性；强化保密意识，保证重要数据及文件的安全性。未经甲方许可，乙方不得更换工程师。如甲方要求乙方更换工程师的，乙方应当更换，在更换工程师过渡交接期间，甲方不再额外支付费用。</w:t>
      </w:r>
    </w:p>
    <w:p w14:paraId="45132532">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投标人应针对本项目组建专门的</w:t>
      </w:r>
      <w:r>
        <w:rPr>
          <w:rFonts w:hint="eastAsia" w:ascii="仿宋" w:hAnsi="仿宋" w:eastAsia="仿宋" w:cs="仿宋"/>
          <w:b w:val="0"/>
          <w:bCs/>
          <w:sz w:val="28"/>
          <w:szCs w:val="28"/>
          <w:lang w:val="en-US" w:eastAsia="zh-CN"/>
        </w:rPr>
        <w:t>现场及二线技术支持</w:t>
      </w:r>
      <w:r>
        <w:rPr>
          <w:rFonts w:hint="default" w:ascii="仿宋" w:hAnsi="仿宋" w:eastAsia="仿宋" w:cs="仿宋"/>
          <w:b w:val="0"/>
          <w:bCs/>
          <w:sz w:val="28"/>
          <w:szCs w:val="28"/>
          <w:lang w:val="en-US" w:eastAsia="zh-CN"/>
        </w:rPr>
        <w:t>服务团队，团队中应包含本项目所涉及硬软件系统的技术人</w:t>
      </w:r>
      <w:r>
        <w:rPr>
          <w:rFonts w:hint="default" w:ascii="仿宋" w:hAnsi="仿宋" w:eastAsia="仿宋" w:cs="仿宋"/>
          <w:b w:val="0"/>
          <w:bCs/>
          <w:sz w:val="28"/>
          <w:szCs w:val="28"/>
          <w:highlight w:val="none"/>
          <w:lang w:val="en-US" w:eastAsia="zh-CN"/>
        </w:rPr>
        <w:t>员，并有相应的</w:t>
      </w:r>
      <w:r>
        <w:rPr>
          <w:rFonts w:hint="eastAsia" w:ascii="仿宋" w:hAnsi="仿宋" w:eastAsia="仿宋" w:cs="仿宋"/>
          <w:b w:val="0"/>
          <w:bCs/>
          <w:sz w:val="28"/>
          <w:szCs w:val="28"/>
          <w:highlight w:val="none"/>
          <w:lang w:val="en-US" w:eastAsia="zh-CN"/>
        </w:rPr>
        <w:t>信息化运维保障经验和资质</w:t>
      </w:r>
      <w:r>
        <w:rPr>
          <w:rFonts w:hint="default" w:ascii="仿宋" w:hAnsi="仿宋" w:eastAsia="仿宋" w:cs="仿宋"/>
          <w:b w:val="0"/>
          <w:bCs/>
          <w:sz w:val="28"/>
          <w:szCs w:val="28"/>
          <w:highlight w:val="none"/>
          <w:lang w:val="en-US" w:eastAsia="zh-CN"/>
        </w:rPr>
        <w:t>，</w:t>
      </w:r>
      <w:r>
        <w:rPr>
          <w:rFonts w:hint="default" w:ascii="仿宋" w:hAnsi="仿宋" w:eastAsia="仿宋" w:cs="仿宋"/>
          <w:b w:val="0"/>
          <w:bCs/>
          <w:sz w:val="28"/>
          <w:szCs w:val="28"/>
          <w:lang w:val="en-US" w:eastAsia="zh-CN"/>
        </w:rPr>
        <w:t>能够处理相关硬软件问题</w:t>
      </w:r>
      <w:r>
        <w:rPr>
          <w:rFonts w:hint="eastAsia" w:ascii="仿宋" w:hAnsi="仿宋" w:eastAsia="仿宋" w:cs="仿宋"/>
          <w:b w:val="0"/>
          <w:bCs/>
          <w:sz w:val="28"/>
          <w:szCs w:val="28"/>
          <w:lang w:val="en-US" w:eastAsia="zh-CN"/>
        </w:rPr>
        <w:t>，具体要求如下：</w:t>
      </w:r>
    </w:p>
    <w:p w14:paraId="0A3575F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ascii="仿宋" w:hAnsi="仿宋" w:eastAsia="仿宋" w:cs="仿宋"/>
          <w:b w:val="0"/>
          <w:bCs/>
          <w:sz w:val="28"/>
          <w:szCs w:val="28"/>
          <w:highlight w:val="yellow"/>
          <w:lang w:val="en-US" w:eastAsia="zh-CN"/>
        </w:rPr>
      </w:pPr>
      <w:r>
        <w:rPr>
          <w:rFonts w:hint="eastAsia" w:ascii="仿宋" w:hAnsi="仿宋" w:eastAsia="仿宋" w:cs="仿宋"/>
          <w:b w:val="0"/>
          <w:bCs/>
          <w:sz w:val="28"/>
          <w:szCs w:val="28"/>
          <w:highlight w:val="none"/>
          <w:lang w:val="en-US" w:eastAsia="zh-CN"/>
        </w:rPr>
        <w:t>现场团队：驻场人员应具备2年及以上的相关领域工作经验、良好的沟通协调能力、具有提供维护服务所需的能力及专业知识经验。</w:t>
      </w:r>
    </w:p>
    <w:p w14:paraId="1AFCBE6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default" w:ascii="仿宋" w:hAnsi="仿宋" w:eastAsia="仿宋" w:cs="仿宋"/>
          <w:b w:val="0"/>
          <w:bCs/>
          <w:sz w:val="28"/>
          <w:szCs w:val="28"/>
          <w:highlight w:val="yellow"/>
          <w:lang w:val="en-US" w:eastAsia="zh-CN"/>
        </w:rPr>
      </w:pPr>
      <w:r>
        <w:rPr>
          <w:rFonts w:hint="eastAsia" w:ascii="仿宋" w:hAnsi="仿宋" w:eastAsia="仿宋" w:cs="仿宋"/>
          <w:b w:val="0"/>
          <w:bCs/>
          <w:sz w:val="28"/>
          <w:szCs w:val="28"/>
          <w:highlight w:val="none"/>
          <w:lang w:val="en-US" w:eastAsia="zh-CN"/>
        </w:rPr>
        <w:t>二线技术支持服务：建立不少于5人的应急支撑团队，安排二线专家团队值班，每天24 小时，每周 7 天随时响应突发事件并进行处置。同时根据需要参与重大事件现场应急处理和运维项目的有效运营管理，其二线团队应具备网络类、路由交换或存储类、网络安全类能力线认证，确保业务安全、稳定的运行。其中团队人员中至少2人具备路由交换网络专家级工程师厂家认证（如HCIE或同级别）；至少2人具备ITSS项目经理资质及ITSS服务工程师认证；至少2人具备CISP信息安全人员认证。</w:t>
      </w:r>
    </w:p>
    <w:p w14:paraId="0DD2EBBD">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560" w:firstLineChars="200"/>
        <w:textAlignment w:val="auto"/>
        <w:rPr>
          <w:rFonts w:hint="eastAsia"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投标人应具备一定的备品备件提供能力，若采购人设备损坏导致重要系统宕机，能够及时提供备件以修复系统，保证系统正常运行</w:t>
      </w:r>
      <w:r>
        <w:rPr>
          <w:rFonts w:hint="eastAsia" w:ascii="仿宋" w:hAnsi="仿宋" w:eastAsia="仿宋" w:cs="仿宋"/>
          <w:b w:val="0"/>
          <w:bCs/>
          <w:sz w:val="28"/>
          <w:szCs w:val="28"/>
          <w:lang w:val="en-US" w:eastAsia="zh-CN"/>
        </w:rPr>
        <w:t>。</w:t>
      </w:r>
    </w:p>
    <w:p w14:paraId="34D0B987">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560" w:firstLineChars="200"/>
        <w:textAlignment w:val="auto"/>
        <w:rPr>
          <w:rFonts w:hint="default" w:ascii="仿宋" w:hAnsi="仿宋" w:eastAsia="仿宋" w:cs="仿宋"/>
          <w:b w:val="0"/>
          <w:bCs/>
          <w:sz w:val="28"/>
          <w:szCs w:val="28"/>
          <w:lang w:val="en-US" w:eastAsia="zh-CN"/>
        </w:rPr>
      </w:pPr>
      <w:r>
        <w:rPr>
          <w:rFonts w:hint="default" w:ascii="仿宋" w:hAnsi="仿宋" w:eastAsia="仿宋" w:cs="仿宋"/>
          <w:b w:val="0"/>
          <w:bCs/>
          <w:sz w:val="28"/>
          <w:szCs w:val="28"/>
          <w:lang w:val="en-US" w:eastAsia="zh-CN"/>
        </w:rPr>
        <w:t>投标人在运维服务工作完成前，出具服务实施报告，并提出合理化意见</w:t>
      </w:r>
      <w:r>
        <w:rPr>
          <w:rFonts w:hint="eastAsia" w:ascii="仿宋" w:hAnsi="仿宋" w:eastAsia="仿宋" w:cs="仿宋"/>
          <w:b w:val="0"/>
          <w:bCs/>
          <w:sz w:val="28"/>
          <w:szCs w:val="28"/>
          <w:lang w:val="en-US" w:eastAsia="zh-CN"/>
        </w:rPr>
        <w:t>或相关</w:t>
      </w:r>
      <w:r>
        <w:rPr>
          <w:rFonts w:hint="default" w:ascii="仿宋" w:hAnsi="仿宋" w:eastAsia="仿宋" w:cs="仿宋"/>
          <w:b w:val="0"/>
          <w:bCs/>
          <w:sz w:val="28"/>
          <w:szCs w:val="28"/>
          <w:lang w:val="en-US" w:eastAsia="zh-CN"/>
        </w:rPr>
        <w:t>建议。</w:t>
      </w:r>
    </w:p>
    <w:p w14:paraId="1284E811">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leftChars="0" w:firstLine="0" w:firstLineChars="0"/>
        <w:textAlignment w:val="auto"/>
        <w:rPr>
          <w:rFonts w:hint="eastAsia" w:ascii="仿宋" w:hAnsi="仿宋" w:eastAsia="仿宋" w:cs="仿宋"/>
          <w:b/>
          <w:sz w:val="32"/>
          <w:szCs w:val="32"/>
          <w:lang w:val="en-US" w:eastAsia="zh-CN"/>
        </w:rPr>
      </w:pPr>
      <w:r>
        <w:rPr>
          <w:rFonts w:hint="eastAsia" w:ascii="仿宋" w:hAnsi="仿宋" w:eastAsia="仿宋" w:cs="仿宋"/>
          <w:b/>
          <w:sz w:val="32"/>
          <w:szCs w:val="32"/>
          <w:lang w:val="en-US" w:eastAsia="zh-CN"/>
        </w:rPr>
        <w:t>供应商确定方式</w:t>
      </w:r>
    </w:p>
    <w:p w14:paraId="1B13175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default"/>
          <w:lang w:val="en-US" w:eastAsia="zh-CN"/>
        </w:rPr>
      </w:pPr>
      <w:r>
        <w:rPr>
          <w:rFonts w:hint="eastAsia" w:ascii="仿宋" w:hAnsi="仿宋" w:eastAsia="仿宋" w:cs="仿宋"/>
          <w:b w:val="0"/>
          <w:bCs/>
          <w:sz w:val="28"/>
          <w:szCs w:val="28"/>
          <w:lang w:val="en-US" w:eastAsia="zh-CN"/>
        </w:rPr>
        <w:t>项目遵循公开、公平、公正的原则，按照供应商有效报价、综合服务能力及以往服务经验择优确定中标供应商。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DCAC170"/>
    <w:multiLevelType w:val="singleLevel"/>
    <w:tmpl w:val="ADCAC170"/>
    <w:lvl w:ilvl="0" w:tentative="0">
      <w:start w:val="1"/>
      <w:numFmt w:val="chineseCounting"/>
      <w:suff w:val="nothing"/>
      <w:lvlText w:val="%1、"/>
      <w:lvlJc w:val="left"/>
      <w:pPr>
        <w:ind w:left="0" w:firstLine="420"/>
      </w:pPr>
      <w:rPr>
        <w:rFonts w:hint="eastAsia"/>
      </w:rPr>
    </w:lvl>
  </w:abstractNum>
  <w:abstractNum w:abstractNumId="1">
    <w:nsid w:val="B9B0C4FE"/>
    <w:multiLevelType w:val="singleLevel"/>
    <w:tmpl w:val="B9B0C4FE"/>
    <w:lvl w:ilvl="0" w:tentative="0">
      <w:start w:val="1"/>
      <w:numFmt w:val="decimal"/>
      <w:lvlText w:val="(%1)"/>
      <w:lvlJc w:val="left"/>
      <w:pPr>
        <w:ind w:left="425" w:hanging="425"/>
      </w:pPr>
      <w:rPr>
        <w:rFonts w:hint="default"/>
      </w:rPr>
    </w:lvl>
  </w:abstractNum>
  <w:abstractNum w:abstractNumId="2">
    <w:nsid w:val="CBC29580"/>
    <w:multiLevelType w:val="singleLevel"/>
    <w:tmpl w:val="CBC29580"/>
    <w:lvl w:ilvl="0" w:tentative="0">
      <w:start w:val="1"/>
      <w:numFmt w:val="decimal"/>
      <w:lvlText w:val="(%1)"/>
      <w:lvlJc w:val="left"/>
      <w:pPr>
        <w:ind w:left="425" w:hanging="425"/>
      </w:pPr>
      <w:rPr>
        <w:rFonts w:hint="default"/>
        <w:sz w:val="28"/>
        <w:szCs w:val="28"/>
      </w:rPr>
    </w:lvl>
  </w:abstractNum>
  <w:abstractNum w:abstractNumId="3">
    <w:nsid w:val="E454D80F"/>
    <w:multiLevelType w:val="singleLevel"/>
    <w:tmpl w:val="E454D80F"/>
    <w:lvl w:ilvl="0" w:tentative="0">
      <w:start w:val="1"/>
      <w:numFmt w:val="decimal"/>
      <w:lvlText w:val="%1."/>
      <w:lvlJc w:val="left"/>
      <w:pPr>
        <w:ind w:left="425" w:hanging="425"/>
      </w:pPr>
      <w:rPr>
        <w:rFonts w:hint="default"/>
      </w:rPr>
    </w:lvl>
  </w:abstractNum>
  <w:abstractNum w:abstractNumId="4">
    <w:nsid w:val="0AB5512B"/>
    <w:multiLevelType w:val="singleLevel"/>
    <w:tmpl w:val="0AB5512B"/>
    <w:lvl w:ilvl="0" w:tentative="0">
      <w:start w:val="1"/>
      <w:numFmt w:val="decimal"/>
      <w:lvlText w:val="(%1)"/>
      <w:lvlJc w:val="left"/>
      <w:pPr>
        <w:ind w:left="425" w:hanging="425"/>
      </w:pPr>
      <w:rPr>
        <w:rFonts w:hint="default"/>
      </w:rPr>
    </w:lvl>
  </w:abstractNum>
  <w:abstractNum w:abstractNumId="5">
    <w:nsid w:val="0DD23F0E"/>
    <w:multiLevelType w:val="singleLevel"/>
    <w:tmpl w:val="0DD23F0E"/>
    <w:lvl w:ilvl="0" w:tentative="0">
      <w:start w:val="1"/>
      <w:numFmt w:val="decimal"/>
      <w:lvlText w:val="(%1)"/>
      <w:lvlJc w:val="left"/>
      <w:pPr>
        <w:ind w:left="425" w:hanging="425"/>
      </w:pPr>
      <w:rPr>
        <w:rFonts w:hint="default"/>
      </w:rPr>
    </w:lvl>
  </w:abstractNum>
  <w:abstractNum w:abstractNumId="6">
    <w:nsid w:val="282EC3A7"/>
    <w:multiLevelType w:val="singleLevel"/>
    <w:tmpl w:val="282EC3A7"/>
    <w:lvl w:ilvl="0" w:tentative="0">
      <w:start w:val="1"/>
      <w:numFmt w:val="chineseCounting"/>
      <w:suff w:val="nothing"/>
      <w:lvlText w:val="（%1）"/>
      <w:lvlJc w:val="left"/>
      <w:pPr>
        <w:ind w:left="0" w:firstLine="420"/>
      </w:pPr>
      <w:rPr>
        <w:rFonts w:hint="eastAsia"/>
      </w:rPr>
    </w:lvl>
  </w:abstractNum>
  <w:abstractNum w:abstractNumId="7">
    <w:nsid w:val="35614F93"/>
    <w:multiLevelType w:val="singleLevel"/>
    <w:tmpl w:val="35614F93"/>
    <w:lvl w:ilvl="0" w:tentative="0">
      <w:start w:val="1"/>
      <w:numFmt w:val="chineseCounting"/>
      <w:suff w:val="nothing"/>
      <w:lvlText w:val="（%1）"/>
      <w:lvlJc w:val="left"/>
      <w:pPr>
        <w:ind w:left="0" w:firstLine="420"/>
      </w:pPr>
      <w:rPr>
        <w:rFonts w:hint="eastAsia"/>
      </w:rPr>
    </w:lvl>
  </w:abstractNum>
  <w:abstractNum w:abstractNumId="8">
    <w:nsid w:val="426FFF2F"/>
    <w:multiLevelType w:val="multilevel"/>
    <w:tmpl w:val="426FFF2F"/>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9">
    <w:nsid w:val="7E88425F"/>
    <w:multiLevelType w:val="singleLevel"/>
    <w:tmpl w:val="7E88425F"/>
    <w:lvl w:ilvl="0" w:tentative="0">
      <w:start w:val="1"/>
      <w:numFmt w:val="chineseCounting"/>
      <w:suff w:val="nothing"/>
      <w:lvlText w:val="（%1）"/>
      <w:lvlJc w:val="left"/>
      <w:pPr>
        <w:ind w:left="0" w:firstLine="420"/>
      </w:pPr>
      <w:rPr>
        <w:rFonts w:hint="eastAsia"/>
      </w:rPr>
    </w:lvl>
  </w:abstractNum>
  <w:num w:numId="1">
    <w:abstractNumId w:val="8"/>
  </w:num>
  <w:num w:numId="2">
    <w:abstractNumId w:val="0"/>
  </w:num>
  <w:num w:numId="3">
    <w:abstractNumId w:val="9"/>
  </w:num>
  <w:num w:numId="4">
    <w:abstractNumId w:val="3"/>
  </w:num>
  <w:num w:numId="5">
    <w:abstractNumId w:val="7"/>
  </w:num>
  <w:num w:numId="6">
    <w:abstractNumId w:val="4"/>
  </w:num>
  <w:num w:numId="7">
    <w:abstractNumId w:val="1"/>
  </w:num>
  <w:num w:numId="8">
    <w:abstractNumId w:val="5"/>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6244F2"/>
    <w:rsid w:val="016D4D19"/>
    <w:rsid w:val="02900CBF"/>
    <w:rsid w:val="03C07382"/>
    <w:rsid w:val="03DC02EB"/>
    <w:rsid w:val="03FB03BA"/>
    <w:rsid w:val="053F077B"/>
    <w:rsid w:val="060774EA"/>
    <w:rsid w:val="065C7003"/>
    <w:rsid w:val="072D4D2F"/>
    <w:rsid w:val="07F97307"/>
    <w:rsid w:val="0B582596"/>
    <w:rsid w:val="0E666D78"/>
    <w:rsid w:val="10F20D97"/>
    <w:rsid w:val="136244F2"/>
    <w:rsid w:val="13826402"/>
    <w:rsid w:val="146401FE"/>
    <w:rsid w:val="15E6711C"/>
    <w:rsid w:val="15F66C34"/>
    <w:rsid w:val="17E4768B"/>
    <w:rsid w:val="195B397D"/>
    <w:rsid w:val="19C3216B"/>
    <w:rsid w:val="1A8B2040"/>
    <w:rsid w:val="1B6B1E72"/>
    <w:rsid w:val="1E0839A8"/>
    <w:rsid w:val="1EE00481"/>
    <w:rsid w:val="20B3409F"/>
    <w:rsid w:val="279D7857"/>
    <w:rsid w:val="28497097"/>
    <w:rsid w:val="28A569C3"/>
    <w:rsid w:val="29746395"/>
    <w:rsid w:val="29C410CB"/>
    <w:rsid w:val="2D3E1194"/>
    <w:rsid w:val="2DD13DB6"/>
    <w:rsid w:val="2E374561"/>
    <w:rsid w:val="2E976DAE"/>
    <w:rsid w:val="31A812D2"/>
    <w:rsid w:val="326A6587"/>
    <w:rsid w:val="33745910"/>
    <w:rsid w:val="33B51A84"/>
    <w:rsid w:val="3442156A"/>
    <w:rsid w:val="35661288"/>
    <w:rsid w:val="389B393F"/>
    <w:rsid w:val="38C2711D"/>
    <w:rsid w:val="38D330D8"/>
    <w:rsid w:val="393D67A4"/>
    <w:rsid w:val="3A52002D"/>
    <w:rsid w:val="3C5F6A31"/>
    <w:rsid w:val="3D477BF1"/>
    <w:rsid w:val="3E3208A1"/>
    <w:rsid w:val="3FB35A12"/>
    <w:rsid w:val="40BF3F42"/>
    <w:rsid w:val="41A76EB0"/>
    <w:rsid w:val="42621029"/>
    <w:rsid w:val="42B06238"/>
    <w:rsid w:val="435E5C94"/>
    <w:rsid w:val="458A4367"/>
    <w:rsid w:val="469320F9"/>
    <w:rsid w:val="488E4926"/>
    <w:rsid w:val="49804BB7"/>
    <w:rsid w:val="4C194E4E"/>
    <w:rsid w:val="4E4D0DDF"/>
    <w:rsid w:val="51BA0BFD"/>
    <w:rsid w:val="547846DC"/>
    <w:rsid w:val="54C3004D"/>
    <w:rsid w:val="54D1276A"/>
    <w:rsid w:val="559B0682"/>
    <w:rsid w:val="564D31A3"/>
    <w:rsid w:val="57C83143"/>
    <w:rsid w:val="5A3963BF"/>
    <w:rsid w:val="5A4F7C8D"/>
    <w:rsid w:val="5A673229"/>
    <w:rsid w:val="5B152C85"/>
    <w:rsid w:val="5B7E4CCE"/>
    <w:rsid w:val="5D1A6C78"/>
    <w:rsid w:val="5E225DE5"/>
    <w:rsid w:val="5EB24251"/>
    <w:rsid w:val="63870498"/>
    <w:rsid w:val="64025D70"/>
    <w:rsid w:val="64053489"/>
    <w:rsid w:val="668B64F1"/>
    <w:rsid w:val="671E1113"/>
    <w:rsid w:val="6BFD579B"/>
    <w:rsid w:val="6D463172"/>
    <w:rsid w:val="6DA34120"/>
    <w:rsid w:val="70FF5B11"/>
    <w:rsid w:val="72A5093A"/>
    <w:rsid w:val="732B0E40"/>
    <w:rsid w:val="7349576A"/>
    <w:rsid w:val="73817839"/>
    <w:rsid w:val="73840550"/>
    <w:rsid w:val="73FE6554"/>
    <w:rsid w:val="76FD6F97"/>
    <w:rsid w:val="7AA8721A"/>
    <w:rsid w:val="7BBF0CBF"/>
    <w:rsid w:val="7CF90201"/>
    <w:rsid w:val="7FF60A27"/>
    <w:rsid w:val="DFFF2F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11">
    <w:name w:val="Body Text"/>
    <w:basedOn w:val="1"/>
    <w:next w:val="12"/>
    <w:qFormat/>
    <w:uiPriority w:val="1"/>
    <w:pPr>
      <w:ind w:left="1258"/>
    </w:pPr>
    <w:rPr>
      <w:rFonts w:ascii="仿宋" w:hAnsi="仿宋" w:eastAsia="仿宋" w:cs="仿宋"/>
      <w:sz w:val="24"/>
      <w:szCs w:val="24"/>
      <w:lang w:val="zh-TW" w:eastAsia="zh-TW" w:bidi="zh-TW"/>
    </w:rPr>
  </w:style>
  <w:style w:type="paragraph" w:styleId="12">
    <w:name w:val="Body Text First Indent"/>
    <w:basedOn w:val="11"/>
    <w:qFormat/>
    <w:uiPriority w:val="0"/>
    <w:pPr>
      <w:ind w:firstLine="420" w:firstLineChars="100"/>
    </w:pPr>
  </w:style>
  <w:style w:type="paragraph" w:styleId="13">
    <w:name w:val="footer"/>
    <w:basedOn w:val="1"/>
    <w:unhideWhenUsed/>
    <w:qFormat/>
    <w:uiPriority w:val="99"/>
    <w:pPr>
      <w:tabs>
        <w:tab w:val="center" w:pos="4153"/>
        <w:tab w:val="right" w:pos="8306"/>
      </w:tabs>
      <w:snapToGrid w:val="0"/>
      <w:jc w:val="left"/>
    </w:pPr>
    <w:rPr>
      <w:sz w:val="18"/>
      <w:szCs w:val="18"/>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正文缩进1"/>
    <w:basedOn w:val="1"/>
    <w:qFormat/>
    <w:uiPriority w:val="0"/>
    <w:pPr>
      <w:ind w:firstLine="42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2993</Words>
  <Characters>3113</Characters>
  <Lines>0</Lines>
  <Paragraphs>0</Paragraphs>
  <TotalTime>59</TotalTime>
  <ScaleCrop>false</ScaleCrop>
  <LinksUpToDate>false</LinksUpToDate>
  <CharactersWithSpaces>3125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2026-01-20T14:14:00Z</dcterms:created>
  <dc:creator>CYPC</dc:creator>
  <cp:lastModifiedBy>Push-button</cp:lastModifiedBy>
  <dcterms:modified xsi:type="dcterms:W3CDTF">2026-02-04T02:00:25Z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BAB9880BD6924576A2CB990D4CF38C97_11</vt:lpwstr>
  </property>
  <property fmtid="{D5CDD505-2E9C-101B-9397-08002B2CF9AE}" pid="4" name="KSOTemplateDocerSaveRecord">
    <vt:lpwstr>eyJoZGlkIjoiMjExMzYzODMwMTQ1YWYyMTU0NTY5ZjQ0Y2IzNGY1YmYiLCJ1c2VySWQiOiI0NDc2MDkzNzIifQ==</vt:lpwstr>
  </property>
</Properties>
</file>