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pPr>
      <w:r>
        <w:rPr>
          <w:rFonts w:hint="eastAsia"/>
        </w:rPr>
        <w:t>资格要求</w:t>
      </w:r>
    </w:p>
    <w:p>
      <w:pPr>
        <w:numPr>
          <w:ilvl w:val="0"/>
          <w:numId w:val="2"/>
        </w:numPr>
        <w:ind w:left="0" w:firstLine="420" w:firstLineChars="200"/>
        <w:rPr>
          <w:sz w:val="21"/>
          <w:szCs w:val="21"/>
        </w:rPr>
      </w:pPr>
      <w:r>
        <w:rPr>
          <w:rFonts w:hint="eastAsia"/>
          <w:sz w:val="21"/>
          <w:szCs w:val="21"/>
        </w:rPr>
        <w:t>具有独立承担民事责任的能力；</w:t>
      </w:r>
    </w:p>
    <w:p>
      <w:pPr>
        <w:numPr>
          <w:ilvl w:val="0"/>
          <w:numId w:val="2"/>
        </w:numPr>
        <w:ind w:left="0" w:firstLine="420" w:firstLineChars="200"/>
        <w:rPr>
          <w:sz w:val="21"/>
          <w:szCs w:val="21"/>
        </w:rPr>
      </w:pPr>
      <w:r>
        <w:rPr>
          <w:rFonts w:hint="eastAsia"/>
          <w:sz w:val="21"/>
          <w:szCs w:val="21"/>
        </w:rPr>
        <w:t>具有良好的商业信誉和健全的财务会计制度；</w:t>
      </w:r>
    </w:p>
    <w:p>
      <w:pPr>
        <w:numPr>
          <w:ilvl w:val="0"/>
          <w:numId w:val="2"/>
        </w:numPr>
        <w:ind w:left="0" w:firstLine="420" w:firstLineChars="200"/>
        <w:rPr>
          <w:sz w:val="21"/>
          <w:szCs w:val="21"/>
        </w:rPr>
      </w:pPr>
      <w:r>
        <w:rPr>
          <w:rFonts w:hint="eastAsia"/>
          <w:sz w:val="21"/>
          <w:szCs w:val="21"/>
        </w:rPr>
        <w:t>具有履行合同所必需的设备和专业技术能力；</w:t>
      </w:r>
    </w:p>
    <w:p>
      <w:pPr>
        <w:numPr>
          <w:ilvl w:val="0"/>
          <w:numId w:val="2"/>
        </w:numPr>
        <w:ind w:left="0" w:firstLine="420" w:firstLineChars="200"/>
        <w:rPr>
          <w:sz w:val="21"/>
          <w:szCs w:val="21"/>
        </w:rPr>
      </w:pPr>
      <w:r>
        <w:rPr>
          <w:rFonts w:hint="eastAsia"/>
          <w:sz w:val="21"/>
          <w:szCs w:val="21"/>
        </w:rPr>
        <w:t>有依法缴纳税收和社会保障资金的良好记录；</w:t>
      </w:r>
    </w:p>
    <w:p>
      <w:pPr>
        <w:numPr>
          <w:ilvl w:val="0"/>
          <w:numId w:val="2"/>
        </w:numPr>
        <w:ind w:left="0" w:firstLine="420" w:firstLineChars="200"/>
        <w:rPr>
          <w:sz w:val="21"/>
          <w:szCs w:val="21"/>
        </w:rPr>
      </w:pPr>
      <w:r>
        <w:rPr>
          <w:rFonts w:hint="eastAsia"/>
          <w:sz w:val="21"/>
          <w:szCs w:val="21"/>
        </w:rPr>
        <w:t>参加采购活动前三年内，在经营活动中没有重大违法记录；</w:t>
      </w:r>
    </w:p>
    <w:p>
      <w:pPr>
        <w:numPr>
          <w:ilvl w:val="0"/>
          <w:numId w:val="2"/>
        </w:numPr>
        <w:ind w:left="0" w:firstLine="420" w:firstLineChars="200"/>
        <w:rPr>
          <w:sz w:val="21"/>
          <w:szCs w:val="21"/>
        </w:rPr>
      </w:pPr>
      <w:r>
        <w:rPr>
          <w:rFonts w:hint="eastAsia"/>
          <w:sz w:val="21"/>
          <w:szCs w:val="21"/>
        </w:rPr>
        <w:t>法律、行政法规规定的其他条件；</w:t>
      </w:r>
    </w:p>
    <w:p>
      <w:pPr>
        <w:numPr>
          <w:ilvl w:val="0"/>
          <w:numId w:val="2"/>
        </w:numPr>
        <w:ind w:left="0" w:firstLine="420" w:firstLineChars="200"/>
        <w:rPr>
          <w:sz w:val="21"/>
          <w:szCs w:val="21"/>
        </w:rPr>
      </w:pPr>
      <w:r>
        <w:rPr>
          <w:rFonts w:hint="eastAsia"/>
          <w:sz w:val="21"/>
          <w:szCs w:val="21"/>
        </w:rPr>
        <w:t>未被列入失信被执行人、重大税收违法失信主体，未被列入政府采购严重违法失信行为记录名单。</w:t>
      </w:r>
    </w:p>
    <w:p>
      <w:pPr>
        <w:numPr>
          <w:ilvl w:val="0"/>
          <w:numId w:val="2"/>
        </w:numPr>
        <w:ind w:left="0" w:firstLine="420" w:firstLineChars="200"/>
        <w:rPr>
          <w:sz w:val="21"/>
          <w:szCs w:val="21"/>
        </w:rPr>
      </w:pPr>
      <w:r>
        <w:rPr>
          <w:rFonts w:hint="eastAsia"/>
          <w:sz w:val="21"/>
          <w:szCs w:val="21"/>
        </w:rPr>
        <w:t>投标人须对本项目所有服务要求做响应承诺，不允许低于采购要求，提供承诺函并加盖公章。</w:t>
      </w:r>
    </w:p>
    <w:p/>
    <w:p>
      <w:r>
        <w:br w:type="page"/>
      </w:r>
    </w:p>
    <w:p>
      <w:pPr>
        <w:pStyle w:val="4"/>
      </w:pPr>
      <w:r>
        <w:rPr>
          <w:rFonts w:hint="eastAsia"/>
          <w:lang w:val="en-US" w:eastAsia="zh-CN"/>
        </w:rPr>
        <w:t>安全</w:t>
      </w:r>
      <w:r>
        <w:rPr>
          <w:rFonts w:hint="eastAsia"/>
        </w:rPr>
        <w:t>运维服务清单</w:t>
      </w:r>
    </w:p>
    <w:tbl>
      <w:tblPr>
        <w:tblStyle w:val="5"/>
        <w:tblW w:w="0" w:type="auto"/>
        <w:tblInd w:w="100" w:type="dxa"/>
        <w:tblLayout w:type="autofit"/>
        <w:tblCellMar>
          <w:top w:w="0" w:type="dxa"/>
          <w:left w:w="108" w:type="dxa"/>
          <w:bottom w:w="0" w:type="dxa"/>
          <w:right w:w="108" w:type="dxa"/>
        </w:tblCellMar>
      </w:tblPr>
      <w:tblGrid>
        <w:gridCol w:w="604"/>
        <w:gridCol w:w="804"/>
        <w:gridCol w:w="5819"/>
        <w:gridCol w:w="1195"/>
      </w:tblGrid>
      <w:tr>
        <w:tblPrEx>
          <w:tblCellMar>
            <w:top w:w="0" w:type="dxa"/>
            <w:left w:w="108" w:type="dxa"/>
            <w:bottom w:w="0" w:type="dxa"/>
            <w:right w:w="108" w:type="dxa"/>
          </w:tblCellMar>
        </w:tblPrEx>
        <w:trPr>
          <w:trHeight w:val="270" w:hRule="atLeast"/>
        </w:trPr>
        <w:tc>
          <w:tcPr>
            <w:tcW w:w="6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textAlignment w:val="center"/>
              <w:rPr>
                <w:rFonts w:hint="default"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序号</w:t>
            </w:r>
          </w:p>
        </w:tc>
        <w:tc>
          <w:tcPr>
            <w:tcW w:w="8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服务内容</w:t>
            </w:r>
          </w:p>
        </w:tc>
        <w:tc>
          <w:tcPr>
            <w:tcW w:w="581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服务内容说明</w:t>
            </w:r>
          </w:p>
        </w:tc>
        <w:tc>
          <w:tcPr>
            <w:tcW w:w="119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b/>
                <w:bCs/>
                <w:color w:val="000000"/>
                <w:sz w:val="21"/>
                <w:szCs w:val="21"/>
                <w:highlight w:val="none"/>
              </w:rPr>
            </w:pPr>
            <w:r>
              <w:rPr>
                <w:rFonts w:hint="eastAsia" w:ascii="宋体" w:hAnsi="宋体" w:cs="宋体"/>
                <w:b/>
                <w:bCs/>
                <w:color w:val="000000"/>
                <w:kern w:val="0"/>
                <w:sz w:val="21"/>
                <w:szCs w:val="21"/>
                <w:highlight w:val="none"/>
                <w:lang w:bidi="ar"/>
              </w:rPr>
              <w:t>频率</w:t>
            </w:r>
          </w:p>
        </w:tc>
      </w:tr>
      <w:tr>
        <w:tblPrEx>
          <w:tblCellMar>
            <w:top w:w="0" w:type="dxa"/>
            <w:left w:w="108" w:type="dxa"/>
            <w:bottom w:w="0" w:type="dxa"/>
            <w:right w:w="108" w:type="dxa"/>
          </w:tblCellMar>
        </w:tblPrEx>
        <w:trPr>
          <w:trHeight w:val="4260" w:hRule="atLeast"/>
        </w:trPr>
        <w:tc>
          <w:tcPr>
            <w:tcW w:w="604" w:type="dxa"/>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1</w:t>
            </w:r>
          </w:p>
        </w:tc>
        <w:tc>
          <w:tcPr>
            <w:tcW w:w="804"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val="en-US" w:eastAsia="zh-CN" w:bidi="ar"/>
              </w:rPr>
              <w:t>互联网安全监测</w:t>
            </w:r>
            <w:r>
              <w:rPr>
                <w:rFonts w:hint="eastAsia" w:ascii="宋体" w:hAnsi="宋体" w:cs="宋体"/>
                <w:color w:val="000000"/>
                <w:kern w:val="0"/>
                <w:sz w:val="21"/>
                <w:szCs w:val="21"/>
                <w:highlight w:val="none"/>
                <w:lang w:bidi="ar"/>
              </w:rPr>
              <w:t>服务</w:t>
            </w:r>
          </w:p>
        </w:tc>
        <w:tc>
          <w:tcPr>
            <w:tcW w:w="5819"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numPr>
                <w:ilvl w:val="-1"/>
                <w:numId w:val="0"/>
              </w:numPr>
              <w:suppressLineNumbers w:val="0"/>
              <w:spacing w:before="0" w:beforeAutospacing="0" w:after="0" w:afterAutospacing="0"/>
              <w:ind w:left="0" w:right="0"/>
              <w:jc w:val="left"/>
              <w:textAlignment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val="en-US" w:eastAsia="zh-CN" w:bidi="ar"/>
              </w:rPr>
              <w:t>1）</w:t>
            </w:r>
            <w:r>
              <w:rPr>
                <w:rFonts w:hint="eastAsia" w:ascii="宋体" w:hAnsi="宋体" w:cs="宋体"/>
                <w:color w:val="000000"/>
                <w:kern w:val="0"/>
                <w:sz w:val="21"/>
                <w:szCs w:val="21"/>
                <w:highlight w:val="none"/>
                <w:lang w:bidi="ar"/>
              </w:rPr>
              <w:t xml:space="preserve">服务范围： </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服务期内对网站群系统进行持续监测，站群子域名数≥75个；服务工具由投标人自行准备。</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 xml:space="preserve">2)服务内容： </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对用户所有网站进行7*24小时网站监测，包含：“web漏洞、篡改、黑链/挂马、敏感文件、敏感词、可用性、域名劫持”等8个维度开展实时监测，并可通过邮件、飞书、钉钉、企业微信等告警形式提供网站风险预警服务。</w:t>
            </w:r>
          </w:p>
          <w:p>
            <w:pPr>
              <w:keepNext w:val="0"/>
              <w:keepLines w:val="0"/>
              <w:widowControl/>
              <w:numPr>
                <w:ilvl w:val="-1"/>
                <w:numId w:val="0"/>
              </w:numPr>
              <w:suppressLineNumbers w:val="0"/>
              <w:spacing w:before="0" w:beforeAutospacing="0" w:after="0" w:afterAutospacing="0"/>
              <w:ind w:left="0" w:right="0"/>
              <w:jc w:val="left"/>
              <w:textAlignment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网站漏洞监测：对</w:t>
            </w:r>
            <w:r>
              <w:rPr>
                <w:rFonts w:hint="eastAsia" w:ascii="宋体" w:hAnsi="宋体" w:cs="宋体"/>
                <w:color w:val="000000"/>
                <w:kern w:val="0"/>
                <w:sz w:val="21"/>
                <w:szCs w:val="21"/>
                <w:highlight w:val="none"/>
                <w:lang w:val="en-US" w:eastAsia="zh-CN" w:bidi="ar"/>
              </w:rPr>
              <w:t>授权</w:t>
            </w:r>
            <w:r>
              <w:rPr>
                <w:rFonts w:hint="eastAsia" w:ascii="宋体" w:hAnsi="宋体" w:cs="宋体"/>
                <w:color w:val="000000"/>
                <w:kern w:val="0"/>
                <w:sz w:val="21"/>
                <w:szCs w:val="21"/>
                <w:highlight w:val="none"/>
                <w:lang w:bidi="ar"/>
              </w:rPr>
              <w:t>范围内的Web站点进行扫描，排查WEB站点中的SQL、XSS、敏感信息泄露、文件包含、CSRF、目录遍历、XML注入、备份文件、弱口令等多种web代码层面的漏洞。</w:t>
            </w:r>
          </w:p>
          <w:p>
            <w:pPr>
              <w:keepNext w:val="0"/>
              <w:keepLines w:val="0"/>
              <w:widowControl/>
              <w:numPr>
                <w:ilvl w:val="-1"/>
                <w:numId w:val="0"/>
              </w:numPr>
              <w:suppressLineNumbers w:val="0"/>
              <w:spacing w:before="0" w:beforeAutospacing="0" w:after="0" w:afterAutospacing="0"/>
              <w:ind w:left="0" w:right="0"/>
              <w:jc w:val="left"/>
              <w:textAlignment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黑链/篡改事件监测：高频率监测站点是否存在被黑客植入黑链、篡改的事件，监测频率低至5分钟/次。</w:t>
            </w:r>
          </w:p>
          <w:p>
            <w:pPr>
              <w:keepNext w:val="0"/>
              <w:keepLines w:val="0"/>
              <w:widowControl/>
              <w:numPr>
                <w:ilvl w:val="-1"/>
                <w:numId w:val="0"/>
              </w:numPr>
              <w:suppressLineNumbers w:val="0"/>
              <w:spacing w:before="0" w:beforeAutospacing="0" w:after="0" w:afterAutospacing="0"/>
              <w:ind w:left="0" w:right="0"/>
              <w:jc w:val="left"/>
              <w:textAlignment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敏感词事件监测：自定义敏感词库，支持自定义监控周期，持续对单位的网站进行全站页面爬取，发现敏感词字眼。</w:t>
            </w:r>
          </w:p>
          <w:p>
            <w:pPr>
              <w:keepNext w:val="0"/>
              <w:keepLines w:val="0"/>
              <w:widowControl/>
              <w:numPr>
                <w:ilvl w:val="-1"/>
                <w:numId w:val="0"/>
              </w:numPr>
              <w:suppressLineNumbers w:val="0"/>
              <w:spacing w:before="0" w:beforeAutospacing="0" w:after="0" w:afterAutospacing="0"/>
              <w:ind w:left="0" w:right="0"/>
              <w:jc w:val="left"/>
              <w:textAlignment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敏感文件泄露事件监测：对单位网站发布的文件中是否含有用户信息等敏感文件进行监测，包括excel、txt、pdf等类型的文件。</w:t>
            </w:r>
          </w:p>
          <w:p>
            <w:pPr>
              <w:keepNext w:val="0"/>
              <w:keepLines w:val="0"/>
              <w:widowControl/>
              <w:numPr>
                <w:ilvl w:val="-1"/>
                <w:numId w:val="0"/>
              </w:numPr>
              <w:suppressLineNumbers w:val="0"/>
              <w:spacing w:before="0" w:beforeAutospacing="0" w:after="0" w:afterAutospacing="0"/>
              <w:ind w:left="0" w:right="0"/>
              <w:jc w:val="left"/>
              <w:textAlignment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网马监测：通过对网页中的恶意脚本的链接进行分析，追查出网页木马传播的病毒、木马程序所在位置，对网络中的有害程序进行准确定位。</w:t>
            </w:r>
          </w:p>
          <w:p>
            <w:pPr>
              <w:keepNext w:val="0"/>
              <w:keepLines w:val="0"/>
              <w:widowControl/>
              <w:numPr>
                <w:ilvl w:val="-1"/>
                <w:numId w:val="0"/>
              </w:numPr>
              <w:suppressLineNumbers w:val="0"/>
              <w:spacing w:before="0" w:beforeAutospacing="0" w:after="0" w:afterAutospacing="0"/>
              <w:ind w:left="0" w:right="0"/>
              <w:jc w:val="left"/>
              <w:textAlignment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域名劫持事件监测：监测站点的DNS解析是否异常，监测频率低至5分钟/次。</w:t>
            </w:r>
          </w:p>
          <w:p>
            <w:pPr>
              <w:keepNext w:val="0"/>
              <w:keepLines w:val="0"/>
              <w:widowControl/>
              <w:numPr>
                <w:ilvl w:val="-1"/>
                <w:numId w:val="0"/>
              </w:numPr>
              <w:suppressLineNumbers w:val="0"/>
              <w:spacing w:before="0" w:beforeAutospacing="0" w:after="0" w:afterAutospacing="0"/>
              <w:ind w:left="0" w:right="0"/>
              <w:jc w:val="left"/>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可用性异常事件监测：模拟浏览器访问，监测站点的可用性情况，监测频率低至5分钟/次。</w:t>
            </w:r>
            <w:r>
              <w:rPr>
                <w:rStyle w:val="7"/>
                <w:rFonts w:hint="default"/>
                <w:sz w:val="21"/>
                <w:szCs w:val="21"/>
                <w:highlight w:val="none"/>
                <w:lang w:bidi="ar"/>
              </w:rPr>
              <w:br w:type="textWrapping"/>
            </w:r>
            <w:r>
              <w:rPr>
                <w:rStyle w:val="7"/>
                <w:rFonts w:hint="eastAsia"/>
                <w:sz w:val="21"/>
                <w:szCs w:val="21"/>
                <w:highlight w:val="none"/>
                <w:lang w:val="en-US" w:eastAsia="zh-CN" w:bidi="ar"/>
              </w:rPr>
              <w:t>3</w:t>
            </w:r>
            <w:r>
              <w:rPr>
                <w:rStyle w:val="7"/>
                <w:rFonts w:hint="default"/>
                <w:sz w:val="21"/>
                <w:szCs w:val="21"/>
                <w:highlight w:val="none"/>
                <w:lang w:bidi="ar"/>
              </w:rPr>
              <w:t xml:space="preserve">)服务交付物： </w:t>
            </w:r>
            <w:r>
              <w:rPr>
                <w:rStyle w:val="7"/>
                <w:rFonts w:hint="default"/>
                <w:sz w:val="21"/>
                <w:szCs w:val="21"/>
                <w:highlight w:val="none"/>
                <w:lang w:bidi="ar"/>
              </w:rPr>
              <w:br w:type="textWrapping"/>
            </w:r>
            <w:r>
              <w:rPr>
                <w:rStyle w:val="7"/>
                <w:rFonts w:hint="default"/>
                <w:sz w:val="21"/>
                <w:szCs w:val="21"/>
                <w:highlight w:val="none"/>
                <w:lang w:bidi="ar"/>
              </w:rPr>
              <w:t>提供《</w:t>
            </w:r>
            <w:r>
              <w:rPr>
                <w:rStyle w:val="7"/>
                <w:rFonts w:hint="eastAsia"/>
                <w:sz w:val="21"/>
                <w:szCs w:val="21"/>
                <w:highlight w:val="none"/>
                <w:lang w:val="en-US" w:eastAsia="zh-CN" w:bidi="ar"/>
              </w:rPr>
              <w:t>互联网安全运营报告</w:t>
            </w:r>
            <w:r>
              <w:rPr>
                <w:rStyle w:val="7"/>
                <w:rFonts w:hint="default"/>
                <w:sz w:val="21"/>
                <w:szCs w:val="21"/>
                <w:highlight w:val="none"/>
                <w:lang w:bidi="ar"/>
              </w:rPr>
              <w:t>》。</w:t>
            </w:r>
          </w:p>
        </w:tc>
        <w:tc>
          <w:tcPr>
            <w:tcW w:w="1195" w:type="dxa"/>
            <w:vMerge w:val="restart"/>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1个站群内75域名/1年</w:t>
            </w:r>
          </w:p>
        </w:tc>
      </w:tr>
      <w:tr>
        <w:tblPrEx>
          <w:tblCellMar>
            <w:top w:w="0" w:type="dxa"/>
            <w:left w:w="108" w:type="dxa"/>
            <w:bottom w:w="0" w:type="dxa"/>
            <w:right w:w="108" w:type="dxa"/>
          </w:tblCellMar>
        </w:tblPrEx>
        <w:trPr>
          <w:trHeight w:val="583" w:hRule="atLeast"/>
        </w:trPr>
        <w:tc>
          <w:tcPr>
            <w:tcW w:w="604" w:type="dxa"/>
            <w:vMerge w:val="continue"/>
            <w:tcBorders>
              <w:top w:val="single" w:color="000000" w:sz="4" w:space="0"/>
              <w:left w:val="single" w:color="000000" w:sz="4" w:space="0"/>
              <w:bottom w:val="single" w:color="000000" w:sz="4" w:space="0"/>
              <w:right w:val="single" w:color="000000" w:sz="4" w:space="0"/>
            </w:tcBorders>
            <w:noWrap/>
            <w:vAlign w:val="center"/>
          </w:tcPr>
          <w:p>
            <w:pPr>
              <w:keepNext w:val="0"/>
              <w:keepLines w:val="0"/>
              <w:suppressLineNumbers w:val="0"/>
              <w:spacing w:before="0" w:beforeAutospacing="0" w:after="0" w:afterAutospacing="0"/>
              <w:ind w:left="0" w:right="0"/>
              <w:jc w:val="center"/>
              <w:rPr>
                <w:rFonts w:hint="default" w:ascii="宋体" w:hAnsi="宋体" w:cs="宋体"/>
                <w:color w:val="000000"/>
                <w:sz w:val="21"/>
                <w:szCs w:val="21"/>
                <w:highlight w:val="none"/>
              </w:rPr>
            </w:pPr>
          </w:p>
        </w:tc>
        <w:tc>
          <w:tcPr>
            <w:tcW w:w="804"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color w:val="000000"/>
                <w:sz w:val="21"/>
                <w:szCs w:val="21"/>
                <w:highlight w:val="none"/>
              </w:rPr>
            </w:pPr>
          </w:p>
        </w:tc>
        <w:tc>
          <w:tcPr>
            <w:tcW w:w="5819"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left"/>
              <w:rPr>
                <w:rFonts w:hint="default" w:ascii="宋体" w:hAnsi="宋体" w:cs="宋体"/>
                <w:color w:val="000000"/>
                <w:sz w:val="21"/>
                <w:szCs w:val="21"/>
                <w:highlight w:val="none"/>
              </w:rPr>
            </w:pPr>
          </w:p>
        </w:tc>
        <w:tc>
          <w:tcPr>
            <w:tcW w:w="1195" w:type="dxa"/>
            <w:vMerge w:val="continue"/>
            <w:tcBorders>
              <w:top w:val="single" w:color="000000" w:sz="4" w:space="0"/>
              <w:left w:val="single" w:color="000000" w:sz="4" w:space="0"/>
              <w:bottom w:val="single" w:color="000000" w:sz="4" w:space="0"/>
              <w:right w:val="single" w:color="000000" w:sz="4" w:space="0"/>
            </w:tcBorders>
            <w:vAlign w:val="center"/>
          </w:tcPr>
          <w:p>
            <w:pPr>
              <w:keepNext w:val="0"/>
              <w:keepLines w:val="0"/>
              <w:suppressLineNumbers w:val="0"/>
              <w:spacing w:before="0" w:beforeAutospacing="0" w:after="0" w:afterAutospacing="0"/>
              <w:ind w:left="0" w:right="0"/>
              <w:jc w:val="center"/>
              <w:rPr>
                <w:rFonts w:hint="default" w:ascii="宋体" w:hAnsi="宋体" w:cs="宋体"/>
                <w:color w:val="000000"/>
                <w:sz w:val="21"/>
                <w:szCs w:val="21"/>
                <w:highlight w:val="none"/>
              </w:rPr>
            </w:pPr>
          </w:p>
        </w:tc>
      </w:tr>
      <w:tr>
        <w:tblPrEx>
          <w:tblCellMar>
            <w:top w:w="0" w:type="dxa"/>
            <w:left w:w="108" w:type="dxa"/>
            <w:bottom w:w="0" w:type="dxa"/>
            <w:right w:w="108" w:type="dxa"/>
          </w:tblCellMar>
        </w:tblPrEx>
        <w:trPr>
          <w:trHeight w:val="90" w:hRule="atLeast"/>
        </w:trPr>
        <w:tc>
          <w:tcPr>
            <w:tcW w:w="60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2</w:t>
            </w:r>
          </w:p>
        </w:tc>
        <w:tc>
          <w:tcPr>
            <w:tcW w:w="8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内网威胁监测与处置服务</w:t>
            </w:r>
          </w:p>
        </w:tc>
        <w:tc>
          <w:tcPr>
            <w:tcW w:w="581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numPr>
                <w:ilvl w:val="0"/>
                <w:numId w:val="3"/>
              </w:numPr>
              <w:suppressLineNumbers w:val="0"/>
              <w:spacing w:before="0" w:beforeAutospacing="0" w:after="0" w:afterAutospacing="0"/>
              <w:ind w:left="0" w:right="0"/>
              <w:jc w:val="left"/>
              <w:textAlignment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 xml:space="preserve">服务范围： </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 xml:space="preserve">服务期限为1 年，服务期内对学校网络中心核心机房内的业务主机进行监测与响应服务，服务人员结合学校现有设备对学校主机进行威胁检测和分析。 </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 xml:space="preserve">2)服务内容： </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分析攻击次数最多的TOP5口令爆破行为、横向威胁行为并给出解决建议；</w:t>
            </w:r>
          </w:p>
          <w:p>
            <w:pPr>
              <w:keepNext w:val="0"/>
              <w:keepLines w:val="0"/>
              <w:widowControl/>
              <w:numPr>
                <w:ilvl w:val="-1"/>
                <w:numId w:val="0"/>
              </w:numPr>
              <w:suppressLineNumbers w:val="0"/>
              <w:spacing w:before="0" w:beforeAutospacing="0" w:after="0" w:afterAutospacing="0"/>
              <w:ind w:left="0" w:right="0"/>
              <w:jc w:val="left"/>
              <w:textAlignment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对系统命令注入、信息泄露攻击事件、口令暴力破解事件、Webshell上传事件、Web系统目录遍历攻击事件、SQL注入攻击事件、Web明文传输事件进行深度分析研判，判断攻击行为是否成功并提供加固建议；</w:t>
            </w:r>
          </w:p>
          <w:p>
            <w:pPr>
              <w:keepNext w:val="0"/>
              <w:keepLines w:val="0"/>
              <w:widowControl/>
              <w:numPr>
                <w:ilvl w:val="-1"/>
                <w:numId w:val="0"/>
              </w:numPr>
              <w:suppressLineNumbers w:val="0"/>
              <w:spacing w:before="0" w:beforeAutospacing="0" w:after="0" w:afterAutospacing="0"/>
              <w:ind w:left="0" w:right="0"/>
              <w:jc w:val="left"/>
              <w:textAlignment w:val="center"/>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根据已发生的漏洞攻击行为，分析判断是否存在勒索病毒攻击、挖矿木马等；</w:t>
            </w:r>
          </w:p>
          <w:p>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针对RDP爆破和SMB爆破行为进行源IP和端口以及频率分析，结合实际情况加以分析，判断是否为正常行为</w:t>
            </w:r>
            <w:r>
              <w:rPr>
                <w:rFonts w:hint="eastAsia" w:ascii="宋体" w:hAnsi="宋体" w:cs="宋体"/>
                <w:color w:val="000000"/>
                <w:kern w:val="0"/>
                <w:sz w:val="21"/>
                <w:szCs w:val="21"/>
                <w:highlight w:val="none"/>
                <w:lang w:eastAsia="zh-CN" w:bidi="ar"/>
              </w:rPr>
              <w:t>。</w:t>
            </w:r>
            <w:r>
              <w:rPr>
                <w:rFonts w:hint="eastAsia" w:ascii="宋体" w:hAnsi="宋体" w:cs="宋体"/>
                <w:color w:val="000000"/>
                <w:kern w:val="0"/>
                <w:sz w:val="21"/>
                <w:szCs w:val="21"/>
                <w:highlight w:val="none"/>
                <w:lang w:bidi="ar"/>
              </w:rPr>
              <w:t xml:space="preserve"> </w:t>
            </w:r>
            <w:r>
              <w:rPr>
                <w:rFonts w:hint="eastAsia" w:ascii="宋体" w:hAnsi="宋体" w:cs="宋体"/>
                <w:color w:val="000000"/>
                <w:kern w:val="0"/>
                <w:sz w:val="21"/>
                <w:szCs w:val="21"/>
                <w:highlight w:val="none"/>
                <w:lang w:bidi="ar"/>
              </w:rPr>
              <w:br w:type="textWrapping"/>
            </w:r>
            <w:r>
              <w:rPr>
                <w:rStyle w:val="7"/>
                <w:rFonts w:hint="eastAsia"/>
                <w:sz w:val="21"/>
                <w:szCs w:val="21"/>
                <w:highlight w:val="none"/>
                <w:lang w:val="en-US" w:eastAsia="zh-CN" w:bidi="ar"/>
              </w:rPr>
              <w:t>3</w:t>
            </w:r>
            <w:r>
              <w:rPr>
                <w:rStyle w:val="7"/>
                <w:rFonts w:hint="default"/>
                <w:sz w:val="21"/>
                <w:szCs w:val="21"/>
                <w:highlight w:val="none"/>
                <w:lang w:bidi="ar"/>
              </w:rPr>
              <w:t xml:space="preserve">)服务交付物： </w:t>
            </w:r>
            <w:r>
              <w:rPr>
                <w:rStyle w:val="7"/>
                <w:rFonts w:hint="default"/>
                <w:sz w:val="21"/>
                <w:szCs w:val="21"/>
                <w:highlight w:val="none"/>
                <w:lang w:bidi="ar"/>
              </w:rPr>
              <w:br w:type="textWrapping"/>
            </w:r>
            <w:r>
              <w:rPr>
                <w:rStyle w:val="7"/>
                <w:rFonts w:hint="default"/>
                <w:sz w:val="21"/>
                <w:szCs w:val="21"/>
                <w:highlight w:val="none"/>
                <w:lang w:bidi="ar"/>
              </w:rPr>
              <w:t>每季度提供《内网威胁分析与处置报告》。</w:t>
            </w:r>
          </w:p>
        </w:tc>
        <w:tc>
          <w:tcPr>
            <w:tcW w:w="119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1年</w:t>
            </w:r>
          </w:p>
        </w:tc>
      </w:tr>
      <w:tr>
        <w:tblPrEx>
          <w:tblCellMar>
            <w:top w:w="0" w:type="dxa"/>
            <w:left w:w="108" w:type="dxa"/>
            <w:bottom w:w="0" w:type="dxa"/>
            <w:right w:w="108" w:type="dxa"/>
          </w:tblCellMar>
        </w:tblPrEx>
        <w:trPr>
          <w:trHeight w:val="1178" w:hRule="atLeast"/>
        </w:trPr>
        <w:tc>
          <w:tcPr>
            <w:tcW w:w="60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3</w:t>
            </w:r>
          </w:p>
        </w:tc>
        <w:tc>
          <w:tcPr>
            <w:tcW w:w="8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val="en-US" w:eastAsia="zh-CN" w:bidi="ar"/>
              </w:rPr>
              <w:t>网络安全运维</w:t>
            </w:r>
            <w:r>
              <w:rPr>
                <w:rFonts w:hint="eastAsia" w:ascii="宋体" w:hAnsi="宋体" w:cs="宋体"/>
                <w:color w:val="000000"/>
                <w:kern w:val="0"/>
                <w:sz w:val="21"/>
                <w:szCs w:val="21"/>
                <w:highlight w:val="none"/>
                <w:lang w:bidi="ar"/>
              </w:rPr>
              <w:t>驻场服务</w:t>
            </w:r>
          </w:p>
        </w:tc>
        <w:tc>
          <w:tcPr>
            <w:tcW w:w="5819" w:type="dxa"/>
            <w:tcBorders>
              <w:top w:val="single" w:color="000000" w:sz="4" w:space="0"/>
              <w:left w:val="single" w:color="000000" w:sz="4" w:space="0"/>
              <w:bottom w:val="single" w:color="000000" w:sz="4" w:space="0"/>
              <w:right w:val="single" w:color="000000" w:sz="4" w:space="0"/>
            </w:tcBorders>
            <w:vAlign w:val="bottom"/>
          </w:tcPr>
          <w:p>
            <w:pPr>
              <w:keepNext w:val="0"/>
              <w:keepLines w:val="0"/>
              <w:widowControl/>
              <w:numPr>
                <w:ilvl w:val="-1"/>
                <w:numId w:val="0"/>
              </w:numPr>
              <w:suppressLineNumbers w:val="0"/>
              <w:spacing w:before="0" w:beforeAutospacing="0" w:after="0" w:afterAutospacing="0"/>
              <w:ind w:left="0" w:right="0" w:firstLine="0"/>
              <w:jc w:val="left"/>
              <w:textAlignment w:val="auto"/>
              <w:rPr>
                <w:rStyle w:val="8"/>
                <w:rFonts w:hint="default"/>
                <w:sz w:val="21"/>
                <w:szCs w:val="21"/>
                <w:highlight w:val="none"/>
                <w:lang w:bidi="ar"/>
              </w:rPr>
            </w:pPr>
            <w:r>
              <w:rPr>
                <w:rStyle w:val="8"/>
                <w:rFonts w:hint="default"/>
                <w:sz w:val="21"/>
                <w:szCs w:val="21"/>
                <w:highlight w:val="none"/>
                <w:lang w:bidi="ar"/>
              </w:rPr>
              <w:t>1)服务范围：</w:t>
            </w:r>
            <w:r>
              <w:rPr>
                <w:rStyle w:val="8"/>
                <w:rFonts w:hint="default"/>
                <w:sz w:val="21"/>
                <w:szCs w:val="21"/>
                <w:highlight w:val="none"/>
                <w:lang w:bidi="ar"/>
              </w:rPr>
              <w:br w:type="textWrapping"/>
            </w:r>
            <w:r>
              <w:rPr>
                <w:rStyle w:val="8"/>
                <w:rFonts w:hint="default"/>
                <w:sz w:val="21"/>
                <w:szCs w:val="21"/>
                <w:highlight w:val="none"/>
                <w:lang w:bidi="ar"/>
              </w:rPr>
              <w:t>服务期限为1年，服务期内，在工作日提供</w:t>
            </w:r>
            <w:r>
              <w:rPr>
                <w:rStyle w:val="8"/>
                <w:rFonts w:hint="eastAsia"/>
                <w:sz w:val="21"/>
                <w:szCs w:val="21"/>
                <w:highlight w:val="none"/>
                <w:lang w:val="en-US" w:eastAsia="zh-CN" w:bidi="ar"/>
              </w:rPr>
              <w:t>1</w:t>
            </w:r>
            <w:r>
              <w:rPr>
                <w:rStyle w:val="8"/>
                <w:rFonts w:hint="default"/>
                <w:sz w:val="21"/>
                <w:szCs w:val="21"/>
                <w:highlight w:val="none"/>
                <w:lang w:bidi="ar"/>
              </w:rPr>
              <w:t>名安全服务工程师进行驻场服务，提供日常运维工作，配合学校完成日常网络安全工作等，配合学校解决项目交付过程中出现的各类网络、系统及应用的安全问题；</w:t>
            </w:r>
            <w:r>
              <w:rPr>
                <w:rStyle w:val="8"/>
                <w:rFonts w:hint="eastAsia"/>
                <w:sz w:val="21"/>
                <w:szCs w:val="21"/>
                <w:highlight w:val="none"/>
                <w:lang w:val="en-US" w:eastAsia="zh-CN" w:bidi="ar"/>
              </w:rPr>
              <w:t>提供1名</w:t>
            </w:r>
            <w:r>
              <w:rPr>
                <w:rStyle w:val="8"/>
                <w:rFonts w:hint="default"/>
                <w:sz w:val="21"/>
                <w:szCs w:val="21"/>
                <w:highlight w:val="none"/>
                <w:lang w:bidi="ar"/>
              </w:rPr>
              <w:t>网络服务工程师进行驻场服务，提供数据中心机房日常运维工作，配合学校完成日常核心网络及系统技术支持等工作，配合学校解决项目交付过程中出现的各类故障处置、设备配置与调优等工作；驻场服务时间：工作日8:30-17:30（具体工作时间以学校通知为准）。</w:t>
            </w:r>
          </w:p>
          <w:p>
            <w:pPr>
              <w:keepNext w:val="0"/>
              <w:keepLines w:val="0"/>
              <w:widowControl/>
              <w:numPr>
                <w:ilvl w:val="-1"/>
                <w:numId w:val="0"/>
              </w:numPr>
              <w:suppressLineNumbers w:val="0"/>
              <w:spacing w:before="0" w:beforeAutospacing="0" w:after="0" w:afterAutospacing="0"/>
              <w:ind w:left="0" w:right="0" w:firstLine="0"/>
              <w:jc w:val="left"/>
              <w:textAlignment w:val="auto"/>
              <w:rPr>
                <w:rStyle w:val="9"/>
                <w:rFonts w:hint="default"/>
                <w:sz w:val="21"/>
                <w:szCs w:val="21"/>
                <w:highlight w:val="none"/>
              </w:rPr>
            </w:pPr>
            <w:r>
              <w:rPr>
                <w:rStyle w:val="8"/>
                <w:rFonts w:hint="default"/>
                <w:sz w:val="21"/>
                <w:szCs w:val="21"/>
                <w:highlight w:val="none"/>
                <w:lang w:bidi="ar"/>
              </w:rPr>
              <w:t>2)服务内容：</w:t>
            </w:r>
          </w:p>
          <w:p>
            <w:pPr>
              <w:keepNext w:val="0"/>
              <w:keepLines w:val="0"/>
              <w:widowControl/>
              <w:numPr>
                <w:ilvl w:val="-1"/>
                <w:numId w:val="0"/>
              </w:numPr>
              <w:suppressLineNumbers w:val="0"/>
              <w:spacing w:before="0" w:beforeAutospacing="0" w:after="0" w:afterAutospacing="0"/>
              <w:ind w:left="0" w:right="0" w:firstLine="0"/>
              <w:jc w:val="left"/>
              <w:textAlignment w:val="auto"/>
              <w:rPr>
                <w:rStyle w:val="8"/>
                <w:rFonts w:hint="default"/>
                <w:sz w:val="21"/>
                <w:szCs w:val="21"/>
                <w:highlight w:val="none"/>
                <w:lang w:bidi="ar"/>
              </w:rPr>
            </w:pPr>
            <w:r>
              <w:rPr>
                <w:rStyle w:val="9"/>
                <w:rFonts w:hint="default"/>
                <w:sz w:val="21"/>
                <w:szCs w:val="21"/>
                <w:highlight w:val="none"/>
                <w:lang w:bidi="ar"/>
              </w:rPr>
              <w:t>安全</w:t>
            </w:r>
            <w:r>
              <w:rPr>
                <w:rStyle w:val="9"/>
                <w:rFonts w:hint="eastAsia"/>
                <w:sz w:val="21"/>
                <w:szCs w:val="21"/>
                <w:highlight w:val="none"/>
                <w:lang w:val="en-US" w:eastAsia="zh-CN" w:bidi="ar"/>
              </w:rPr>
              <w:t>运维</w:t>
            </w:r>
            <w:r>
              <w:rPr>
                <w:rStyle w:val="9"/>
                <w:rFonts w:hint="default"/>
                <w:sz w:val="21"/>
                <w:szCs w:val="21"/>
                <w:highlight w:val="none"/>
                <w:lang w:bidi="ar"/>
              </w:rPr>
              <w:t>驻场人员职责：</w:t>
            </w:r>
            <w:r>
              <w:rPr>
                <w:rStyle w:val="8"/>
                <w:rFonts w:hint="default"/>
                <w:sz w:val="21"/>
                <w:szCs w:val="21"/>
                <w:highlight w:val="none"/>
                <w:lang w:bidi="ar"/>
              </w:rPr>
              <w:br w:type="textWrapping"/>
            </w:r>
            <w:r>
              <w:rPr>
                <w:rStyle w:val="10"/>
                <w:rFonts w:hint="eastAsia" w:ascii="宋体" w:hAnsi="宋体" w:cs="宋体"/>
                <w:sz w:val="21"/>
                <w:szCs w:val="21"/>
                <w:highlight w:val="none"/>
                <w:lang w:bidi="ar"/>
              </w:rPr>
              <w:t></w:t>
            </w:r>
            <w:r>
              <w:rPr>
                <w:rStyle w:val="8"/>
                <w:rFonts w:hint="default"/>
                <w:sz w:val="21"/>
                <w:szCs w:val="21"/>
                <w:highlight w:val="none"/>
                <w:lang w:bidi="ar"/>
              </w:rPr>
              <w:t>日常巡检：完成日常巡检工作，包括安全设备硬件巡检；安全设备运行状态巡检记录；安全事件检查与处置；安全日志分析：安全日志、访问日志；如查找异常IP、攻击、访问并进行封堵处置等。每月对设备运行情况及安全现状进行汇总和分析说明，并对下月工作进行合理规划，输出《安全巡检月报》。</w:t>
            </w:r>
            <w:r>
              <w:rPr>
                <w:rStyle w:val="8"/>
                <w:rFonts w:hint="default"/>
                <w:sz w:val="21"/>
                <w:szCs w:val="21"/>
                <w:highlight w:val="none"/>
                <w:lang w:bidi="ar"/>
              </w:rPr>
              <w:br w:type="textWrapping"/>
            </w:r>
            <w:r>
              <w:rPr>
                <w:rStyle w:val="10"/>
                <w:rFonts w:hint="eastAsia" w:ascii="宋体" w:hAnsi="宋体" w:cs="宋体"/>
                <w:sz w:val="21"/>
                <w:szCs w:val="21"/>
                <w:highlight w:val="none"/>
                <w:lang w:bidi="ar"/>
              </w:rPr>
              <w:t></w:t>
            </w:r>
            <w:r>
              <w:rPr>
                <w:rStyle w:val="8"/>
                <w:rFonts w:hint="default"/>
                <w:sz w:val="21"/>
                <w:szCs w:val="21"/>
                <w:highlight w:val="none"/>
                <w:lang w:bidi="ar"/>
              </w:rPr>
              <w:t>安全策略优化：结合学校信息系统的实际情况对所有安全设备进行安全策略的 配置、调整、梳理，并定期审查安全设备安全策略适用度，编制策略优化方案。</w:t>
            </w:r>
            <w:r>
              <w:rPr>
                <w:rStyle w:val="8"/>
                <w:rFonts w:hint="default"/>
                <w:sz w:val="21"/>
                <w:szCs w:val="21"/>
                <w:highlight w:val="none"/>
                <w:lang w:bidi="ar"/>
              </w:rPr>
              <w:br w:type="textWrapping"/>
            </w:r>
            <w:r>
              <w:rPr>
                <w:rStyle w:val="10"/>
                <w:rFonts w:hint="eastAsia" w:ascii="宋体" w:hAnsi="宋体" w:cs="宋体"/>
                <w:sz w:val="21"/>
                <w:szCs w:val="21"/>
                <w:highlight w:val="none"/>
                <w:lang w:bidi="ar"/>
              </w:rPr>
              <w:t></w:t>
            </w:r>
            <w:r>
              <w:rPr>
                <w:rStyle w:val="8"/>
                <w:rFonts w:hint="default"/>
                <w:sz w:val="21"/>
                <w:szCs w:val="21"/>
                <w:highlight w:val="none"/>
                <w:lang w:bidi="ar"/>
              </w:rPr>
              <w:t>安全设备维护：配合项目实施及后期维护过程中与用户的技术沟通、反馈等工作。</w:t>
            </w:r>
            <w:r>
              <w:rPr>
                <w:rStyle w:val="8"/>
                <w:rFonts w:hint="default"/>
                <w:sz w:val="21"/>
                <w:szCs w:val="21"/>
                <w:highlight w:val="none"/>
                <w:lang w:bidi="ar"/>
              </w:rPr>
              <w:br w:type="textWrapping"/>
            </w:r>
            <w:r>
              <w:rPr>
                <w:rStyle w:val="10"/>
                <w:rFonts w:hint="eastAsia" w:ascii="宋体" w:hAnsi="宋体" w:cs="宋体"/>
                <w:sz w:val="21"/>
                <w:szCs w:val="21"/>
                <w:highlight w:val="none"/>
                <w:lang w:bidi="ar"/>
              </w:rPr>
              <w:t></w:t>
            </w:r>
            <w:r>
              <w:rPr>
                <w:rStyle w:val="8"/>
                <w:rFonts w:hint="default"/>
                <w:sz w:val="21"/>
                <w:szCs w:val="21"/>
                <w:highlight w:val="none"/>
                <w:lang w:bidi="ar"/>
              </w:rPr>
              <w:t>安全合规检查：配合学校进行安全方面合规检查，配合完成文档工作。</w:t>
            </w:r>
          </w:p>
          <w:p>
            <w:pPr>
              <w:keepNext w:val="0"/>
              <w:keepLines w:val="0"/>
              <w:widowControl/>
              <w:numPr>
                <w:ilvl w:val="-1"/>
                <w:numId w:val="0"/>
              </w:numPr>
              <w:suppressLineNumbers w:val="0"/>
              <w:spacing w:before="0" w:beforeAutospacing="0" w:after="0" w:afterAutospacing="0"/>
              <w:ind w:left="0" w:right="0" w:firstLine="0"/>
              <w:jc w:val="left"/>
              <w:textAlignment w:val="auto"/>
              <w:rPr>
                <w:rStyle w:val="8"/>
                <w:rFonts w:hint="eastAsia"/>
                <w:sz w:val="21"/>
                <w:szCs w:val="21"/>
                <w:highlight w:val="none"/>
                <w:lang w:val="en-US" w:eastAsia="zh-CN" w:bidi="ar"/>
              </w:rPr>
            </w:pPr>
            <w:r>
              <w:rPr>
                <w:rStyle w:val="8"/>
                <w:rFonts w:hint="eastAsia"/>
                <w:sz w:val="21"/>
                <w:szCs w:val="21"/>
                <w:highlight w:val="none"/>
                <w:lang w:val="en-US" w:eastAsia="zh-CN" w:bidi="ar"/>
              </w:rPr>
              <w:t>核心网络运维驻场人员职责：</w:t>
            </w:r>
          </w:p>
          <w:p>
            <w:pPr>
              <w:keepNext w:val="0"/>
              <w:keepLines w:val="0"/>
              <w:widowControl/>
              <w:numPr>
                <w:ilvl w:val="-1"/>
                <w:numId w:val="0"/>
              </w:numPr>
              <w:suppressLineNumbers w:val="0"/>
              <w:spacing w:before="0" w:beforeAutospacing="0" w:after="0" w:afterAutospacing="0"/>
              <w:ind w:left="0" w:right="0" w:firstLine="0"/>
              <w:jc w:val="left"/>
              <w:textAlignment w:val="auto"/>
              <w:rPr>
                <w:rFonts w:hint="default" w:ascii="宋体" w:hAnsi="宋体" w:cs="宋体"/>
                <w:spacing w:val="7"/>
                <w:sz w:val="21"/>
                <w:szCs w:val="21"/>
                <w:highlight w:val="none"/>
                <w:lang w:val="zh-CN" w:bidi="ar"/>
              </w:rPr>
            </w:pPr>
            <w:r>
              <w:rPr>
                <w:rStyle w:val="10"/>
                <w:rFonts w:hint="eastAsia" w:ascii="宋体" w:hAnsi="宋体" w:cs="宋体"/>
                <w:spacing w:val="7"/>
                <w:sz w:val="21"/>
                <w:szCs w:val="21"/>
                <w:highlight w:val="none"/>
                <w:lang w:bidi="ar"/>
              </w:rPr>
              <w:t>服务期内，</w:t>
            </w:r>
            <w:r>
              <w:rPr>
                <w:rFonts w:hint="eastAsia" w:ascii="宋体" w:hAnsi="宋体" w:cs="宋体"/>
                <w:spacing w:val="7"/>
                <w:sz w:val="21"/>
                <w:szCs w:val="21"/>
                <w:highlight w:val="none"/>
                <w:lang w:val="zh-CN" w:bidi="ar"/>
              </w:rPr>
              <w:t>对学校</w:t>
            </w:r>
            <w:r>
              <w:rPr>
                <w:rFonts w:hint="eastAsia" w:ascii="宋体" w:hAnsi="宋体" w:cs="宋体"/>
                <w:spacing w:val="7"/>
                <w:sz w:val="21"/>
                <w:szCs w:val="21"/>
                <w:highlight w:val="none"/>
                <w:lang w:val="en-US" w:eastAsia="zh-CN" w:bidi="ar"/>
              </w:rPr>
              <w:t>核心</w:t>
            </w:r>
            <w:r>
              <w:rPr>
                <w:rFonts w:hint="eastAsia" w:ascii="宋体" w:hAnsi="宋体" w:cs="宋体"/>
                <w:spacing w:val="7"/>
                <w:sz w:val="21"/>
                <w:szCs w:val="21"/>
                <w:highlight w:val="none"/>
                <w:lang w:bidi="ar"/>
              </w:rPr>
              <w:t>机房内</w:t>
            </w:r>
            <w:r>
              <w:rPr>
                <w:rFonts w:hint="eastAsia" w:ascii="宋体" w:hAnsi="宋体" w:cs="宋体"/>
                <w:spacing w:val="7"/>
                <w:sz w:val="21"/>
                <w:szCs w:val="21"/>
                <w:highlight w:val="none"/>
                <w:lang w:val="en-US" w:eastAsia="zh-CN" w:bidi="ar"/>
              </w:rPr>
              <w:t>及校园主干</w:t>
            </w:r>
            <w:r>
              <w:rPr>
                <w:rFonts w:hint="eastAsia" w:ascii="宋体" w:hAnsi="宋体" w:cs="宋体"/>
                <w:spacing w:val="7"/>
                <w:sz w:val="21"/>
                <w:szCs w:val="21"/>
                <w:highlight w:val="none"/>
                <w:lang w:val="zh-CN" w:bidi="ar"/>
              </w:rPr>
              <w:t>网络设备的运行物理状态、电源稳定性和线路检查、系统性能检查、设备物理检查(包括机体、风扇、风道)等。</w:t>
            </w:r>
          </w:p>
          <w:p>
            <w:pPr>
              <w:keepNext w:val="0"/>
              <w:keepLines w:val="0"/>
              <w:widowControl/>
              <w:numPr>
                <w:ilvl w:val="-1"/>
                <w:numId w:val="0"/>
              </w:numPr>
              <w:suppressLineNumbers w:val="0"/>
              <w:spacing w:before="0" w:beforeAutospacing="0" w:after="0" w:afterAutospacing="0"/>
              <w:ind w:left="0" w:right="0" w:firstLine="0"/>
              <w:jc w:val="left"/>
              <w:textAlignment w:val="auto"/>
              <w:rPr>
                <w:rFonts w:hint="default" w:ascii="宋体" w:hAnsi="宋体" w:cs="宋体"/>
                <w:spacing w:val="7"/>
                <w:sz w:val="21"/>
                <w:szCs w:val="21"/>
                <w:highlight w:val="none"/>
                <w:lang w:val="zh-CN" w:bidi="ar"/>
              </w:rPr>
            </w:pPr>
            <w:r>
              <w:rPr>
                <w:rFonts w:hint="eastAsia" w:ascii="宋体" w:hAnsi="宋体" w:cs="宋体"/>
                <w:spacing w:val="7"/>
                <w:sz w:val="21"/>
                <w:szCs w:val="21"/>
                <w:highlight w:val="none"/>
                <w:lang w:val="zh-CN" w:bidi="ar"/>
              </w:rPr>
              <w:t>服务期内如果网络设备出现故障驻场工程师快速进行故障响应，排查故障。如果硬件故障，及时上报学校，待学校提供备品备件后，到现场</w:t>
            </w:r>
            <w:r>
              <w:rPr>
                <w:rFonts w:hint="eastAsia" w:ascii="宋体" w:hAnsi="宋体" w:cs="宋体"/>
                <w:spacing w:val="7"/>
                <w:sz w:val="21"/>
                <w:szCs w:val="21"/>
                <w:highlight w:val="none"/>
                <w:lang w:bidi="ar"/>
              </w:rPr>
              <w:t>更</w:t>
            </w:r>
            <w:r>
              <w:rPr>
                <w:rFonts w:hint="eastAsia" w:ascii="宋体" w:hAnsi="宋体" w:cs="宋体"/>
                <w:spacing w:val="7"/>
                <w:sz w:val="21"/>
                <w:szCs w:val="21"/>
                <w:highlight w:val="none"/>
                <w:lang w:val="zh-CN" w:bidi="ar"/>
              </w:rPr>
              <w:t>换并完成故障恢复，以保障学校的网络尽快恢复正常使用和运行。</w:t>
            </w:r>
          </w:p>
          <w:p>
            <w:pPr>
              <w:keepNext w:val="0"/>
              <w:keepLines w:val="0"/>
              <w:widowControl/>
              <w:numPr>
                <w:ilvl w:val="-1"/>
                <w:numId w:val="0"/>
              </w:numPr>
              <w:suppressLineNumbers w:val="0"/>
              <w:spacing w:before="0" w:beforeAutospacing="0" w:after="0" w:afterAutospacing="0"/>
              <w:ind w:left="0" w:right="0" w:firstLine="0"/>
              <w:jc w:val="left"/>
              <w:textAlignment w:val="auto"/>
              <w:rPr>
                <w:rFonts w:hint="default" w:ascii="宋体" w:hAnsi="宋体" w:cs="宋体"/>
                <w:spacing w:val="7"/>
                <w:sz w:val="21"/>
                <w:szCs w:val="21"/>
                <w:highlight w:val="none"/>
                <w:lang w:val="zh-CN"/>
              </w:rPr>
            </w:pPr>
            <w:r>
              <w:rPr>
                <w:rFonts w:hint="eastAsia" w:ascii="宋体" w:hAnsi="宋体" w:cs="宋体"/>
                <w:spacing w:val="7"/>
                <w:sz w:val="21"/>
                <w:szCs w:val="21"/>
                <w:highlight w:val="none"/>
                <w:lang w:val="zh-CN" w:bidi="ar"/>
              </w:rPr>
              <w:t>服务项</w:t>
            </w:r>
            <w:r>
              <w:rPr>
                <w:rFonts w:hint="eastAsia" w:ascii="宋体" w:hAnsi="宋体" w:cs="宋体"/>
                <w:spacing w:val="7"/>
                <w:sz w:val="21"/>
                <w:szCs w:val="21"/>
                <w:highlight w:val="none"/>
                <w:lang w:bidi="ar"/>
              </w:rPr>
              <w:t>包括但不限于</w:t>
            </w:r>
            <w:r>
              <w:rPr>
                <w:rFonts w:hint="eastAsia" w:ascii="宋体" w:hAnsi="宋体" w:cs="宋体"/>
                <w:spacing w:val="7"/>
                <w:sz w:val="21"/>
                <w:szCs w:val="21"/>
                <w:highlight w:val="none"/>
                <w:lang w:val="zh-CN" w:bidi="ar"/>
              </w:rPr>
              <w:t>：</w:t>
            </w:r>
          </w:p>
          <w:p>
            <w:pPr>
              <w:keepNext w:val="0"/>
              <w:keepLines w:val="0"/>
              <w:numPr>
                <w:ilvl w:val="0"/>
                <w:numId w:val="4"/>
              </w:numPr>
              <w:suppressLineNumbers w:val="0"/>
              <w:spacing w:before="0" w:beforeAutospacing="0" w:after="0" w:afterAutospacing="0"/>
              <w:ind w:right="0"/>
              <w:rPr>
                <w:rFonts w:hint="default"/>
                <w:sz w:val="21"/>
                <w:szCs w:val="21"/>
                <w:highlight w:val="none"/>
                <w:lang w:val="zh-CN"/>
              </w:rPr>
            </w:pPr>
            <w:r>
              <w:rPr>
                <w:rFonts w:hint="eastAsia"/>
                <w:sz w:val="21"/>
                <w:szCs w:val="21"/>
                <w:highlight w:val="none"/>
                <w:lang w:val="zh-CN"/>
              </w:rPr>
              <w:t>维护设备的物理状态检查，包括电源、风扇状态检查；</w:t>
            </w:r>
          </w:p>
          <w:p>
            <w:pPr>
              <w:keepNext w:val="0"/>
              <w:keepLines w:val="0"/>
              <w:numPr>
                <w:ilvl w:val="0"/>
                <w:numId w:val="4"/>
              </w:numPr>
              <w:suppressLineNumbers w:val="0"/>
              <w:spacing w:before="0" w:beforeAutospacing="0" w:after="0" w:afterAutospacing="0"/>
              <w:ind w:right="0"/>
              <w:rPr>
                <w:rFonts w:hint="default"/>
                <w:sz w:val="21"/>
                <w:szCs w:val="21"/>
                <w:highlight w:val="none"/>
                <w:lang w:val="zh-CN"/>
              </w:rPr>
            </w:pPr>
            <w:r>
              <w:rPr>
                <w:rFonts w:hint="eastAsia"/>
                <w:sz w:val="21"/>
                <w:szCs w:val="21"/>
                <w:highlight w:val="none"/>
                <w:lang w:val="zh-CN"/>
              </w:rPr>
              <w:t>设备连接状况检查；</w:t>
            </w:r>
          </w:p>
          <w:p>
            <w:pPr>
              <w:keepNext w:val="0"/>
              <w:keepLines w:val="0"/>
              <w:numPr>
                <w:ilvl w:val="0"/>
                <w:numId w:val="4"/>
              </w:numPr>
              <w:suppressLineNumbers w:val="0"/>
              <w:spacing w:before="0" w:beforeAutospacing="0" w:after="0" w:afterAutospacing="0"/>
              <w:ind w:right="0"/>
              <w:rPr>
                <w:rFonts w:hint="default"/>
                <w:highlight w:val="none"/>
              </w:rPr>
            </w:pPr>
            <w:r>
              <w:rPr>
                <w:rFonts w:hint="eastAsia"/>
                <w:sz w:val="21"/>
                <w:szCs w:val="21"/>
                <w:highlight w:val="none"/>
                <w:lang w:val="zh-CN"/>
              </w:rPr>
              <w:t>系统硬件运行情况检查；</w:t>
            </w:r>
          </w:p>
          <w:p>
            <w:pPr>
              <w:keepNext w:val="0"/>
              <w:keepLines w:val="0"/>
              <w:numPr>
                <w:ilvl w:val="0"/>
                <w:numId w:val="4"/>
              </w:numPr>
              <w:suppressLineNumbers w:val="0"/>
              <w:spacing w:before="0" w:beforeAutospacing="0" w:after="0" w:afterAutospacing="0"/>
              <w:ind w:right="0"/>
              <w:rPr>
                <w:rFonts w:hint="default"/>
                <w:sz w:val="21"/>
                <w:szCs w:val="21"/>
                <w:highlight w:val="none"/>
              </w:rPr>
            </w:pPr>
            <w:r>
              <w:rPr>
                <w:rFonts w:hint="eastAsia"/>
                <w:sz w:val="21"/>
                <w:szCs w:val="21"/>
                <w:highlight w:val="none"/>
                <w:lang w:val="zh-CN"/>
              </w:rPr>
              <w:t>检查如发现有隐患的部件将及时上报学校，待学校提供备品备件</w:t>
            </w:r>
            <w:r>
              <w:rPr>
                <w:rFonts w:hint="eastAsia"/>
                <w:sz w:val="21"/>
                <w:szCs w:val="21"/>
                <w:highlight w:val="none"/>
              </w:rPr>
              <w:t>后免费</w:t>
            </w:r>
            <w:r>
              <w:rPr>
                <w:rFonts w:hint="eastAsia"/>
                <w:sz w:val="21"/>
                <w:szCs w:val="21"/>
                <w:highlight w:val="none"/>
                <w:lang w:val="zh-CN"/>
              </w:rPr>
              <w:t>进行更换，并形成巡检记录；</w:t>
            </w:r>
          </w:p>
          <w:p>
            <w:pPr>
              <w:keepNext w:val="0"/>
              <w:keepLines w:val="0"/>
              <w:widowControl/>
              <w:numPr>
                <w:ilvl w:val="0"/>
                <w:numId w:val="4"/>
              </w:numPr>
              <w:suppressLineNumbers w:val="0"/>
              <w:spacing w:before="0" w:beforeAutospacing="0" w:after="0" w:afterAutospacing="0"/>
              <w:ind w:right="0"/>
              <w:jc w:val="left"/>
              <w:textAlignment w:val="auto"/>
              <w:rPr>
                <w:rStyle w:val="6"/>
                <w:rFonts w:hint="eastAsia"/>
                <w:highlight w:val="none"/>
                <w:lang w:bidi="ar"/>
              </w:rPr>
            </w:pPr>
            <w:r>
              <w:rPr>
                <w:rFonts w:hint="eastAsia"/>
                <w:sz w:val="21"/>
                <w:szCs w:val="21"/>
                <w:highlight w:val="none"/>
                <w:lang w:val="zh-CN"/>
              </w:rPr>
              <w:t>协助</w:t>
            </w:r>
            <w:r>
              <w:rPr>
                <w:rFonts w:hint="eastAsia"/>
                <w:sz w:val="21"/>
                <w:szCs w:val="21"/>
                <w:highlight w:val="none"/>
              </w:rPr>
              <w:t>学校</w:t>
            </w:r>
            <w:r>
              <w:rPr>
                <w:rFonts w:hint="eastAsia"/>
                <w:sz w:val="21"/>
                <w:szCs w:val="21"/>
                <w:highlight w:val="none"/>
                <w:lang w:val="zh-CN"/>
              </w:rPr>
              <w:t>完成网络规划、部署、配置、调试等网络相关工作</w:t>
            </w:r>
            <w:r>
              <w:rPr>
                <w:rFonts w:hint="eastAsia"/>
                <w:sz w:val="21"/>
                <w:szCs w:val="21"/>
                <w:highlight w:val="none"/>
                <w:lang w:val="zh-CN" w:eastAsia="zh"/>
              </w:rPr>
              <w:t>；</w:t>
            </w:r>
            <w:r>
              <w:rPr>
                <w:rStyle w:val="8"/>
                <w:rFonts w:hint="default"/>
                <w:sz w:val="21"/>
                <w:szCs w:val="21"/>
                <w:highlight w:val="none"/>
                <w:lang w:bidi="ar"/>
              </w:rPr>
              <w:br w:type="textWrapping"/>
            </w:r>
            <w:r>
              <w:rPr>
                <w:rStyle w:val="8"/>
                <w:rFonts w:hint="eastAsia"/>
                <w:sz w:val="21"/>
                <w:szCs w:val="21"/>
                <w:highlight w:val="none"/>
                <w:lang w:val="en-US" w:eastAsia="zh-CN" w:bidi="ar"/>
              </w:rPr>
              <w:t>3</w:t>
            </w:r>
            <w:r>
              <w:rPr>
                <w:rStyle w:val="8"/>
                <w:rFonts w:hint="default"/>
                <w:sz w:val="21"/>
                <w:szCs w:val="21"/>
                <w:highlight w:val="none"/>
                <w:lang w:bidi="ar"/>
              </w:rPr>
              <w:t>)服务交付物：</w:t>
            </w:r>
            <w:r>
              <w:rPr>
                <w:rStyle w:val="8"/>
                <w:rFonts w:hint="default"/>
                <w:sz w:val="21"/>
                <w:szCs w:val="21"/>
                <w:highlight w:val="none"/>
                <w:lang w:bidi="ar"/>
              </w:rPr>
              <w:br w:type="textWrapping"/>
            </w:r>
            <w:r>
              <w:rPr>
                <w:rStyle w:val="8"/>
                <w:rFonts w:hint="default"/>
                <w:sz w:val="21"/>
                <w:szCs w:val="21"/>
                <w:highlight w:val="none"/>
                <w:lang w:bidi="ar"/>
              </w:rPr>
              <w:t>提供《</w:t>
            </w:r>
            <w:r>
              <w:rPr>
                <w:rStyle w:val="8"/>
                <w:rFonts w:hint="eastAsia"/>
                <w:sz w:val="21"/>
                <w:szCs w:val="21"/>
                <w:highlight w:val="none"/>
                <w:lang w:val="en-US" w:eastAsia="zh-CN" w:bidi="ar"/>
              </w:rPr>
              <w:t>安全</w:t>
            </w:r>
            <w:r>
              <w:rPr>
                <w:rStyle w:val="8"/>
                <w:rFonts w:hint="default"/>
                <w:sz w:val="21"/>
                <w:szCs w:val="21"/>
                <w:highlight w:val="none"/>
                <w:lang w:bidi="ar"/>
              </w:rPr>
              <w:t>巡检</w:t>
            </w:r>
            <w:r>
              <w:rPr>
                <w:rStyle w:val="8"/>
                <w:rFonts w:hint="eastAsia"/>
                <w:sz w:val="21"/>
                <w:szCs w:val="21"/>
                <w:highlight w:val="none"/>
                <w:lang w:val="en-US" w:eastAsia="zh-CN" w:bidi="ar"/>
              </w:rPr>
              <w:t>季</w:t>
            </w:r>
            <w:r>
              <w:rPr>
                <w:rStyle w:val="8"/>
                <w:rFonts w:hint="default"/>
                <w:sz w:val="21"/>
                <w:szCs w:val="21"/>
                <w:highlight w:val="none"/>
                <w:lang w:bidi="ar"/>
              </w:rPr>
              <w:t>报》</w:t>
            </w:r>
            <w:r>
              <w:rPr>
                <w:rStyle w:val="8"/>
                <w:rFonts w:hint="eastAsia"/>
                <w:sz w:val="21"/>
                <w:szCs w:val="21"/>
                <w:highlight w:val="none"/>
                <w:lang w:eastAsia="zh-CN" w:bidi="ar"/>
              </w:rPr>
              <w:t>、《</w:t>
            </w:r>
            <w:r>
              <w:rPr>
                <w:rStyle w:val="8"/>
                <w:rFonts w:hint="eastAsia"/>
                <w:sz w:val="21"/>
                <w:szCs w:val="21"/>
                <w:highlight w:val="none"/>
                <w:lang w:val="en-US" w:eastAsia="zh-CN" w:bidi="ar"/>
              </w:rPr>
              <w:t>核心网络巡检季报</w:t>
            </w:r>
            <w:r>
              <w:rPr>
                <w:rStyle w:val="8"/>
                <w:rFonts w:hint="eastAsia"/>
                <w:sz w:val="21"/>
                <w:szCs w:val="21"/>
                <w:highlight w:val="none"/>
                <w:lang w:eastAsia="zh-CN" w:bidi="ar"/>
              </w:rPr>
              <w:t>》</w:t>
            </w:r>
            <w:r>
              <w:rPr>
                <w:rStyle w:val="8"/>
                <w:rFonts w:hint="default"/>
                <w:sz w:val="21"/>
                <w:szCs w:val="21"/>
                <w:highlight w:val="none"/>
                <w:lang w:bidi="ar"/>
              </w:rPr>
              <w:t>。</w:t>
            </w:r>
          </w:p>
        </w:tc>
        <w:tc>
          <w:tcPr>
            <w:tcW w:w="119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val="en-US" w:eastAsia="zh-CN" w:bidi="ar"/>
              </w:rPr>
              <w:t>2</w:t>
            </w:r>
            <w:r>
              <w:rPr>
                <w:rFonts w:hint="eastAsia" w:ascii="宋体" w:hAnsi="宋体" w:cs="宋体"/>
                <w:color w:val="000000"/>
                <w:kern w:val="0"/>
                <w:sz w:val="21"/>
                <w:szCs w:val="21"/>
                <w:highlight w:val="none"/>
                <w:lang w:bidi="ar"/>
              </w:rPr>
              <w:t>人/1年</w:t>
            </w:r>
          </w:p>
        </w:tc>
      </w:tr>
      <w:tr>
        <w:tblPrEx>
          <w:tblCellMar>
            <w:top w:w="0" w:type="dxa"/>
            <w:left w:w="108" w:type="dxa"/>
            <w:bottom w:w="0" w:type="dxa"/>
            <w:right w:w="108" w:type="dxa"/>
          </w:tblCellMar>
        </w:tblPrEx>
        <w:trPr>
          <w:trHeight w:val="90" w:hRule="atLeast"/>
        </w:trPr>
        <w:tc>
          <w:tcPr>
            <w:tcW w:w="60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4</w:t>
            </w:r>
          </w:p>
        </w:tc>
        <w:tc>
          <w:tcPr>
            <w:tcW w:w="8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资产梳理服务</w:t>
            </w:r>
          </w:p>
        </w:tc>
        <w:tc>
          <w:tcPr>
            <w:tcW w:w="5819" w:type="dxa"/>
            <w:tcBorders>
              <w:top w:val="single" w:color="000000" w:sz="4" w:space="0"/>
              <w:left w:val="single" w:color="000000" w:sz="4" w:space="0"/>
              <w:bottom w:val="single" w:color="000000" w:sz="4" w:space="0"/>
              <w:right w:val="single" w:color="000000" w:sz="4" w:space="0"/>
            </w:tcBorders>
            <w:vAlign w:val="bottom"/>
          </w:tcPr>
          <w:p>
            <w:pPr>
              <w:keepNext w:val="0"/>
              <w:keepLines w:val="0"/>
              <w:widowControl/>
              <w:suppressLineNumbers w:val="0"/>
              <w:spacing w:before="0" w:beforeAutospacing="0" w:after="0" w:afterAutospacing="0"/>
              <w:ind w:left="0" w:right="0"/>
              <w:jc w:val="left"/>
              <w:textAlignment w:val="bottom"/>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服务范围：</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服务期限为1年，</w:t>
            </w:r>
            <w:r>
              <w:rPr>
                <w:rFonts w:hint="eastAsia" w:ascii="宋体" w:hAnsi="宋体" w:cs="宋体"/>
                <w:color w:val="000000"/>
                <w:kern w:val="0"/>
                <w:sz w:val="21"/>
                <w:szCs w:val="21"/>
                <w:highlight w:val="none"/>
                <w:lang w:val="en-US" w:eastAsia="zh-CN" w:bidi="ar"/>
              </w:rPr>
              <w:t>服务期内基于学校现有设备，</w:t>
            </w:r>
            <w:r>
              <w:rPr>
                <w:rFonts w:hint="eastAsia" w:ascii="宋体" w:hAnsi="宋体" w:cs="宋体"/>
                <w:color w:val="000000"/>
                <w:kern w:val="0"/>
                <w:sz w:val="21"/>
                <w:szCs w:val="21"/>
                <w:highlight w:val="none"/>
                <w:lang w:bidi="ar"/>
              </w:rPr>
              <w:t>每季度对学校全网资产进行梳理。</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2)服务内容：</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每季度对全网的业务系统、网络设备、安全产品、服务器及网段资产进行统计归纳，涵盖服务器的 IP 地址，开放端口，操作系统等信息，并与现有资产清单进行交叉比对，及时发现并补充在用但未登记的资产，确保资产台账的完整性。</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val="en-US" w:eastAsia="zh-CN" w:bidi="ar"/>
              </w:rPr>
              <w:t>3</w:t>
            </w:r>
            <w:r>
              <w:rPr>
                <w:rFonts w:hint="eastAsia" w:ascii="宋体" w:hAnsi="宋体" w:cs="宋体"/>
                <w:color w:val="000000"/>
                <w:kern w:val="0"/>
                <w:sz w:val="21"/>
                <w:szCs w:val="21"/>
                <w:highlight w:val="none"/>
                <w:lang w:bidi="ar"/>
              </w:rPr>
              <w:t>）服务交付物</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每季度提供《网络安全资产梳理表》。</w:t>
            </w:r>
          </w:p>
        </w:tc>
        <w:tc>
          <w:tcPr>
            <w:tcW w:w="119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4次/年</w:t>
            </w:r>
          </w:p>
        </w:tc>
      </w:tr>
      <w:tr>
        <w:tblPrEx>
          <w:tblCellMar>
            <w:top w:w="0" w:type="dxa"/>
            <w:left w:w="108" w:type="dxa"/>
            <w:bottom w:w="0" w:type="dxa"/>
            <w:right w:w="108" w:type="dxa"/>
          </w:tblCellMar>
        </w:tblPrEx>
        <w:trPr>
          <w:trHeight w:val="1470" w:hRule="atLeast"/>
        </w:trPr>
        <w:tc>
          <w:tcPr>
            <w:tcW w:w="60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5</w:t>
            </w:r>
          </w:p>
        </w:tc>
        <w:tc>
          <w:tcPr>
            <w:tcW w:w="8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基线核查服务</w:t>
            </w:r>
          </w:p>
        </w:tc>
        <w:tc>
          <w:tcPr>
            <w:tcW w:w="5819"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left"/>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1)服务范围：</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服务期限为 1 年，服务期内</w:t>
            </w:r>
            <w:r>
              <w:rPr>
                <w:rFonts w:hint="eastAsia" w:ascii="宋体" w:hAnsi="宋体" w:cs="宋体"/>
                <w:color w:val="000000"/>
                <w:kern w:val="0"/>
                <w:sz w:val="21"/>
                <w:szCs w:val="21"/>
                <w:highlight w:val="none"/>
                <w:lang w:val="en-US" w:eastAsia="zh-CN" w:bidi="ar"/>
              </w:rPr>
              <w:t>基于学校现有设备，每季度对学校</w:t>
            </w:r>
            <w:r>
              <w:rPr>
                <w:rFonts w:hint="eastAsia" w:ascii="宋体" w:hAnsi="宋体" w:cs="宋体"/>
                <w:color w:val="000000"/>
                <w:kern w:val="0"/>
                <w:sz w:val="21"/>
                <w:szCs w:val="21"/>
                <w:highlight w:val="none"/>
                <w:lang w:bidi="ar"/>
              </w:rPr>
              <w:t>网络设备、操作系统、数据库及中间件等</w:t>
            </w:r>
            <w:r>
              <w:rPr>
                <w:rFonts w:hint="eastAsia" w:ascii="宋体" w:hAnsi="宋体" w:cs="宋体"/>
                <w:color w:val="000000"/>
                <w:kern w:val="0"/>
                <w:sz w:val="21"/>
                <w:szCs w:val="21"/>
                <w:highlight w:val="none"/>
                <w:lang w:val="en-US" w:eastAsia="zh-CN" w:bidi="ar"/>
              </w:rPr>
              <w:t>提供基线核查服务</w:t>
            </w:r>
            <w:r>
              <w:rPr>
                <w:rFonts w:hint="eastAsia" w:ascii="宋体" w:hAnsi="宋体" w:cs="宋体"/>
                <w:color w:val="000000"/>
                <w:kern w:val="0"/>
                <w:sz w:val="21"/>
                <w:szCs w:val="21"/>
                <w:highlight w:val="none"/>
                <w:lang w:bidi="ar"/>
              </w:rPr>
              <w:t>。</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2)服务内容：</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网络设备：OS 安全、帐号和口令管理、认证和授权策略、网络与服务、访问控制策略、通讯协议、路由协议、日志审核策略、加密管理、设备其他安全配置等；</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操作系统：系统漏洞补丁管理、帐号和口令管理、认证、授权策略、网络与服务、进程和启动、文件系统权限、访问控制、通讯协议、日志审核功能、剩余信息保护、其他安全配置等；</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数据库：漏洞补丁管理、帐号和口令管理、认证、授权策略、访问控制、通讯协议、日志审核功能、其他安全配置等；</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中间件：漏洞补丁管理、帐号和口令管理、认证、授权策略、通讯协议、日志审核功能、其他安全配置等。</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val="en-US" w:eastAsia="zh-CN" w:bidi="ar"/>
              </w:rPr>
              <w:t>3</w:t>
            </w:r>
            <w:r>
              <w:rPr>
                <w:rFonts w:hint="eastAsia" w:ascii="宋体" w:hAnsi="宋体" w:cs="宋体"/>
                <w:color w:val="000000"/>
                <w:kern w:val="0"/>
                <w:sz w:val="21"/>
                <w:szCs w:val="21"/>
                <w:highlight w:val="none"/>
                <w:lang w:bidi="ar"/>
              </w:rPr>
              <w:t>）服务交付物：</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提供《基线核查报告》。</w:t>
            </w:r>
          </w:p>
        </w:tc>
        <w:tc>
          <w:tcPr>
            <w:tcW w:w="119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4次/年</w:t>
            </w:r>
          </w:p>
        </w:tc>
      </w:tr>
      <w:tr>
        <w:tblPrEx>
          <w:tblCellMar>
            <w:top w:w="0" w:type="dxa"/>
            <w:left w:w="108" w:type="dxa"/>
            <w:bottom w:w="0" w:type="dxa"/>
            <w:right w:w="108" w:type="dxa"/>
          </w:tblCellMar>
        </w:tblPrEx>
        <w:trPr>
          <w:trHeight w:val="90" w:hRule="atLeast"/>
        </w:trPr>
        <w:tc>
          <w:tcPr>
            <w:tcW w:w="60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6</w:t>
            </w:r>
          </w:p>
        </w:tc>
        <w:tc>
          <w:tcPr>
            <w:tcW w:w="8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auto"/>
                <w:kern w:val="0"/>
                <w:sz w:val="21"/>
                <w:szCs w:val="21"/>
                <w:highlight w:val="none"/>
                <w:lang w:bidi="ar"/>
              </w:rPr>
              <w:t>漏洞扫描服务</w:t>
            </w:r>
          </w:p>
        </w:tc>
        <w:tc>
          <w:tcPr>
            <w:tcW w:w="5819" w:type="dxa"/>
            <w:tcBorders>
              <w:top w:val="single" w:color="000000" w:sz="4" w:space="0"/>
              <w:left w:val="single" w:color="000000" w:sz="4" w:space="0"/>
              <w:bottom w:val="single" w:color="000000" w:sz="4" w:space="0"/>
              <w:right w:val="single" w:color="000000" w:sz="4" w:space="0"/>
            </w:tcBorders>
            <w:vAlign w:val="bottom"/>
          </w:tcPr>
          <w:p>
            <w:pPr>
              <w:pStyle w:val="11"/>
              <w:keepNext w:val="0"/>
              <w:keepLines w:val="0"/>
              <w:widowControl/>
              <w:numPr>
                <w:ilvl w:val="0"/>
                <w:numId w:val="5"/>
              </w:numPr>
              <w:suppressLineNumbers w:val="0"/>
              <w:spacing w:before="0" w:beforeAutospacing="0" w:after="0" w:afterAutospacing="0"/>
              <w:ind w:right="0" w:firstLineChars="0"/>
              <w:jc w:val="left"/>
              <w:textAlignment w:val="bottom"/>
              <w:rPr>
                <w:rFonts w:hint="default"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服务范围：</w:t>
            </w:r>
          </w:p>
          <w:p>
            <w:pPr>
              <w:keepNext w:val="0"/>
              <w:keepLines w:val="0"/>
              <w:widowControl/>
              <w:suppressLineNumbers w:val="0"/>
              <w:spacing w:before="0" w:beforeAutospacing="0" w:after="0" w:afterAutospacing="0"/>
              <w:ind w:left="0" w:right="0"/>
              <w:jc w:val="left"/>
              <w:textAlignment w:val="bottom"/>
              <w:rPr>
                <w:rFonts w:hint="default"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服务期限为1 年，服务期内</w:t>
            </w:r>
            <w:r>
              <w:rPr>
                <w:rFonts w:hint="eastAsia" w:ascii="宋体" w:hAnsi="宋体" w:cs="宋体"/>
                <w:color w:val="000000"/>
                <w:kern w:val="0"/>
                <w:sz w:val="21"/>
                <w:szCs w:val="21"/>
                <w:highlight w:val="none"/>
                <w:lang w:val="en-US" w:eastAsia="zh-CN" w:bidi="ar"/>
              </w:rPr>
              <w:t>基于学校现有设备，每季度对</w:t>
            </w:r>
            <w:r>
              <w:rPr>
                <w:rFonts w:hint="eastAsia" w:ascii="宋体" w:hAnsi="宋体" w:cs="宋体"/>
                <w:color w:val="000000"/>
                <w:kern w:val="0"/>
                <w:sz w:val="21"/>
                <w:szCs w:val="21"/>
                <w:highlight w:val="none"/>
                <w:lang w:bidi="ar"/>
              </w:rPr>
              <w:t>学校授权的资产进行扫描服务。</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2)服务内容：</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提交漏洞扫描工作方案（包括但不限于：目标对象、扫描时间、风险规避措施等）及漏洞扫描申请，学校授权后，方可进行。提交针对性的加固意见。基于漏洞扫描结果、资产重要性及漏洞的威胁情报，对漏洞进行重要性排序， 针对无法修复的漏洞，提供安全加固建议。</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val="en-US" w:eastAsia="zh-CN" w:bidi="ar"/>
              </w:rPr>
              <w:t>3</w:t>
            </w:r>
            <w:r>
              <w:rPr>
                <w:rFonts w:hint="eastAsia" w:ascii="宋体" w:hAnsi="宋体" w:cs="宋体"/>
                <w:color w:val="000000"/>
                <w:kern w:val="0"/>
                <w:sz w:val="21"/>
                <w:szCs w:val="21"/>
                <w:highlight w:val="none"/>
                <w:lang w:bidi="ar"/>
              </w:rPr>
              <w:t>）服务交付物：</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提供《漏洞扫描报告》。</w:t>
            </w:r>
          </w:p>
        </w:tc>
        <w:tc>
          <w:tcPr>
            <w:tcW w:w="119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4次/年</w:t>
            </w:r>
          </w:p>
        </w:tc>
      </w:tr>
      <w:tr>
        <w:tblPrEx>
          <w:tblCellMar>
            <w:top w:w="0" w:type="dxa"/>
            <w:left w:w="108" w:type="dxa"/>
            <w:bottom w:w="0" w:type="dxa"/>
            <w:right w:w="108" w:type="dxa"/>
          </w:tblCellMar>
        </w:tblPrEx>
        <w:trPr>
          <w:trHeight w:val="965" w:hRule="atLeast"/>
        </w:trPr>
        <w:tc>
          <w:tcPr>
            <w:tcW w:w="60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7</w:t>
            </w:r>
          </w:p>
        </w:tc>
        <w:tc>
          <w:tcPr>
            <w:tcW w:w="8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主机安全协助加固服务</w:t>
            </w:r>
          </w:p>
        </w:tc>
        <w:tc>
          <w:tcPr>
            <w:tcW w:w="5819" w:type="dxa"/>
            <w:tcBorders>
              <w:top w:val="single" w:color="000000" w:sz="4" w:space="0"/>
              <w:left w:val="single" w:color="000000" w:sz="4" w:space="0"/>
              <w:bottom w:val="single" w:color="000000" w:sz="4" w:space="0"/>
              <w:right w:val="single" w:color="000000" w:sz="4" w:space="0"/>
            </w:tcBorders>
            <w:vAlign w:val="bottom"/>
          </w:tcPr>
          <w:p>
            <w:pPr>
              <w:keepNext w:val="0"/>
              <w:keepLines w:val="0"/>
              <w:widowControl/>
              <w:suppressLineNumbers w:val="0"/>
              <w:spacing w:before="0" w:beforeAutospacing="0" w:after="0" w:afterAutospacing="0"/>
              <w:ind w:left="0" w:right="0"/>
              <w:jc w:val="left"/>
              <w:textAlignment w:val="bottom"/>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1)服务范围：</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服务期限为1年，</w:t>
            </w:r>
            <w:r>
              <w:rPr>
                <w:rFonts w:hint="eastAsia" w:ascii="宋体" w:hAnsi="宋体" w:cs="宋体"/>
                <w:color w:val="000000"/>
                <w:kern w:val="0"/>
                <w:sz w:val="21"/>
                <w:szCs w:val="21"/>
                <w:highlight w:val="none"/>
                <w:lang w:val="en-US" w:eastAsia="zh-CN" w:bidi="ar"/>
              </w:rPr>
              <w:t>服务期内每季度</w:t>
            </w:r>
            <w:r>
              <w:rPr>
                <w:rFonts w:hint="eastAsia" w:ascii="宋体" w:hAnsi="宋体" w:cs="宋体"/>
                <w:color w:val="000000"/>
                <w:kern w:val="0"/>
                <w:sz w:val="21"/>
                <w:szCs w:val="21"/>
                <w:highlight w:val="none"/>
                <w:lang w:bidi="ar"/>
              </w:rPr>
              <w:t>对漏扫、基线核查中发现的问题协助学校进行整改。</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2)服务内容：</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根据安全漏洞扫描和基线核查的结果，开展查漏补缺的安全整改优化服务，包含但不限于以下内容：</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服务器操作系统协助加固服务；</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根据学校要求对质保期内安全设备库的升级，版本更新；</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安全策略优化。</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3）服务交付物：</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提供《主机安全协助加固报告》。</w:t>
            </w:r>
          </w:p>
        </w:tc>
        <w:tc>
          <w:tcPr>
            <w:tcW w:w="119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4次/年</w:t>
            </w:r>
          </w:p>
        </w:tc>
      </w:tr>
      <w:tr>
        <w:tblPrEx>
          <w:tblCellMar>
            <w:top w:w="0" w:type="dxa"/>
            <w:left w:w="108" w:type="dxa"/>
            <w:bottom w:w="0" w:type="dxa"/>
            <w:right w:w="108" w:type="dxa"/>
          </w:tblCellMar>
        </w:tblPrEx>
        <w:trPr>
          <w:trHeight w:val="90" w:hRule="atLeast"/>
        </w:trPr>
        <w:tc>
          <w:tcPr>
            <w:tcW w:w="60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sz w:val="21"/>
                <w:szCs w:val="21"/>
                <w:highlight w:val="none"/>
                <w:lang w:eastAsia="zh-CN"/>
              </w:rPr>
            </w:pPr>
            <w:r>
              <w:rPr>
                <w:rFonts w:hint="eastAsia" w:ascii="宋体" w:hAnsi="宋体" w:cs="宋体"/>
                <w:color w:val="000000"/>
                <w:kern w:val="0"/>
                <w:sz w:val="21"/>
                <w:szCs w:val="21"/>
                <w:highlight w:val="none"/>
                <w:lang w:val="en-US" w:eastAsia="zh-CN" w:bidi="ar"/>
              </w:rPr>
              <w:t>8</w:t>
            </w:r>
          </w:p>
        </w:tc>
        <w:tc>
          <w:tcPr>
            <w:tcW w:w="8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auto"/>
                <w:kern w:val="0"/>
                <w:sz w:val="21"/>
                <w:szCs w:val="21"/>
                <w:highlight w:val="none"/>
                <w:lang w:bidi="ar"/>
              </w:rPr>
              <w:t>渗透测试服务</w:t>
            </w:r>
          </w:p>
        </w:tc>
        <w:tc>
          <w:tcPr>
            <w:tcW w:w="5819" w:type="dxa"/>
            <w:tcBorders>
              <w:top w:val="single" w:color="000000" w:sz="4" w:space="0"/>
              <w:left w:val="single" w:color="000000" w:sz="4" w:space="0"/>
              <w:bottom w:val="single" w:color="000000" w:sz="4" w:space="0"/>
              <w:right w:val="single" w:color="000000" w:sz="4" w:space="0"/>
            </w:tcBorders>
            <w:vAlign w:val="bottom"/>
          </w:tcPr>
          <w:p>
            <w:pPr>
              <w:keepNext w:val="0"/>
              <w:keepLines w:val="0"/>
              <w:widowControl/>
              <w:numPr>
                <w:ilvl w:val="0"/>
                <w:numId w:val="6"/>
              </w:numPr>
              <w:suppressLineNumbers w:val="0"/>
              <w:spacing w:before="0" w:beforeAutospacing="0" w:after="0" w:afterAutospacing="0"/>
              <w:ind w:left="0" w:right="0"/>
              <w:jc w:val="left"/>
              <w:textAlignment w:val="bottom"/>
              <w:rPr>
                <w:rFonts w:hint="eastAsia"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服务范围：</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 xml:space="preserve">提供服务期限为 1 年，在服务期限内，对学校指定的 </w:t>
            </w:r>
            <w:r>
              <w:rPr>
                <w:rFonts w:hint="eastAsia" w:ascii="宋体" w:hAnsi="宋体" w:cs="宋体"/>
                <w:color w:val="000000"/>
                <w:kern w:val="0"/>
                <w:sz w:val="21"/>
                <w:szCs w:val="21"/>
                <w:highlight w:val="none"/>
                <w:lang w:val="en-US" w:eastAsia="zh-CN" w:bidi="ar"/>
              </w:rPr>
              <w:t>3</w:t>
            </w:r>
            <w:r>
              <w:rPr>
                <w:rFonts w:hint="eastAsia" w:ascii="宋体" w:hAnsi="宋体" w:cs="宋体"/>
                <w:color w:val="000000"/>
                <w:kern w:val="0"/>
                <w:sz w:val="21"/>
                <w:szCs w:val="21"/>
                <w:highlight w:val="none"/>
                <w:lang w:bidi="ar"/>
              </w:rPr>
              <w:t>个业务系统提供 1 次渗透测试服务。</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2)服务内容：</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学校授权后，拟派服务团队中安全人员到学校现场通过模拟黑客攻击行为的方式对</w:t>
            </w:r>
            <w:r>
              <w:rPr>
                <w:rFonts w:hint="eastAsia" w:ascii="宋体" w:hAnsi="宋体" w:cs="宋体"/>
                <w:color w:val="000000"/>
                <w:kern w:val="0"/>
                <w:sz w:val="21"/>
                <w:szCs w:val="21"/>
                <w:highlight w:val="none"/>
                <w:lang w:val="en-US" w:eastAsia="zh-CN" w:bidi="ar"/>
              </w:rPr>
              <w:t>3</w:t>
            </w:r>
            <w:r>
              <w:rPr>
                <w:rFonts w:hint="eastAsia" w:ascii="宋体" w:hAnsi="宋体" w:cs="宋体"/>
                <w:color w:val="000000"/>
                <w:kern w:val="0"/>
                <w:sz w:val="21"/>
                <w:szCs w:val="21"/>
                <w:highlight w:val="none"/>
                <w:lang w:bidi="ar"/>
              </w:rPr>
              <w:t>个业务系统进行非破坏性的入侵测试。查找针对应用程序的各种漏洞，帮助学校理解应用系统当前的安全状况，发现在系统复杂结构中的最脆弱链路并针对安全隐患提出解决办法，切实保证信息系统安全。</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须详细说明渗透测试方案，方案包括如下：</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渗透方法和流程；</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渗透测试风险评估和控制方案；</w:t>
            </w:r>
          </w:p>
          <w:p>
            <w:pPr>
              <w:keepNext w:val="0"/>
              <w:keepLines w:val="0"/>
              <w:widowControl/>
              <w:numPr>
                <w:ilvl w:val="-1"/>
                <w:numId w:val="0"/>
              </w:numPr>
              <w:suppressLineNumbers w:val="0"/>
              <w:spacing w:before="0" w:beforeAutospacing="0" w:after="0" w:afterAutospacing="0"/>
              <w:ind w:left="0" w:right="0"/>
              <w:jc w:val="left"/>
              <w:textAlignment w:val="bottom"/>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提供渗透测试所面临的主要风险及相应的风险规避措施。</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3）</w:t>
            </w:r>
            <w:r>
              <w:rPr>
                <w:rStyle w:val="12"/>
                <w:rFonts w:hint="eastAsia" w:ascii="宋体" w:hAnsi="宋体" w:cs="宋体"/>
                <w:sz w:val="21"/>
                <w:szCs w:val="21"/>
                <w:highlight w:val="none"/>
                <w:lang w:bidi="ar"/>
              </w:rPr>
              <w:t xml:space="preserve"> </w:t>
            </w:r>
            <w:r>
              <w:rPr>
                <w:rStyle w:val="7"/>
                <w:rFonts w:hint="default"/>
                <w:sz w:val="21"/>
                <w:szCs w:val="21"/>
                <w:highlight w:val="none"/>
                <w:lang w:bidi="ar"/>
              </w:rPr>
              <w:t>服务交付物：</w:t>
            </w:r>
            <w:r>
              <w:rPr>
                <w:rStyle w:val="7"/>
                <w:rFonts w:hint="default"/>
                <w:sz w:val="21"/>
                <w:szCs w:val="21"/>
                <w:highlight w:val="none"/>
                <w:lang w:bidi="ar"/>
              </w:rPr>
              <w:br w:type="textWrapping"/>
            </w:r>
            <w:r>
              <w:rPr>
                <w:rStyle w:val="7"/>
                <w:rFonts w:hint="default"/>
                <w:sz w:val="21"/>
                <w:szCs w:val="21"/>
                <w:highlight w:val="none"/>
                <w:lang w:bidi="ar"/>
              </w:rPr>
              <w:t>提供《渗透测试报告》。</w:t>
            </w:r>
          </w:p>
        </w:tc>
        <w:tc>
          <w:tcPr>
            <w:tcW w:w="119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auto"/>
                <w:kern w:val="0"/>
                <w:sz w:val="21"/>
                <w:szCs w:val="21"/>
                <w:highlight w:val="none"/>
                <w:lang w:bidi="ar"/>
              </w:rPr>
              <w:t>1次（</w:t>
            </w:r>
            <w:r>
              <w:rPr>
                <w:rFonts w:hint="eastAsia" w:ascii="宋体" w:hAnsi="宋体" w:cs="宋体"/>
                <w:color w:val="auto"/>
                <w:kern w:val="0"/>
                <w:sz w:val="21"/>
                <w:szCs w:val="21"/>
                <w:highlight w:val="none"/>
                <w:lang w:val="en-US" w:eastAsia="zh-CN" w:bidi="ar"/>
              </w:rPr>
              <w:t>3</w:t>
            </w:r>
            <w:r>
              <w:rPr>
                <w:rFonts w:hint="eastAsia" w:ascii="宋体" w:hAnsi="宋体" w:cs="宋体"/>
                <w:color w:val="auto"/>
                <w:kern w:val="0"/>
                <w:sz w:val="21"/>
                <w:szCs w:val="21"/>
                <w:highlight w:val="none"/>
                <w:lang w:bidi="ar"/>
              </w:rPr>
              <w:t>个业务系统）/年</w:t>
            </w:r>
          </w:p>
        </w:tc>
      </w:tr>
      <w:tr>
        <w:tblPrEx>
          <w:tblCellMar>
            <w:top w:w="0" w:type="dxa"/>
            <w:left w:w="108" w:type="dxa"/>
            <w:bottom w:w="0" w:type="dxa"/>
            <w:right w:w="108" w:type="dxa"/>
          </w:tblCellMar>
        </w:tblPrEx>
        <w:trPr>
          <w:trHeight w:val="90" w:hRule="atLeast"/>
        </w:trPr>
        <w:tc>
          <w:tcPr>
            <w:tcW w:w="60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sz w:val="21"/>
                <w:szCs w:val="21"/>
                <w:highlight w:val="none"/>
                <w:lang w:eastAsia="zh-CN"/>
              </w:rPr>
            </w:pPr>
            <w:r>
              <w:rPr>
                <w:rFonts w:hint="eastAsia" w:ascii="宋体" w:hAnsi="宋体" w:cs="宋体"/>
                <w:color w:val="000000"/>
                <w:kern w:val="0"/>
                <w:sz w:val="21"/>
                <w:szCs w:val="21"/>
                <w:highlight w:val="none"/>
                <w:lang w:val="en-US" w:eastAsia="zh-CN" w:bidi="ar"/>
              </w:rPr>
              <w:t>9</w:t>
            </w:r>
          </w:p>
        </w:tc>
        <w:tc>
          <w:tcPr>
            <w:tcW w:w="8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应急响应服务</w:t>
            </w:r>
          </w:p>
        </w:tc>
        <w:tc>
          <w:tcPr>
            <w:tcW w:w="5819" w:type="dxa"/>
            <w:tcBorders>
              <w:top w:val="single" w:color="000000" w:sz="4" w:space="0"/>
              <w:left w:val="single" w:color="000000" w:sz="4" w:space="0"/>
              <w:bottom w:val="single" w:color="000000" w:sz="4" w:space="0"/>
              <w:right w:val="single" w:color="000000" w:sz="4" w:space="0"/>
            </w:tcBorders>
            <w:vAlign w:val="bottom"/>
          </w:tcPr>
          <w:p>
            <w:pPr>
              <w:keepNext w:val="0"/>
              <w:keepLines w:val="0"/>
              <w:widowControl/>
              <w:suppressLineNumbers w:val="0"/>
              <w:spacing w:before="0" w:beforeAutospacing="0" w:after="0" w:afterAutospacing="0"/>
              <w:ind w:left="0" w:right="0"/>
              <w:jc w:val="left"/>
              <w:textAlignment w:val="bottom"/>
              <w:rPr>
                <w:rStyle w:val="7"/>
                <w:rFonts w:hint="default"/>
                <w:sz w:val="21"/>
                <w:szCs w:val="21"/>
                <w:highlight w:val="none"/>
                <w:lang w:bidi="ar"/>
              </w:rPr>
            </w:pPr>
            <w:r>
              <w:rPr>
                <w:rFonts w:hint="eastAsia" w:ascii="宋体" w:hAnsi="宋体" w:cs="宋体"/>
                <w:color w:val="000000"/>
                <w:kern w:val="0"/>
                <w:sz w:val="21"/>
                <w:szCs w:val="21"/>
                <w:highlight w:val="none"/>
                <w:lang w:bidi="ar"/>
              </w:rPr>
              <w:t>1)服务范围：</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服务期限为1年，在服务期限内，</w:t>
            </w:r>
            <w:r>
              <w:rPr>
                <w:rFonts w:hint="eastAsia" w:ascii="宋体" w:hAnsi="宋体" w:cs="宋体"/>
                <w:color w:val="000000"/>
                <w:kern w:val="0"/>
                <w:sz w:val="21"/>
                <w:szCs w:val="21"/>
                <w:highlight w:val="none"/>
                <w:lang w:val="en-US" w:eastAsia="zh-CN" w:bidi="ar"/>
              </w:rPr>
              <w:t>按学校网络安全需求提供</w:t>
            </w:r>
            <w:r>
              <w:rPr>
                <w:rFonts w:hint="eastAsia" w:ascii="宋体" w:hAnsi="宋体" w:cs="宋体"/>
                <w:color w:val="000000"/>
                <w:kern w:val="0"/>
                <w:sz w:val="21"/>
                <w:szCs w:val="21"/>
                <w:highlight w:val="none"/>
                <w:lang w:bidi="ar"/>
              </w:rPr>
              <w:t>应急响应服务。</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2)服务内容：</w:t>
            </w:r>
            <w:r>
              <w:rPr>
                <w:rFonts w:hint="eastAsia" w:ascii="宋体" w:hAnsi="宋体" w:cs="宋体"/>
                <w:color w:val="000000"/>
                <w:kern w:val="0"/>
                <w:sz w:val="21"/>
                <w:szCs w:val="21"/>
                <w:highlight w:val="none"/>
                <w:lang w:bidi="ar"/>
              </w:rPr>
              <w:br w:type="textWrapping"/>
            </w:r>
            <w:r>
              <w:rPr>
                <w:rStyle w:val="7"/>
                <w:rFonts w:hint="default"/>
                <w:sz w:val="21"/>
                <w:szCs w:val="21"/>
                <w:highlight w:val="none"/>
                <w:lang w:bidi="ar"/>
              </w:rPr>
              <w:t>接到事件报告，根据事件级别进行不同级别的响应方式，包括电话、现场等；</w:t>
            </w:r>
          </w:p>
          <w:p>
            <w:pPr>
              <w:keepNext w:val="0"/>
              <w:keepLines w:val="0"/>
              <w:widowControl/>
              <w:suppressLineNumbers w:val="0"/>
              <w:spacing w:before="0" w:beforeAutospacing="0" w:after="0" w:afterAutospacing="0"/>
              <w:ind w:left="0" w:right="0"/>
              <w:jc w:val="left"/>
              <w:textAlignment w:val="bottom"/>
              <w:rPr>
                <w:rStyle w:val="7"/>
                <w:rFonts w:hint="eastAsia"/>
                <w:sz w:val="21"/>
                <w:szCs w:val="21"/>
                <w:highlight w:val="none"/>
                <w:lang w:val="en-US" w:eastAsia="zh-CN" w:bidi="ar"/>
              </w:rPr>
            </w:pPr>
            <w:r>
              <w:rPr>
                <w:rStyle w:val="7"/>
                <w:rFonts w:hint="default"/>
                <w:sz w:val="21"/>
                <w:szCs w:val="21"/>
                <w:highlight w:val="none"/>
                <w:lang w:bidi="ar"/>
              </w:rPr>
              <w:t>安全事件溯源分析服务；</w:t>
            </w:r>
            <w:r>
              <w:rPr>
                <w:rStyle w:val="7"/>
                <w:rFonts w:hint="default"/>
                <w:sz w:val="21"/>
                <w:szCs w:val="21"/>
                <w:highlight w:val="none"/>
                <w:lang w:bidi="ar"/>
              </w:rPr>
              <w:br w:type="textWrapping"/>
            </w:r>
            <w:r>
              <w:rPr>
                <w:rStyle w:val="7"/>
                <w:rFonts w:hint="default"/>
                <w:sz w:val="21"/>
                <w:szCs w:val="21"/>
                <w:highlight w:val="none"/>
                <w:lang w:bidi="ar"/>
              </w:rPr>
              <w:t>编制应急响应情况报告，说明事件原因、处置措施等。</w:t>
            </w:r>
            <w:r>
              <w:rPr>
                <w:rStyle w:val="7"/>
                <w:rFonts w:hint="default"/>
                <w:sz w:val="21"/>
                <w:szCs w:val="21"/>
                <w:highlight w:val="none"/>
                <w:lang w:bidi="ar"/>
              </w:rPr>
              <w:br w:type="textWrapping"/>
            </w:r>
            <w:r>
              <w:rPr>
                <w:rStyle w:val="7"/>
                <w:rFonts w:hint="default"/>
                <w:sz w:val="21"/>
                <w:szCs w:val="21"/>
                <w:highlight w:val="none"/>
                <w:lang w:bidi="ar"/>
              </w:rPr>
              <w:t>3)</w:t>
            </w:r>
            <w:r>
              <w:rPr>
                <w:rStyle w:val="7"/>
                <w:rFonts w:hint="eastAsia"/>
                <w:sz w:val="21"/>
                <w:szCs w:val="21"/>
                <w:highlight w:val="none"/>
                <w:lang w:val="en-US" w:eastAsia="zh-CN" w:bidi="ar"/>
              </w:rPr>
              <w:t>故障分级与处理流程：</w:t>
            </w:r>
          </w:p>
          <w:p>
            <w:pPr>
              <w:keepNext w:val="0"/>
              <w:keepLines w:val="0"/>
              <w:suppressLineNumbers w:val="0"/>
              <w:spacing w:before="0" w:beforeAutospacing="0" w:after="0" w:afterAutospacing="0" w:line="500" w:lineRule="exact"/>
              <w:ind w:left="0" w:right="0"/>
              <w:rPr>
                <w:rFonts w:hint="default" w:ascii="宋体" w:hAnsi="宋体" w:cs="宋体"/>
                <w:spacing w:val="7"/>
                <w:sz w:val="21"/>
                <w:szCs w:val="21"/>
                <w:highlight w:val="none"/>
              </w:rPr>
            </w:pPr>
            <w:r>
              <w:rPr>
                <w:rFonts w:hint="eastAsia" w:ascii="宋体" w:hAnsi="宋体" w:cs="宋体"/>
                <w:spacing w:val="7"/>
                <w:sz w:val="21"/>
                <w:szCs w:val="21"/>
                <w:highlight w:val="none"/>
                <w:lang w:bidi="ar"/>
              </w:rPr>
              <w:t>根据故障的严重程度和影响程度的不同，故障级别由低到高分为“一般故障（Ⅳ级）、较大故障（Ⅲ级）、重大故障（Ⅱ级）、特别重大故障（Ⅰ级）”：</w:t>
            </w:r>
          </w:p>
          <w:p>
            <w:pPr>
              <w:keepNext w:val="0"/>
              <w:keepLines w:val="0"/>
              <w:suppressLineNumbers w:val="0"/>
              <w:spacing w:before="0" w:beforeAutospacing="0" w:after="0" w:afterAutospacing="0" w:line="500" w:lineRule="exact"/>
              <w:ind w:left="0" w:right="0" w:firstLine="448" w:firstLineChars="200"/>
              <w:rPr>
                <w:rFonts w:hint="eastAsia" w:ascii="宋体" w:hAnsi="宋体" w:eastAsia="宋体" w:cs="宋体"/>
                <w:i w:val="0"/>
                <w:iCs w:val="0"/>
                <w:caps w:val="0"/>
                <w:spacing w:val="7"/>
                <w:sz w:val="21"/>
                <w:szCs w:val="21"/>
                <w:highlight w:val="none"/>
                <w:shd w:val="clear"/>
                <w:lang w:bidi="ar"/>
              </w:rPr>
            </w:pPr>
            <w:r>
              <w:rPr>
                <w:rFonts w:hint="eastAsia" w:ascii="宋体" w:hAnsi="宋体" w:cs="宋体"/>
                <w:spacing w:val="7"/>
                <w:sz w:val="21"/>
                <w:szCs w:val="21"/>
                <w:highlight w:val="none"/>
                <w:lang w:bidi="ar"/>
              </w:rPr>
              <w:t>①</w:t>
            </w:r>
            <w:r>
              <w:rPr>
                <w:rFonts w:hint="eastAsia" w:ascii="宋体" w:hAnsi="宋体" w:eastAsia="宋体" w:cs="宋体"/>
                <w:i w:val="0"/>
                <w:iCs w:val="0"/>
                <w:caps w:val="0"/>
                <w:color w:val="auto"/>
                <w:spacing w:val="7"/>
                <w:sz w:val="21"/>
                <w:szCs w:val="21"/>
                <w:highlight w:val="none"/>
                <w:shd w:val="clear" w:fill="auto"/>
                <w:lang w:bidi="ar"/>
              </w:rPr>
              <w:t xml:space="preserve">一般故障（Ⅳ级）：涉及单台或少量终端问题，影响范围限于个别用户。 </w:t>
            </w:r>
          </w:p>
          <w:p>
            <w:pPr>
              <w:keepNext w:val="0"/>
              <w:keepLines w:val="0"/>
              <w:suppressLineNumbers w:val="0"/>
              <w:spacing w:before="0" w:beforeAutospacing="0" w:after="0" w:afterAutospacing="0" w:line="500" w:lineRule="exact"/>
              <w:ind w:left="0" w:right="0" w:firstLine="448" w:firstLineChars="200"/>
              <w:rPr>
                <w:rFonts w:hint="eastAsia" w:ascii="宋体" w:hAnsi="宋体" w:eastAsia="宋体" w:cs="宋体"/>
                <w:i w:val="0"/>
                <w:iCs w:val="0"/>
                <w:caps w:val="0"/>
                <w:spacing w:val="7"/>
                <w:sz w:val="21"/>
                <w:szCs w:val="21"/>
                <w:highlight w:val="none"/>
                <w:shd w:val="clear"/>
                <w:lang w:bidi="ar"/>
              </w:rPr>
            </w:pPr>
            <w:r>
              <w:rPr>
                <w:rFonts w:hint="eastAsia" w:ascii="宋体" w:hAnsi="宋体" w:cs="宋体"/>
                <w:spacing w:val="7"/>
                <w:sz w:val="21"/>
                <w:szCs w:val="21"/>
                <w:highlight w:val="none"/>
                <w:lang w:bidi="ar"/>
              </w:rPr>
              <w:t>②</w:t>
            </w:r>
            <w:r>
              <w:rPr>
                <w:rFonts w:hint="eastAsia" w:ascii="宋体" w:hAnsi="宋体" w:eastAsia="宋体" w:cs="宋体"/>
                <w:i w:val="0"/>
                <w:iCs w:val="0"/>
                <w:caps w:val="0"/>
                <w:color w:val="auto"/>
                <w:spacing w:val="7"/>
                <w:sz w:val="21"/>
                <w:szCs w:val="21"/>
                <w:highlight w:val="none"/>
                <w:shd w:val="clear" w:fill="auto"/>
                <w:lang w:bidi="ar"/>
              </w:rPr>
              <w:t xml:space="preserve">较大故障（Ⅲ级）：影响多个部门或部分楼层用户的正常使用，干扰日常工作。 </w:t>
            </w:r>
          </w:p>
          <w:p>
            <w:pPr>
              <w:keepNext w:val="0"/>
              <w:keepLines w:val="0"/>
              <w:suppressLineNumbers w:val="0"/>
              <w:spacing w:before="0" w:beforeAutospacing="0" w:after="0" w:afterAutospacing="0" w:line="500" w:lineRule="exact"/>
              <w:ind w:left="0" w:right="0" w:firstLine="448" w:firstLineChars="200"/>
              <w:rPr>
                <w:rFonts w:hint="eastAsia" w:ascii="宋体" w:hAnsi="宋体" w:eastAsia="宋体" w:cs="宋体"/>
                <w:i w:val="0"/>
                <w:iCs w:val="0"/>
                <w:caps w:val="0"/>
                <w:spacing w:val="7"/>
                <w:sz w:val="21"/>
                <w:szCs w:val="21"/>
                <w:highlight w:val="none"/>
                <w:shd w:val="clear"/>
                <w:lang w:bidi="ar"/>
              </w:rPr>
            </w:pPr>
            <w:r>
              <w:rPr>
                <w:rFonts w:hint="eastAsia" w:ascii="宋体" w:hAnsi="宋体" w:cs="宋体"/>
                <w:spacing w:val="7"/>
                <w:sz w:val="21"/>
                <w:szCs w:val="21"/>
                <w:highlight w:val="none"/>
                <w:lang w:bidi="ar"/>
              </w:rPr>
              <w:t>③</w:t>
            </w:r>
            <w:r>
              <w:rPr>
                <w:rFonts w:hint="eastAsia" w:ascii="宋体" w:hAnsi="宋体" w:eastAsia="宋体" w:cs="宋体"/>
                <w:i w:val="0"/>
                <w:iCs w:val="0"/>
                <w:caps w:val="0"/>
                <w:color w:val="auto"/>
                <w:spacing w:val="7"/>
                <w:sz w:val="21"/>
                <w:szCs w:val="21"/>
                <w:highlight w:val="none"/>
                <w:shd w:val="clear" w:fill="auto"/>
                <w:lang w:bidi="ar"/>
              </w:rPr>
              <w:t xml:space="preserve">重大故障（Ⅱ级）：关键业务系统瘫痪或服务中断，产生较大的社会影响。 </w:t>
            </w:r>
          </w:p>
          <w:p>
            <w:pPr>
              <w:keepNext w:val="0"/>
              <w:keepLines w:val="0"/>
              <w:suppressLineNumbers w:val="0"/>
              <w:spacing w:before="0" w:beforeAutospacing="0" w:after="0" w:afterAutospacing="0" w:line="500" w:lineRule="exact"/>
              <w:ind w:left="0" w:right="0" w:firstLine="448" w:firstLineChars="200"/>
              <w:rPr>
                <w:rFonts w:hint="default" w:ascii="宋体" w:hAnsi="宋体" w:cs="宋体"/>
                <w:spacing w:val="7"/>
                <w:sz w:val="21"/>
                <w:szCs w:val="21"/>
                <w:highlight w:val="none"/>
              </w:rPr>
            </w:pPr>
            <w:r>
              <w:rPr>
                <w:rFonts w:hint="eastAsia" w:ascii="宋体" w:hAnsi="宋体" w:cs="宋体"/>
                <w:spacing w:val="7"/>
                <w:sz w:val="21"/>
                <w:szCs w:val="21"/>
                <w:highlight w:val="none"/>
                <w:lang w:bidi="ar"/>
              </w:rPr>
              <w:t>④</w:t>
            </w:r>
            <w:r>
              <w:rPr>
                <w:rFonts w:hint="eastAsia" w:ascii="宋体" w:hAnsi="宋体" w:eastAsia="宋体" w:cs="宋体"/>
                <w:i w:val="0"/>
                <w:iCs w:val="0"/>
                <w:caps w:val="0"/>
                <w:color w:val="auto"/>
                <w:spacing w:val="7"/>
                <w:sz w:val="21"/>
                <w:szCs w:val="21"/>
                <w:highlight w:val="none"/>
                <w:shd w:val="clear" w:fill="auto"/>
                <w:lang w:bidi="ar"/>
              </w:rPr>
              <w:t>特别重大故障（Ⅰ级）：网络瘫痪，多业务受影响，全校业务开展受阻，造成重大社会影响。</w:t>
            </w:r>
          </w:p>
          <w:p>
            <w:pPr>
              <w:keepNext w:val="0"/>
              <w:keepLines w:val="0"/>
              <w:suppressLineNumbers w:val="0"/>
              <w:spacing w:before="0" w:beforeAutospacing="0" w:after="0" w:afterAutospacing="0" w:line="500" w:lineRule="exact"/>
              <w:ind w:left="0" w:right="0"/>
              <w:rPr>
                <w:rFonts w:hint="default"/>
                <w:highlight w:val="none"/>
                <w:lang w:val="en-US" w:eastAsia="zh-CN"/>
              </w:rPr>
            </w:pPr>
            <w:r>
              <w:rPr>
                <w:rFonts w:hint="eastAsia" w:ascii="宋体" w:hAnsi="宋体" w:cs="宋体"/>
                <w:spacing w:val="7"/>
                <w:sz w:val="21"/>
                <w:szCs w:val="21"/>
                <w:highlight w:val="none"/>
                <w:lang w:bidi="ar"/>
              </w:rPr>
              <w:t>对于</w:t>
            </w:r>
            <w:r>
              <w:rPr>
                <w:rFonts w:hint="eastAsia" w:ascii="宋体" w:hAnsi="宋体" w:cs="宋体"/>
                <w:spacing w:val="7"/>
                <w:sz w:val="21"/>
                <w:szCs w:val="21"/>
                <w:highlight w:val="none"/>
                <w:lang w:val="zh-CN" w:bidi="ar"/>
              </w:rPr>
              <w:t>驻场工程师</w:t>
            </w:r>
            <w:r>
              <w:rPr>
                <w:rFonts w:hint="eastAsia" w:ascii="宋体" w:hAnsi="宋体" w:cs="宋体"/>
                <w:spacing w:val="7"/>
                <w:sz w:val="21"/>
                <w:szCs w:val="21"/>
                <w:highlight w:val="none"/>
                <w:lang w:bidi="ar"/>
              </w:rPr>
              <w:t>不能解决的故障，运维</w:t>
            </w:r>
            <w:r>
              <w:rPr>
                <w:rFonts w:hint="eastAsia" w:ascii="宋体" w:hAnsi="宋体" w:cs="宋体"/>
                <w:spacing w:val="7"/>
                <w:sz w:val="21"/>
                <w:szCs w:val="21"/>
                <w:highlight w:val="none"/>
                <w:lang w:eastAsia="zh" w:bidi="ar"/>
              </w:rPr>
              <w:t>方</w:t>
            </w:r>
            <w:r>
              <w:rPr>
                <w:rFonts w:hint="eastAsia" w:ascii="宋体" w:hAnsi="宋体" w:cs="宋体"/>
                <w:spacing w:val="7"/>
                <w:sz w:val="21"/>
                <w:szCs w:val="21"/>
                <w:highlight w:val="none"/>
                <w:lang w:bidi="ar"/>
              </w:rPr>
              <w:t>迅速提供二线技术支持服务，安排二线经验丰富的工程师赴现场协助</w:t>
            </w:r>
            <w:r>
              <w:rPr>
                <w:rFonts w:hint="eastAsia" w:ascii="宋体" w:hAnsi="宋体" w:cs="宋体"/>
                <w:spacing w:val="7"/>
                <w:sz w:val="21"/>
                <w:szCs w:val="21"/>
                <w:highlight w:val="none"/>
                <w:lang w:val="zh-CN" w:bidi="ar"/>
              </w:rPr>
              <w:t>驻场工程师</w:t>
            </w:r>
            <w:r>
              <w:rPr>
                <w:rFonts w:hint="eastAsia" w:ascii="宋体" w:hAnsi="宋体" w:cs="宋体"/>
                <w:spacing w:val="7"/>
                <w:sz w:val="21"/>
                <w:szCs w:val="21"/>
                <w:highlight w:val="none"/>
                <w:lang w:bidi="ar"/>
              </w:rPr>
              <w:t>排查故障原因，制定解决方案，并最终排除故障。</w:t>
            </w:r>
            <w:r>
              <w:rPr>
                <w:rFonts w:hint="eastAsia" w:ascii="宋体" w:hAnsi="宋体" w:cs="宋体"/>
                <w:spacing w:val="7"/>
                <w:sz w:val="21"/>
                <w:szCs w:val="21"/>
                <w:highlight w:val="none"/>
                <w:lang w:eastAsia="zh" w:bidi="ar"/>
              </w:rPr>
              <w:t>技术工程师</w:t>
            </w:r>
            <w:r>
              <w:rPr>
                <w:rFonts w:hint="eastAsia" w:ascii="宋体" w:hAnsi="宋体" w:cs="宋体"/>
                <w:spacing w:val="7"/>
                <w:sz w:val="21"/>
                <w:szCs w:val="21"/>
                <w:highlight w:val="none"/>
                <w:lang w:bidi="ar"/>
              </w:rPr>
              <w:t>按照规定的时间到达现场，开始不间断工作，直到故障排除。每一次故障提供《应急处置报告》，定期对故障处理情况进行汇总分析，建立并定期更新常见问题库，并对学校相关技术人员进行培训，使其及时了解常见故障的处理方法，提高故障处理水平。</w:t>
            </w:r>
          </w:p>
          <w:p>
            <w:pPr>
              <w:keepNext w:val="0"/>
              <w:keepLines w:val="0"/>
              <w:widowControl/>
              <w:suppressLineNumbers w:val="0"/>
              <w:spacing w:before="0" w:beforeAutospacing="0" w:after="0" w:afterAutospacing="0"/>
              <w:ind w:left="0" w:right="0"/>
              <w:jc w:val="left"/>
              <w:textAlignment w:val="bottom"/>
              <w:rPr>
                <w:rFonts w:hint="default" w:ascii="宋体" w:hAnsi="宋体" w:cs="宋体"/>
                <w:color w:val="000000"/>
                <w:sz w:val="21"/>
                <w:szCs w:val="21"/>
                <w:highlight w:val="none"/>
              </w:rPr>
            </w:pPr>
            <w:r>
              <w:rPr>
                <w:rStyle w:val="7"/>
                <w:rFonts w:hint="eastAsia"/>
                <w:sz w:val="21"/>
                <w:szCs w:val="21"/>
                <w:highlight w:val="none"/>
                <w:lang w:val="en-US" w:eastAsia="zh-CN" w:bidi="ar"/>
              </w:rPr>
              <w:t>4）</w:t>
            </w:r>
            <w:r>
              <w:rPr>
                <w:rStyle w:val="7"/>
                <w:rFonts w:hint="default"/>
                <w:sz w:val="21"/>
                <w:szCs w:val="21"/>
                <w:highlight w:val="none"/>
                <w:lang w:bidi="ar"/>
              </w:rPr>
              <w:t>服务响应时间：</w:t>
            </w:r>
            <w:r>
              <w:rPr>
                <w:rStyle w:val="7"/>
                <w:rFonts w:hint="default"/>
                <w:sz w:val="21"/>
                <w:szCs w:val="21"/>
                <w:highlight w:val="none"/>
                <w:lang w:bidi="ar"/>
              </w:rPr>
              <w:br w:type="textWrapping"/>
            </w:r>
            <w:r>
              <w:rPr>
                <w:rStyle w:val="7"/>
                <w:rFonts w:hint="default"/>
                <w:sz w:val="21"/>
                <w:szCs w:val="21"/>
                <w:highlight w:val="none"/>
                <w:lang w:bidi="ar"/>
              </w:rPr>
              <w:t>在校方提出服务要求后，30分钟内响应，2 小时内到达现场并提出解决方案。在响应期间提供24小时电话、远程在线诊断和故障排除、现场响应以及Email支持服务。</w:t>
            </w:r>
            <w:r>
              <w:rPr>
                <w:rStyle w:val="7"/>
                <w:rFonts w:hint="default"/>
                <w:sz w:val="21"/>
                <w:szCs w:val="21"/>
                <w:highlight w:val="none"/>
                <w:lang w:bidi="ar"/>
              </w:rPr>
              <w:br w:type="textWrapping"/>
            </w:r>
            <w:r>
              <w:rPr>
                <w:rStyle w:val="7"/>
                <w:rFonts w:hint="eastAsia"/>
                <w:sz w:val="21"/>
                <w:szCs w:val="21"/>
                <w:highlight w:val="none"/>
                <w:lang w:val="en-US" w:eastAsia="zh-CN" w:bidi="ar"/>
              </w:rPr>
              <w:t>5</w:t>
            </w:r>
            <w:r>
              <w:rPr>
                <w:rStyle w:val="7"/>
                <w:rFonts w:hint="default"/>
                <w:sz w:val="21"/>
                <w:szCs w:val="21"/>
                <w:highlight w:val="none"/>
                <w:lang w:bidi="ar"/>
              </w:rPr>
              <w:t>）服务交付物：</w:t>
            </w:r>
            <w:r>
              <w:rPr>
                <w:rStyle w:val="7"/>
                <w:rFonts w:hint="default"/>
                <w:sz w:val="21"/>
                <w:szCs w:val="21"/>
                <w:highlight w:val="none"/>
                <w:lang w:bidi="ar"/>
              </w:rPr>
              <w:br w:type="textWrapping"/>
            </w:r>
            <w:r>
              <w:rPr>
                <w:rStyle w:val="7"/>
                <w:rFonts w:hint="default"/>
                <w:sz w:val="21"/>
                <w:szCs w:val="21"/>
                <w:highlight w:val="none"/>
                <w:lang w:bidi="ar"/>
              </w:rPr>
              <w:t>提供《应急响应报告》。</w:t>
            </w:r>
          </w:p>
        </w:tc>
        <w:tc>
          <w:tcPr>
            <w:tcW w:w="119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sz w:val="21"/>
                <w:szCs w:val="21"/>
                <w:highlight w:val="none"/>
                <w:lang w:val="en-US" w:eastAsia="zh-CN"/>
              </w:rPr>
            </w:pPr>
            <w:r>
              <w:rPr>
                <w:rFonts w:hint="eastAsia" w:ascii="宋体" w:hAnsi="宋体" w:cs="宋体"/>
                <w:color w:val="000000"/>
                <w:kern w:val="0"/>
                <w:sz w:val="21"/>
                <w:szCs w:val="21"/>
                <w:highlight w:val="none"/>
                <w:lang w:val="en-US" w:eastAsia="zh-CN" w:bidi="ar"/>
              </w:rPr>
              <w:t>按需/年</w:t>
            </w:r>
          </w:p>
        </w:tc>
      </w:tr>
      <w:tr>
        <w:tblPrEx>
          <w:tblCellMar>
            <w:top w:w="0" w:type="dxa"/>
            <w:left w:w="108" w:type="dxa"/>
            <w:bottom w:w="0" w:type="dxa"/>
            <w:right w:w="108" w:type="dxa"/>
          </w:tblCellMar>
        </w:tblPrEx>
        <w:trPr>
          <w:trHeight w:val="1085" w:hRule="atLeast"/>
        </w:trPr>
        <w:tc>
          <w:tcPr>
            <w:tcW w:w="60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sz w:val="21"/>
                <w:szCs w:val="21"/>
                <w:highlight w:val="none"/>
                <w:lang w:eastAsia="zh-CN"/>
              </w:rPr>
            </w:pPr>
            <w:r>
              <w:rPr>
                <w:rFonts w:hint="eastAsia" w:ascii="宋体" w:hAnsi="宋体" w:cs="宋体"/>
                <w:color w:val="000000"/>
                <w:kern w:val="0"/>
                <w:sz w:val="21"/>
                <w:szCs w:val="21"/>
                <w:highlight w:val="none"/>
                <w:lang w:bidi="ar"/>
              </w:rPr>
              <w:t>1</w:t>
            </w:r>
            <w:r>
              <w:rPr>
                <w:rFonts w:hint="eastAsia" w:ascii="宋体" w:hAnsi="宋体" w:cs="宋体"/>
                <w:color w:val="000000"/>
                <w:kern w:val="0"/>
                <w:sz w:val="21"/>
                <w:szCs w:val="21"/>
                <w:highlight w:val="none"/>
                <w:lang w:val="en-US" w:eastAsia="zh-CN" w:bidi="ar"/>
              </w:rPr>
              <w:t>0</w:t>
            </w:r>
          </w:p>
        </w:tc>
        <w:tc>
          <w:tcPr>
            <w:tcW w:w="8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auto"/>
                <w:kern w:val="0"/>
                <w:sz w:val="21"/>
                <w:szCs w:val="21"/>
                <w:highlight w:val="none"/>
                <w:lang w:bidi="ar"/>
              </w:rPr>
              <w:t>重点时期保障服务</w:t>
            </w:r>
          </w:p>
        </w:tc>
        <w:tc>
          <w:tcPr>
            <w:tcW w:w="5819" w:type="dxa"/>
            <w:tcBorders>
              <w:top w:val="single" w:color="000000" w:sz="4" w:space="0"/>
              <w:left w:val="single" w:color="000000" w:sz="4" w:space="0"/>
              <w:bottom w:val="single" w:color="000000" w:sz="4" w:space="0"/>
              <w:right w:val="single" w:color="000000" w:sz="4" w:space="0"/>
            </w:tcBorders>
            <w:vAlign w:val="bottom"/>
          </w:tcPr>
          <w:p>
            <w:pPr>
              <w:keepNext w:val="0"/>
              <w:keepLines w:val="0"/>
              <w:widowControl/>
              <w:suppressLineNumbers w:val="0"/>
              <w:spacing w:before="0" w:beforeAutospacing="0" w:after="0" w:afterAutospacing="0"/>
              <w:ind w:left="0" w:right="0"/>
              <w:jc w:val="left"/>
              <w:textAlignment w:val="bottom"/>
              <w:rPr>
                <w:rFonts w:hint="default" w:ascii="宋体" w:hAnsi="宋体" w:cs="宋体"/>
                <w:color w:val="000000"/>
                <w:kern w:val="0"/>
                <w:sz w:val="21"/>
                <w:szCs w:val="21"/>
                <w:highlight w:val="none"/>
                <w:lang w:bidi="ar"/>
              </w:rPr>
            </w:pPr>
            <w:r>
              <w:rPr>
                <w:rFonts w:hint="eastAsia" w:ascii="宋体" w:hAnsi="宋体" w:cs="宋体"/>
                <w:color w:val="000000"/>
                <w:kern w:val="0"/>
                <w:sz w:val="21"/>
                <w:szCs w:val="21"/>
                <w:highlight w:val="none"/>
                <w:lang w:bidi="ar"/>
              </w:rPr>
              <w:t xml:space="preserve">1)服务范围： </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服务期限为1年，按学校网络安全需求，提供</w:t>
            </w:r>
            <w:r>
              <w:rPr>
                <w:rFonts w:hint="eastAsia" w:ascii="宋体" w:hAnsi="宋体" w:cs="宋体"/>
                <w:color w:val="000000"/>
                <w:kern w:val="0"/>
                <w:sz w:val="21"/>
                <w:szCs w:val="21"/>
                <w:highlight w:val="none"/>
                <w:lang w:val="en-US" w:eastAsia="zh-CN" w:bidi="ar"/>
              </w:rPr>
              <w:t>不少于1</w:t>
            </w:r>
            <w:r>
              <w:rPr>
                <w:rFonts w:hint="eastAsia" w:ascii="宋体" w:hAnsi="宋体" w:cs="宋体"/>
                <w:color w:val="000000"/>
                <w:kern w:val="0"/>
                <w:sz w:val="21"/>
                <w:szCs w:val="21"/>
                <w:highlight w:val="none"/>
                <w:lang w:bidi="ar"/>
              </w:rPr>
              <w:t>0天</w:t>
            </w:r>
            <w:r>
              <w:rPr>
                <w:rFonts w:hint="eastAsia" w:ascii="宋体" w:hAnsi="宋体" w:cs="宋体"/>
                <w:color w:val="000000"/>
                <w:kern w:val="0"/>
                <w:sz w:val="21"/>
                <w:szCs w:val="21"/>
                <w:highlight w:val="none"/>
                <w:lang w:val="en-US" w:eastAsia="zh-CN" w:bidi="ar"/>
              </w:rPr>
              <w:t>安全</w:t>
            </w:r>
            <w:r>
              <w:rPr>
                <w:rFonts w:hint="eastAsia" w:ascii="宋体" w:hAnsi="宋体" w:cs="宋体"/>
                <w:color w:val="000000"/>
                <w:kern w:val="0"/>
                <w:sz w:val="21"/>
                <w:szCs w:val="21"/>
                <w:highlight w:val="none"/>
                <w:lang w:bidi="ar"/>
              </w:rPr>
              <w:t>重点时期保障服务</w:t>
            </w:r>
            <w:r>
              <w:rPr>
                <w:rFonts w:hint="eastAsia" w:ascii="宋体" w:hAnsi="宋体" w:cs="宋体"/>
                <w:color w:val="000000"/>
                <w:kern w:val="0"/>
                <w:sz w:val="21"/>
                <w:szCs w:val="21"/>
                <w:highlight w:val="none"/>
                <w:lang w:eastAsia="zh-CN" w:bidi="ar"/>
              </w:rPr>
              <w:t>，</w:t>
            </w:r>
            <w:r>
              <w:rPr>
                <w:rFonts w:hint="eastAsia" w:ascii="宋体" w:hAnsi="宋体" w:cs="宋体"/>
                <w:color w:val="000000"/>
                <w:kern w:val="0"/>
                <w:sz w:val="21"/>
                <w:szCs w:val="21"/>
                <w:highlight w:val="none"/>
                <w:lang w:val="en-US" w:eastAsia="zh-CN" w:bidi="ar"/>
              </w:rPr>
              <w:t>每天服务不少于1人</w:t>
            </w:r>
            <w:r>
              <w:rPr>
                <w:rFonts w:hint="eastAsia" w:ascii="宋体" w:hAnsi="宋体" w:cs="宋体"/>
                <w:color w:val="000000"/>
                <w:kern w:val="0"/>
                <w:sz w:val="21"/>
                <w:szCs w:val="21"/>
                <w:highlight w:val="none"/>
                <w:lang w:bidi="ar"/>
              </w:rPr>
              <w:t>；</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2)服务内容：</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在重要时期提供现场安全值守服务，提供具有丰富的应急处理能力和安全服务技术经验的工程师，</w:t>
            </w:r>
            <w:r>
              <w:rPr>
                <w:rFonts w:hint="eastAsia" w:cs="宋体"/>
                <w:sz w:val="21"/>
                <w:szCs w:val="21"/>
                <w:highlight w:val="none"/>
              </w:rPr>
              <w:t>并</w:t>
            </w:r>
            <w:r>
              <w:rPr>
                <w:rFonts w:hint="eastAsia" w:cs="宋体"/>
                <w:spacing w:val="7"/>
                <w:sz w:val="21"/>
                <w:szCs w:val="21"/>
                <w:highlight w:val="none"/>
                <w:lang w:bidi="ar"/>
              </w:rPr>
              <w:t>安排相关技术人员进行</w:t>
            </w:r>
            <w:r>
              <w:rPr>
                <w:rFonts w:hint="eastAsia" w:cs="宋体"/>
                <w:spacing w:val="7"/>
                <w:sz w:val="21"/>
                <w:szCs w:val="21"/>
                <w:highlight w:val="none"/>
                <w:lang w:eastAsia="zh" w:bidi="ar"/>
              </w:rPr>
              <w:t>远程值守</w:t>
            </w:r>
            <w:r>
              <w:rPr>
                <w:rFonts w:hint="eastAsia" w:cs="宋体"/>
                <w:spacing w:val="7"/>
                <w:sz w:val="21"/>
                <w:szCs w:val="21"/>
                <w:highlight w:val="none"/>
                <w:lang w:eastAsia="zh-CN" w:bidi="ar"/>
              </w:rPr>
              <w:t>，</w:t>
            </w:r>
            <w:r>
              <w:rPr>
                <w:rFonts w:hint="eastAsia" w:ascii="宋体" w:hAnsi="宋体" w:cs="宋体"/>
                <w:color w:val="000000"/>
                <w:kern w:val="0"/>
                <w:sz w:val="21"/>
                <w:szCs w:val="21"/>
                <w:highlight w:val="none"/>
                <w:lang w:bidi="ar"/>
              </w:rPr>
              <w:t>期间每日进行安全状况收集、处置、汇报。</w:t>
            </w:r>
          </w:p>
          <w:p>
            <w:pPr>
              <w:keepNext w:val="0"/>
              <w:keepLines w:val="0"/>
              <w:widowControl/>
              <w:suppressLineNumbers w:val="0"/>
              <w:spacing w:before="0" w:beforeAutospacing="0" w:after="0" w:afterAutospacing="0"/>
              <w:ind w:left="0" w:right="0"/>
              <w:jc w:val="left"/>
              <w:textAlignment w:val="bottom"/>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3）服务交付物：</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提供《每日重保服务工作报告》、《重保总结报告》。</w:t>
            </w:r>
          </w:p>
        </w:tc>
        <w:tc>
          <w:tcPr>
            <w:tcW w:w="119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auto"/>
                <w:kern w:val="0"/>
                <w:sz w:val="21"/>
                <w:szCs w:val="21"/>
                <w:highlight w:val="none"/>
                <w:lang w:val="en-US" w:eastAsia="zh-CN" w:bidi="ar"/>
              </w:rPr>
              <w:t>不少于1</w:t>
            </w:r>
            <w:r>
              <w:rPr>
                <w:rFonts w:hint="eastAsia" w:ascii="宋体" w:hAnsi="宋体" w:cs="宋体"/>
                <w:color w:val="auto"/>
                <w:kern w:val="0"/>
                <w:sz w:val="21"/>
                <w:szCs w:val="21"/>
                <w:highlight w:val="none"/>
                <w:lang w:bidi="ar"/>
              </w:rPr>
              <w:t>0天</w:t>
            </w:r>
            <w:r>
              <w:rPr>
                <w:rFonts w:hint="eastAsia" w:ascii="宋体" w:hAnsi="宋体" w:cs="宋体"/>
                <w:color w:val="auto"/>
                <w:kern w:val="0"/>
                <w:sz w:val="21"/>
                <w:szCs w:val="21"/>
                <w:highlight w:val="none"/>
                <w:lang w:val="en-US" w:eastAsia="zh-CN" w:bidi="ar"/>
              </w:rPr>
              <w:t>/年</w:t>
            </w:r>
          </w:p>
        </w:tc>
      </w:tr>
      <w:tr>
        <w:tblPrEx>
          <w:tblCellMar>
            <w:top w:w="0" w:type="dxa"/>
            <w:left w:w="108" w:type="dxa"/>
            <w:bottom w:w="0" w:type="dxa"/>
            <w:right w:w="108" w:type="dxa"/>
          </w:tblCellMar>
        </w:tblPrEx>
        <w:trPr>
          <w:trHeight w:val="90" w:hRule="atLeast"/>
        </w:trPr>
        <w:tc>
          <w:tcPr>
            <w:tcW w:w="60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color w:val="000000"/>
                <w:sz w:val="21"/>
                <w:szCs w:val="21"/>
                <w:highlight w:val="none"/>
                <w:lang w:eastAsia="zh-CN"/>
              </w:rPr>
            </w:pPr>
            <w:r>
              <w:rPr>
                <w:rFonts w:hint="eastAsia" w:ascii="宋体" w:hAnsi="宋体" w:cs="宋体"/>
                <w:color w:val="000000"/>
                <w:kern w:val="0"/>
                <w:sz w:val="21"/>
                <w:szCs w:val="21"/>
                <w:highlight w:val="none"/>
                <w:lang w:bidi="ar"/>
              </w:rPr>
              <w:t>1</w:t>
            </w:r>
            <w:r>
              <w:rPr>
                <w:rFonts w:hint="eastAsia" w:ascii="宋体" w:hAnsi="宋体" w:cs="宋体"/>
                <w:color w:val="000000"/>
                <w:kern w:val="0"/>
                <w:sz w:val="21"/>
                <w:szCs w:val="21"/>
                <w:highlight w:val="none"/>
                <w:lang w:val="en-US" w:eastAsia="zh-CN" w:bidi="ar"/>
              </w:rPr>
              <w:t>1</w:t>
            </w:r>
          </w:p>
        </w:tc>
        <w:tc>
          <w:tcPr>
            <w:tcW w:w="8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安全周宣传服务</w:t>
            </w:r>
          </w:p>
        </w:tc>
        <w:tc>
          <w:tcPr>
            <w:tcW w:w="5819" w:type="dxa"/>
            <w:tcBorders>
              <w:top w:val="single" w:color="000000" w:sz="4" w:space="0"/>
              <w:left w:val="single" w:color="000000" w:sz="4" w:space="0"/>
              <w:bottom w:val="single" w:color="000000" w:sz="4" w:space="0"/>
              <w:right w:val="single" w:color="000000" w:sz="4" w:space="0"/>
            </w:tcBorders>
            <w:vAlign w:val="bottom"/>
          </w:tcPr>
          <w:p>
            <w:pPr>
              <w:keepNext w:val="0"/>
              <w:keepLines w:val="0"/>
              <w:widowControl/>
              <w:suppressLineNumbers w:val="0"/>
              <w:spacing w:before="0" w:beforeAutospacing="0" w:after="0" w:afterAutospacing="0"/>
              <w:ind w:left="0" w:right="0"/>
              <w:jc w:val="left"/>
              <w:textAlignment w:val="bottom"/>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1)服务范围：供服务期限为 1 年，服务期内提供1次网络安全周</w:t>
            </w:r>
            <w:r>
              <w:rPr>
                <w:rFonts w:hint="eastAsia" w:ascii="宋体" w:hAnsi="宋体" w:cs="宋体"/>
                <w:color w:val="000000"/>
                <w:kern w:val="0"/>
                <w:sz w:val="21"/>
                <w:szCs w:val="21"/>
                <w:highlight w:val="none"/>
                <w:lang w:val="en-US" w:eastAsia="zh-CN" w:bidi="ar"/>
              </w:rPr>
              <w:t>宣传</w:t>
            </w:r>
            <w:r>
              <w:rPr>
                <w:rFonts w:hint="eastAsia" w:ascii="宋体" w:hAnsi="宋体" w:cs="宋体"/>
                <w:color w:val="000000"/>
                <w:kern w:val="0"/>
                <w:sz w:val="21"/>
                <w:szCs w:val="21"/>
                <w:highlight w:val="none"/>
                <w:lang w:bidi="ar"/>
              </w:rPr>
              <w:t>服务</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2)服务内容：</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协助学校组织网络安全宣传周活动，围绕网络安全重点领域和行业网络安全问题，针对社会公众关注的热点问题，举办网络安全体验等系列主题宣传活动，营造网络安全人人有责、人人参与的良好氛围。如：</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宣传周活动现场布置；</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现场2名安全服务专家（工作人员）完成网络安全科普、答疑、宣传；</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 xml:space="preserve">提供宣传视频、布置宣传展架和活动条幅； </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 xml:space="preserve">向现场师生发放宣传手册、宣传单等资料等； </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3)服务交付物：</w:t>
            </w:r>
            <w:r>
              <w:rPr>
                <w:rFonts w:hint="eastAsia" w:ascii="宋体" w:hAnsi="宋体" w:cs="宋体"/>
                <w:color w:val="000000"/>
                <w:kern w:val="0"/>
                <w:sz w:val="21"/>
                <w:szCs w:val="21"/>
                <w:highlight w:val="none"/>
                <w:lang w:bidi="ar"/>
              </w:rPr>
              <w:br w:type="textWrapping"/>
            </w:r>
            <w:r>
              <w:rPr>
                <w:rFonts w:hint="eastAsia" w:ascii="宋体" w:hAnsi="宋体" w:cs="宋体"/>
                <w:color w:val="000000"/>
                <w:kern w:val="0"/>
                <w:sz w:val="21"/>
                <w:szCs w:val="21"/>
                <w:highlight w:val="none"/>
                <w:lang w:bidi="ar"/>
              </w:rPr>
              <w:t>提供安全周宣传活动相关电子档材料。</w:t>
            </w:r>
          </w:p>
        </w:tc>
        <w:tc>
          <w:tcPr>
            <w:tcW w:w="119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cs="宋体"/>
                <w:color w:val="000000"/>
                <w:sz w:val="21"/>
                <w:szCs w:val="21"/>
                <w:highlight w:val="none"/>
              </w:rPr>
            </w:pPr>
            <w:r>
              <w:rPr>
                <w:rFonts w:hint="eastAsia" w:ascii="宋体" w:hAnsi="宋体" w:cs="宋体"/>
                <w:color w:val="000000"/>
                <w:kern w:val="0"/>
                <w:sz w:val="21"/>
                <w:szCs w:val="21"/>
                <w:highlight w:val="none"/>
                <w:lang w:bidi="ar"/>
              </w:rPr>
              <w:t>1次/年</w:t>
            </w:r>
          </w:p>
        </w:tc>
      </w:tr>
      <w:tr>
        <w:tblPrEx>
          <w:tblCellMar>
            <w:top w:w="0" w:type="dxa"/>
            <w:left w:w="108" w:type="dxa"/>
            <w:bottom w:w="0" w:type="dxa"/>
            <w:right w:w="108" w:type="dxa"/>
          </w:tblCellMar>
        </w:tblPrEx>
        <w:trPr>
          <w:trHeight w:val="835" w:hRule="atLeast"/>
        </w:trPr>
        <w:tc>
          <w:tcPr>
            <w:tcW w:w="604" w:type="dxa"/>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12</w:t>
            </w:r>
          </w:p>
        </w:tc>
        <w:tc>
          <w:tcPr>
            <w:tcW w:w="804"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cs="宋体"/>
                <w:color w:val="000000"/>
                <w:kern w:val="0"/>
                <w:sz w:val="21"/>
                <w:szCs w:val="21"/>
                <w:highlight w:val="none"/>
                <w:lang w:bidi="ar"/>
              </w:rPr>
            </w:pPr>
            <w:r>
              <w:rPr>
                <w:rFonts w:hint="eastAsia" w:ascii="宋体" w:hAnsi="宋体" w:cs="宋体"/>
                <w:sz w:val="21"/>
                <w:szCs w:val="21"/>
                <w:highlight w:val="none"/>
                <w:lang w:eastAsia="zh"/>
              </w:rPr>
              <w:t>核心</w:t>
            </w:r>
            <w:r>
              <w:rPr>
                <w:rFonts w:hint="eastAsia" w:ascii="宋体" w:hAnsi="宋体" w:cs="宋体"/>
                <w:sz w:val="21"/>
                <w:szCs w:val="21"/>
                <w:highlight w:val="none"/>
              </w:rPr>
              <w:t>网络</w:t>
            </w:r>
            <w:r>
              <w:rPr>
                <w:rFonts w:hint="eastAsia" w:ascii="宋体" w:hAnsi="宋体" w:cs="宋体"/>
                <w:sz w:val="21"/>
                <w:szCs w:val="21"/>
                <w:highlight w:val="none"/>
                <w:lang w:eastAsia="zh"/>
              </w:rPr>
              <w:t>系统运维服务</w:t>
            </w:r>
          </w:p>
        </w:tc>
        <w:tc>
          <w:tcPr>
            <w:tcW w:w="5819" w:type="dxa"/>
            <w:tcBorders>
              <w:top w:val="single" w:color="000000" w:sz="4" w:space="0"/>
              <w:left w:val="single" w:color="000000" w:sz="4" w:space="0"/>
              <w:bottom w:val="single" w:color="000000" w:sz="4" w:space="0"/>
              <w:right w:val="single" w:color="000000" w:sz="4" w:space="0"/>
            </w:tcBorders>
            <w:vAlign w:val="bottom"/>
          </w:tcPr>
          <w:p>
            <w:pPr>
              <w:keepNext w:val="0"/>
              <w:keepLines w:val="0"/>
              <w:widowControl/>
              <w:numPr>
                <w:ilvl w:val="0"/>
                <w:numId w:val="7"/>
              </w:numPr>
              <w:suppressLineNumbers w:val="0"/>
              <w:spacing w:before="0" w:beforeAutospacing="0" w:after="0" w:afterAutospacing="0"/>
              <w:ind w:left="0" w:right="0"/>
              <w:jc w:val="left"/>
              <w:textAlignment w:val="bottom"/>
              <w:rPr>
                <w:rFonts w:hint="default" w:ascii="宋体" w:hAnsi="宋体" w:cs="宋体"/>
                <w:spacing w:val="7"/>
                <w:sz w:val="21"/>
                <w:szCs w:val="21"/>
                <w:highlight w:val="none"/>
                <w:lang w:bidi="ar"/>
              </w:rPr>
            </w:pPr>
            <w:r>
              <w:rPr>
                <w:rFonts w:hint="eastAsia" w:ascii="宋体" w:hAnsi="宋体" w:cs="宋体"/>
                <w:spacing w:val="7"/>
                <w:sz w:val="21"/>
                <w:szCs w:val="21"/>
                <w:highlight w:val="none"/>
                <w:lang w:bidi="ar"/>
              </w:rPr>
              <w:t>服务范围：</w:t>
            </w:r>
          </w:p>
          <w:p>
            <w:pPr>
              <w:pStyle w:val="2"/>
              <w:keepNext w:val="0"/>
              <w:keepLines w:val="0"/>
              <w:suppressLineNumbers w:val="0"/>
              <w:spacing w:before="0" w:beforeAutospacing="0" w:afterAutospacing="0"/>
              <w:ind w:left="0" w:right="0" w:firstLine="0" w:firstLineChars="0"/>
              <w:rPr>
                <w:rFonts w:hint="default" w:ascii="宋体" w:hAnsi="宋体" w:cs="宋体"/>
                <w:color w:val="06071F"/>
                <w:szCs w:val="21"/>
                <w:highlight w:val="none"/>
                <w:shd w:val="clear" w:color="auto" w:fill="FDFDFE"/>
              </w:rPr>
            </w:pPr>
            <w:r>
              <w:rPr>
                <w:rFonts w:hint="eastAsia" w:ascii="宋体" w:hAnsi="宋体" w:cs="宋体"/>
                <w:color w:val="000000"/>
                <w:kern w:val="0"/>
                <w:szCs w:val="21"/>
                <w:highlight w:val="none"/>
                <w:lang w:bidi="ar"/>
              </w:rPr>
              <w:t>服务期限为1年，</w:t>
            </w:r>
            <w:r>
              <w:rPr>
                <w:rFonts w:hint="eastAsia" w:ascii="宋体" w:hAnsi="宋体" w:cs="宋体"/>
                <w:color w:val="06071F"/>
                <w:szCs w:val="21"/>
                <w:highlight w:val="none"/>
                <w:shd w:val="clear" w:color="auto" w:fill="FDFDFE"/>
              </w:rPr>
              <w:t>服务期内提供</w:t>
            </w:r>
            <w:r>
              <w:rPr>
                <w:rFonts w:hint="eastAsia" w:ascii="宋体" w:hAnsi="宋体" w:cs="宋体"/>
                <w:color w:val="06071F"/>
                <w:szCs w:val="21"/>
                <w:highlight w:val="none"/>
                <w:shd w:val="clear" w:color="auto" w:fill="FDFDFE"/>
                <w:lang w:eastAsia="zh"/>
              </w:rPr>
              <w:t>核心</w:t>
            </w:r>
            <w:r>
              <w:rPr>
                <w:rFonts w:hint="eastAsia" w:ascii="宋体" w:hAnsi="宋体" w:cs="宋体"/>
                <w:color w:val="06071F"/>
                <w:szCs w:val="21"/>
                <w:highlight w:val="none"/>
                <w:shd w:val="clear" w:color="auto" w:fill="FDFDFE"/>
              </w:rPr>
              <w:t>网络</w:t>
            </w:r>
            <w:r>
              <w:rPr>
                <w:rFonts w:hint="eastAsia" w:ascii="宋体" w:hAnsi="宋体" w:cs="宋体"/>
                <w:color w:val="06071F"/>
                <w:szCs w:val="21"/>
                <w:highlight w:val="none"/>
                <w:shd w:val="clear" w:color="auto" w:fill="FDFDFE"/>
                <w:lang w:eastAsia="zh"/>
              </w:rPr>
              <w:t>系统运维服务</w:t>
            </w:r>
            <w:r>
              <w:rPr>
                <w:rFonts w:hint="eastAsia" w:ascii="宋体" w:hAnsi="宋体" w:cs="宋体"/>
                <w:color w:val="06071F"/>
                <w:szCs w:val="21"/>
                <w:highlight w:val="none"/>
                <w:shd w:val="clear" w:color="auto" w:fill="FDFDFE"/>
              </w:rPr>
              <w:t>。</w:t>
            </w:r>
          </w:p>
          <w:p>
            <w:pPr>
              <w:keepNext w:val="0"/>
              <w:keepLines w:val="0"/>
              <w:widowControl/>
              <w:numPr>
                <w:ilvl w:val="0"/>
                <w:numId w:val="7"/>
              </w:numPr>
              <w:suppressLineNumbers w:val="0"/>
              <w:spacing w:before="0" w:beforeAutospacing="0" w:after="0" w:afterAutospacing="0"/>
              <w:ind w:left="0" w:right="0"/>
              <w:jc w:val="left"/>
              <w:textAlignment w:val="bottom"/>
              <w:rPr>
                <w:rFonts w:hint="default" w:ascii="宋体" w:hAnsi="宋体" w:cs="宋体"/>
                <w:color w:val="06071F"/>
                <w:sz w:val="21"/>
                <w:szCs w:val="21"/>
                <w:highlight w:val="none"/>
                <w:shd w:val="clear" w:color="auto" w:fill="FDFDFE"/>
              </w:rPr>
            </w:pPr>
            <w:r>
              <w:rPr>
                <w:rFonts w:hint="eastAsia" w:ascii="宋体" w:hAnsi="宋体" w:cs="宋体"/>
                <w:spacing w:val="7"/>
                <w:sz w:val="21"/>
                <w:szCs w:val="21"/>
                <w:highlight w:val="none"/>
                <w:lang w:bidi="ar"/>
              </w:rPr>
              <w:t>服务内容：</w:t>
            </w:r>
          </w:p>
          <w:p>
            <w:pPr>
              <w:keepNext w:val="0"/>
              <w:keepLines w:val="0"/>
              <w:suppressLineNumbers w:val="0"/>
              <w:spacing w:before="0" w:beforeAutospacing="0" w:after="0" w:afterAutospacing="0" w:line="500" w:lineRule="exact"/>
              <w:ind w:left="0" w:right="0"/>
              <w:rPr>
                <w:rFonts w:hint="default"/>
                <w:highlight w:val="none"/>
              </w:rPr>
            </w:pPr>
            <w:r>
              <w:rPr>
                <w:rFonts w:hint="eastAsia" w:ascii="宋体" w:hAnsi="宋体" w:cs="宋体"/>
                <w:color w:val="06071F"/>
                <w:sz w:val="21"/>
                <w:szCs w:val="21"/>
                <w:highlight w:val="none"/>
                <w:shd w:val="clear" w:color="auto" w:fill="FDFDFE"/>
              </w:rPr>
              <w:t>对学校核心</w:t>
            </w:r>
            <w:r>
              <w:rPr>
                <w:rFonts w:hint="eastAsia" w:ascii="宋体" w:hAnsi="宋体" w:cs="宋体"/>
                <w:color w:val="06071F"/>
                <w:sz w:val="21"/>
                <w:szCs w:val="21"/>
                <w:highlight w:val="none"/>
                <w:shd w:val="clear" w:color="auto" w:fill="FDFDFE"/>
                <w:lang w:val="en-US" w:eastAsia="zh-CN"/>
              </w:rPr>
              <w:t>网络</w:t>
            </w:r>
            <w:r>
              <w:rPr>
                <w:rFonts w:hint="eastAsia" w:ascii="宋体" w:hAnsi="宋体" w:cs="宋体"/>
                <w:color w:val="06071F"/>
                <w:sz w:val="21"/>
                <w:szCs w:val="21"/>
                <w:highlight w:val="none"/>
                <w:shd w:val="clear" w:color="auto" w:fill="FDFDFE"/>
              </w:rPr>
              <w:t>系统</w:t>
            </w:r>
            <w:r>
              <w:rPr>
                <w:rFonts w:hint="eastAsia" w:ascii="宋体" w:hAnsi="宋体" w:cs="宋体"/>
                <w:color w:val="06071F"/>
                <w:sz w:val="21"/>
                <w:szCs w:val="21"/>
                <w:highlight w:val="none"/>
                <w:shd w:val="clear" w:color="auto" w:fill="FDFDFE"/>
                <w:lang w:eastAsia="zh"/>
              </w:rPr>
              <w:t>（如网管平台、SAM认证系统、无线控制系统等）</w:t>
            </w:r>
            <w:r>
              <w:rPr>
                <w:rFonts w:hint="eastAsia" w:ascii="宋体" w:hAnsi="宋体" w:cs="宋体"/>
                <w:color w:val="06071F"/>
                <w:sz w:val="21"/>
                <w:szCs w:val="21"/>
                <w:highlight w:val="none"/>
                <w:shd w:val="clear" w:color="auto" w:fill="FDFDFE"/>
              </w:rPr>
              <w:t>，</w:t>
            </w:r>
            <w:r>
              <w:rPr>
                <w:rFonts w:hint="eastAsia" w:ascii="宋体" w:hAnsi="宋体" w:cs="宋体"/>
                <w:spacing w:val="7"/>
                <w:sz w:val="21"/>
                <w:szCs w:val="21"/>
                <w:highlight w:val="none"/>
                <w:lang w:val="zh-CN" w:bidi="ar"/>
              </w:rPr>
              <w:t>服务项包括但不限于：</w:t>
            </w:r>
          </w:p>
          <w:p>
            <w:pPr>
              <w:keepNext w:val="0"/>
              <w:keepLines w:val="0"/>
              <w:numPr>
                <w:ilvl w:val="0"/>
                <w:numId w:val="8"/>
              </w:numPr>
              <w:suppressLineNumbers w:val="0"/>
              <w:spacing w:before="0" w:beforeAutospacing="0" w:after="0" w:afterAutospacing="0"/>
              <w:ind w:right="0"/>
              <w:rPr>
                <w:rFonts w:hint="default"/>
                <w:sz w:val="21"/>
                <w:szCs w:val="21"/>
                <w:highlight w:val="none"/>
                <w:lang w:eastAsia="zh"/>
              </w:rPr>
            </w:pPr>
            <w:r>
              <w:rPr>
                <w:rFonts w:hint="eastAsia"/>
                <w:sz w:val="21"/>
                <w:szCs w:val="21"/>
                <w:highlight w:val="none"/>
                <w:lang w:val="zh-CN"/>
              </w:rPr>
              <w:t>对学校的网络管理平台进行维护，涵盖</w:t>
            </w:r>
            <w:r>
              <w:rPr>
                <w:rFonts w:hint="eastAsia"/>
                <w:sz w:val="21"/>
                <w:szCs w:val="21"/>
                <w:highlight w:val="none"/>
                <w:lang w:val="en-US" w:eastAsia="zh-CN"/>
              </w:rPr>
              <w:t>核</w:t>
            </w:r>
            <w:r>
              <w:rPr>
                <w:rFonts w:hint="eastAsia"/>
                <w:sz w:val="21"/>
                <w:szCs w:val="21"/>
                <w:highlight w:val="none"/>
                <w:lang w:val="zh-CN"/>
              </w:rPr>
              <w:t>心机房内网络设备的监控、配置管理、及故障处理</w:t>
            </w:r>
            <w:r>
              <w:rPr>
                <w:rFonts w:hint="eastAsia"/>
                <w:sz w:val="21"/>
                <w:szCs w:val="21"/>
                <w:highlight w:val="none"/>
                <w:lang w:val="zh-CN" w:eastAsia="zh"/>
              </w:rPr>
              <w:t>；</w:t>
            </w:r>
          </w:p>
          <w:p>
            <w:pPr>
              <w:keepNext w:val="0"/>
              <w:keepLines w:val="0"/>
              <w:numPr>
                <w:ilvl w:val="0"/>
                <w:numId w:val="8"/>
              </w:numPr>
              <w:suppressLineNumbers w:val="0"/>
              <w:spacing w:before="0" w:beforeAutospacing="0" w:after="0" w:afterAutospacing="0"/>
              <w:ind w:right="0"/>
              <w:rPr>
                <w:rFonts w:hint="default"/>
                <w:sz w:val="21"/>
                <w:szCs w:val="21"/>
                <w:highlight w:val="none"/>
                <w:lang w:eastAsia="zh"/>
              </w:rPr>
            </w:pPr>
            <w:r>
              <w:rPr>
                <w:rFonts w:hint="eastAsia"/>
                <w:sz w:val="21"/>
                <w:szCs w:val="21"/>
                <w:highlight w:val="none"/>
                <w:lang w:val="zh-CN"/>
              </w:rPr>
              <w:t>为学校的SAM认证系统提供运维保障，确保软件资产的合规使用与有效管理。包括用户账号管理、权限分配、认证策略调整以及系统故障处理等</w:t>
            </w:r>
            <w:r>
              <w:rPr>
                <w:rFonts w:hint="eastAsia"/>
                <w:sz w:val="21"/>
                <w:szCs w:val="21"/>
                <w:highlight w:val="none"/>
                <w:lang w:val="zh-CN" w:eastAsia="zh"/>
              </w:rPr>
              <w:t>；</w:t>
            </w:r>
            <w:bookmarkStart w:id="0" w:name="_GoBack"/>
            <w:bookmarkEnd w:id="0"/>
          </w:p>
          <w:p>
            <w:pPr>
              <w:keepNext w:val="0"/>
              <w:keepLines w:val="0"/>
              <w:numPr>
                <w:ilvl w:val="0"/>
                <w:numId w:val="8"/>
              </w:numPr>
              <w:suppressLineNumbers w:val="0"/>
              <w:spacing w:before="0" w:beforeAutospacing="0" w:after="0" w:afterAutospacing="0"/>
              <w:ind w:right="0"/>
              <w:rPr>
                <w:rFonts w:hint="default"/>
                <w:sz w:val="21"/>
                <w:szCs w:val="21"/>
                <w:highlight w:val="none"/>
                <w:lang w:eastAsia="zh"/>
              </w:rPr>
            </w:pPr>
            <w:r>
              <w:rPr>
                <w:rFonts w:hint="eastAsia"/>
                <w:sz w:val="21"/>
                <w:szCs w:val="21"/>
                <w:highlight w:val="none"/>
                <w:lang w:val="zh-CN"/>
              </w:rPr>
              <w:t>监控无线接入点的运行状态</w:t>
            </w:r>
            <w:r>
              <w:rPr>
                <w:rFonts w:hint="eastAsia"/>
                <w:sz w:val="21"/>
                <w:szCs w:val="21"/>
                <w:highlight w:val="none"/>
                <w:lang w:val="zh-CN" w:eastAsia="zh"/>
              </w:rPr>
              <w:t>。</w:t>
            </w:r>
          </w:p>
          <w:p>
            <w:pPr>
              <w:keepNext w:val="0"/>
              <w:keepLines w:val="0"/>
              <w:widowControl/>
              <w:numPr>
                <w:ilvl w:val="0"/>
                <w:numId w:val="7"/>
              </w:numPr>
              <w:suppressLineNumbers w:val="0"/>
              <w:spacing w:before="0" w:beforeAutospacing="0" w:after="0" w:afterAutospacing="0"/>
              <w:ind w:left="0" w:right="0"/>
              <w:jc w:val="left"/>
              <w:textAlignment w:val="bottom"/>
              <w:rPr>
                <w:rFonts w:hint="default" w:ascii="宋体" w:hAnsi="宋体" w:cs="宋体"/>
                <w:spacing w:val="7"/>
                <w:sz w:val="21"/>
                <w:szCs w:val="21"/>
                <w:highlight w:val="none"/>
                <w:lang w:val="zh-CN" w:eastAsia="zh" w:bidi="ar"/>
              </w:rPr>
            </w:pPr>
            <w:r>
              <w:rPr>
                <w:rFonts w:hint="eastAsia" w:ascii="宋体" w:hAnsi="宋体" w:cs="宋体"/>
                <w:spacing w:val="7"/>
                <w:sz w:val="21"/>
                <w:szCs w:val="21"/>
                <w:highlight w:val="none"/>
                <w:lang w:bidi="ar"/>
              </w:rPr>
              <w:t>服务交付物：</w:t>
            </w:r>
          </w:p>
          <w:p>
            <w:pPr>
              <w:keepNext w:val="0"/>
              <w:keepLines w:val="0"/>
              <w:suppressLineNumbers w:val="0"/>
              <w:spacing w:before="0" w:beforeAutospacing="0" w:after="0" w:afterAutospacing="0"/>
              <w:ind w:left="0" w:right="0"/>
              <w:rPr>
                <w:rFonts w:hint="eastAsia" w:ascii="宋体" w:hAnsi="宋体" w:cs="宋体"/>
                <w:color w:val="000000"/>
                <w:kern w:val="0"/>
                <w:sz w:val="21"/>
                <w:szCs w:val="21"/>
                <w:highlight w:val="none"/>
                <w:lang w:bidi="ar"/>
              </w:rPr>
            </w:pPr>
            <w:r>
              <w:rPr>
                <w:rFonts w:hint="eastAsia"/>
                <w:sz w:val="21"/>
                <w:szCs w:val="21"/>
                <w:highlight w:val="none"/>
                <w:lang w:val="zh-CN" w:eastAsia="zh"/>
              </w:rPr>
              <w:t>每季度提供《《季度核心网络系统运维服务报告》。</w:t>
            </w:r>
          </w:p>
        </w:tc>
        <w:tc>
          <w:tcPr>
            <w:tcW w:w="1195" w:type="dxa"/>
            <w:tcBorders>
              <w:top w:val="single" w:color="000000" w:sz="4" w:space="0"/>
              <w:left w:val="single" w:color="000000" w:sz="4" w:space="0"/>
              <w:bottom w:val="single" w:color="000000" w:sz="4" w:space="0"/>
              <w:right w:val="single" w:color="000000" w:sz="4" w:space="0"/>
            </w:tcBorders>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color w:val="000000"/>
                <w:kern w:val="0"/>
                <w:sz w:val="21"/>
                <w:szCs w:val="21"/>
                <w:highlight w:val="none"/>
                <w:lang w:val="en-US" w:eastAsia="zh-CN" w:bidi="ar"/>
              </w:rPr>
            </w:pPr>
            <w:r>
              <w:rPr>
                <w:rFonts w:hint="eastAsia" w:ascii="宋体" w:hAnsi="宋体" w:cs="宋体"/>
                <w:color w:val="000000"/>
                <w:kern w:val="0"/>
                <w:sz w:val="21"/>
                <w:szCs w:val="21"/>
                <w:highlight w:val="none"/>
                <w:lang w:val="en-US" w:eastAsia="zh-CN" w:bidi="ar"/>
              </w:rPr>
              <w:t>4次/年</w:t>
            </w:r>
          </w:p>
        </w:tc>
      </w:tr>
    </w:tbl>
    <w:p>
      <w:pPr>
        <w:pStyle w:val="3"/>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AFBB515"/>
    <w:multiLevelType w:val="singleLevel"/>
    <w:tmpl w:val="BAFBB515"/>
    <w:lvl w:ilvl="0" w:tentative="0">
      <w:start w:val="1"/>
      <w:numFmt w:val="decimalEnclosedCircleChinese"/>
      <w:suff w:val="nothing"/>
      <w:lvlText w:val="%1　"/>
      <w:lvlJc w:val="left"/>
      <w:pPr>
        <w:ind w:left="0" w:firstLine="400"/>
      </w:pPr>
      <w:rPr>
        <w:rFonts w:hint="eastAsia"/>
      </w:rPr>
    </w:lvl>
  </w:abstractNum>
  <w:abstractNum w:abstractNumId="1">
    <w:nsid w:val="CA96320A"/>
    <w:multiLevelType w:val="singleLevel"/>
    <w:tmpl w:val="CA96320A"/>
    <w:lvl w:ilvl="0" w:tentative="0">
      <w:start w:val="1"/>
      <w:numFmt w:val="decimal"/>
      <w:lvlText w:val="%1)"/>
      <w:lvlJc w:val="left"/>
      <w:pPr>
        <w:tabs>
          <w:tab w:val="left" w:pos="312"/>
        </w:tabs>
      </w:pPr>
    </w:lvl>
  </w:abstractNum>
  <w:abstractNum w:abstractNumId="2">
    <w:nsid w:val="CB167535"/>
    <w:multiLevelType w:val="singleLevel"/>
    <w:tmpl w:val="CB167535"/>
    <w:lvl w:ilvl="0" w:tentative="0">
      <w:start w:val="1"/>
      <w:numFmt w:val="decimalEnclosedCircleChinese"/>
      <w:suff w:val="nothing"/>
      <w:lvlText w:val="%1　"/>
      <w:lvlJc w:val="left"/>
      <w:pPr>
        <w:ind w:left="0" w:firstLine="400"/>
      </w:pPr>
      <w:rPr>
        <w:rFonts w:hint="eastAsia"/>
      </w:rPr>
    </w:lvl>
  </w:abstractNum>
  <w:abstractNum w:abstractNumId="3">
    <w:nsid w:val="10066C03"/>
    <w:multiLevelType w:val="multilevel"/>
    <w:tmpl w:val="10066C03"/>
    <w:lvl w:ilvl="0" w:tentative="0">
      <w:start w:val="1"/>
      <w:numFmt w:val="decimal"/>
      <w:lvlText w:val="%1)"/>
      <w:lvlJc w:val="left"/>
      <w:pPr>
        <w:ind w:left="360" w:hanging="36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21D85160"/>
    <w:multiLevelType w:val="singleLevel"/>
    <w:tmpl w:val="21D85160"/>
    <w:lvl w:ilvl="0" w:tentative="0">
      <w:start w:val="1"/>
      <w:numFmt w:val="decimal"/>
      <w:lvlText w:val="%1."/>
      <w:lvlJc w:val="left"/>
      <w:pPr>
        <w:ind w:left="425" w:hanging="425"/>
      </w:pPr>
      <w:rPr>
        <w:rFonts w:hint="default"/>
      </w:rPr>
    </w:lvl>
  </w:abstractNum>
  <w:abstractNum w:abstractNumId="5">
    <w:nsid w:val="35DC70E6"/>
    <w:multiLevelType w:val="multilevel"/>
    <w:tmpl w:val="35DC70E6"/>
    <w:lvl w:ilvl="0" w:tentative="0">
      <w:start w:val="1"/>
      <w:numFmt w:val="chineseCountingThousand"/>
      <w:pStyle w:val="4"/>
      <w:lvlText w:val="%1、"/>
      <w:lvlJc w:val="left"/>
      <w:pPr>
        <w:ind w:left="432" w:hanging="432"/>
      </w:pPr>
      <w:rPr>
        <w:rFonts w:hint="eastAsia"/>
      </w:rPr>
    </w:lvl>
    <w:lvl w:ilvl="1" w:tentative="0">
      <w:start w:val="1"/>
      <w:numFmt w:val="decimal"/>
      <w:isLgl/>
      <w:lvlText w:val="%1.%2、"/>
      <w:lvlJc w:val="left"/>
      <w:pPr>
        <w:ind w:left="576" w:hanging="576"/>
      </w:pPr>
      <w:rPr>
        <w:rFonts w:hint="eastAsia"/>
      </w:rPr>
    </w:lvl>
    <w:lvl w:ilvl="2" w:tentative="0">
      <w:start w:val="1"/>
      <w:numFmt w:val="decimal"/>
      <w:isLgl/>
      <w:lvlText w:val="%1.%2.%3、"/>
      <w:lvlJc w:val="left"/>
      <w:pPr>
        <w:ind w:left="720"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abstractNum w:abstractNumId="6">
    <w:nsid w:val="523596D9"/>
    <w:multiLevelType w:val="singleLevel"/>
    <w:tmpl w:val="523596D9"/>
    <w:lvl w:ilvl="0" w:tentative="0">
      <w:start w:val="1"/>
      <w:numFmt w:val="decimal"/>
      <w:suff w:val="nothing"/>
      <w:lvlText w:val="%1）"/>
      <w:lvlJc w:val="left"/>
    </w:lvl>
  </w:abstractNum>
  <w:abstractNum w:abstractNumId="7">
    <w:nsid w:val="7BECC22D"/>
    <w:multiLevelType w:val="singleLevel"/>
    <w:tmpl w:val="7BECC22D"/>
    <w:lvl w:ilvl="0" w:tentative="0">
      <w:start w:val="1"/>
      <w:numFmt w:val="decimal"/>
      <w:lvlText w:val="%1)"/>
      <w:lvlJc w:val="left"/>
      <w:pPr>
        <w:tabs>
          <w:tab w:val="left" w:pos="312"/>
        </w:tabs>
      </w:pPr>
    </w:lvl>
  </w:abstractNum>
  <w:num w:numId="1">
    <w:abstractNumId w:val="5"/>
  </w:num>
  <w:num w:numId="2">
    <w:abstractNumId w:val="4"/>
  </w:num>
  <w:num w:numId="3">
    <w:abstractNumId w:val="7"/>
  </w:num>
  <w:num w:numId="4">
    <w:abstractNumId w:val="2"/>
  </w:num>
  <w:num w:numId="5">
    <w:abstractNumId w:val="3"/>
  </w:num>
  <w:num w:numId="6">
    <w:abstractNumId w:val="1"/>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Q3ODNiMTcxYWIxMGE3ZDgxYzE1NTVjZmMyMzRlMzQifQ=="/>
  </w:docVars>
  <w:rsids>
    <w:rsidRoot w:val="00000000"/>
    <w:rsid w:val="25E24A05"/>
    <w:rsid w:val="6CCB32E8"/>
    <w:rsid w:val="709E4E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jc w:val="both"/>
    </w:pPr>
    <w:rPr>
      <w:rFonts w:eastAsia="宋体" w:asciiTheme="minorHAnsi" w:hAnsiTheme="minorHAnsi" w:cstheme="minorBidi"/>
      <w:kern w:val="2"/>
      <w:sz w:val="24"/>
      <w:szCs w:val="22"/>
      <w:lang w:val="en-US" w:eastAsia="zh-CN" w:bidi="ar-SA"/>
    </w:rPr>
  </w:style>
  <w:style w:type="paragraph" w:styleId="4">
    <w:name w:val="heading 1"/>
    <w:basedOn w:val="1"/>
    <w:next w:val="1"/>
    <w:autoRedefine/>
    <w:qFormat/>
    <w:uiPriority w:val="9"/>
    <w:pPr>
      <w:keepNext/>
      <w:keepLines/>
      <w:numPr>
        <w:ilvl w:val="0"/>
        <w:numId w:val="1"/>
      </w:numPr>
      <w:spacing w:before="340" w:after="330" w:line="578" w:lineRule="auto"/>
      <w:outlineLvl w:val="0"/>
    </w:pPr>
    <w:rPr>
      <w:rFonts w:ascii="宋体" w:hAnsi="宋体"/>
      <w:b/>
      <w:bCs/>
      <w:kern w:val="44"/>
      <w:sz w:val="36"/>
      <w:szCs w:val="36"/>
    </w:rPr>
  </w:style>
  <w:style w:type="character" w:default="1" w:styleId="6">
    <w:name w:val="Default Paragraph Font"/>
    <w:semiHidden/>
    <w:qFormat/>
    <w:uiPriority w:val="0"/>
  </w:style>
  <w:style w:type="table" w:default="1" w:styleId="5">
    <w:name w:val="Normal Table"/>
    <w:autoRedefine/>
    <w:semiHidden/>
    <w:qFormat/>
    <w:uiPriority w:val="0"/>
    <w:tblPr>
      <w:tblCellMar>
        <w:top w:w="0" w:type="dxa"/>
        <w:left w:w="108" w:type="dxa"/>
        <w:bottom w:w="0" w:type="dxa"/>
        <w:right w:w="108" w:type="dxa"/>
      </w:tblCellMar>
    </w:tblPr>
  </w:style>
  <w:style w:type="paragraph" w:styleId="2">
    <w:name w:val="Body Text"/>
    <w:basedOn w:val="1"/>
    <w:next w:val="3"/>
    <w:autoRedefine/>
    <w:unhideWhenUsed/>
    <w:qFormat/>
    <w:uiPriority w:val="99"/>
    <w:pPr>
      <w:spacing w:after="120"/>
      <w:ind w:firstLine="200" w:firstLineChars="200"/>
    </w:pPr>
    <w:rPr>
      <w:rFonts w:ascii="Calibri" w:hAnsi="Calibri" w:cs="Times New Roman"/>
      <w:sz w:val="21"/>
    </w:rPr>
  </w:style>
  <w:style w:type="paragraph" w:styleId="3">
    <w:name w:val="Body Text First Indent"/>
    <w:basedOn w:val="2"/>
    <w:next w:val="1"/>
    <w:autoRedefine/>
    <w:unhideWhenUsed/>
    <w:qFormat/>
    <w:uiPriority w:val="0"/>
    <w:pPr>
      <w:ind w:firstLine="420" w:firstLineChars="100"/>
    </w:pPr>
    <w:rPr>
      <w:szCs w:val="20"/>
    </w:rPr>
  </w:style>
  <w:style w:type="character" w:customStyle="1" w:styleId="7">
    <w:name w:val="font11"/>
    <w:basedOn w:val="6"/>
    <w:autoRedefine/>
    <w:qFormat/>
    <w:uiPriority w:val="0"/>
    <w:rPr>
      <w:rFonts w:hint="eastAsia" w:ascii="宋体" w:hAnsi="宋体" w:eastAsia="宋体" w:cs="宋体"/>
      <w:color w:val="000000"/>
      <w:sz w:val="22"/>
      <w:szCs w:val="22"/>
      <w:u w:val="none"/>
    </w:rPr>
  </w:style>
  <w:style w:type="character" w:customStyle="1" w:styleId="8">
    <w:name w:val="font41"/>
    <w:basedOn w:val="6"/>
    <w:autoRedefine/>
    <w:qFormat/>
    <w:uiPriority w:val="0"/>
    <w:rPr>
      <w:rFonts w:hint="eastAsia" w:ascii="宋体" w:hAnsi="宋体" w:eastAsia="宋体" w:cs="宋体"/>
      <w:color w:val="000000"/>
      <w:sz w:val="22"/>
      <w:szCs w:val="22"/>
      <w:u w:val="none"/>
    </w:rPr>
  </w:style>
  <w:style w:type="character" w:customStyle="1" w:styleId="9">
    <w:name w:val="font71"/>
    <w:basedOn w:val="6"/>
    <w:autoRedefine/>
    <w:qFormat/>
    <w:uiPriority w:val="0"/>
    <w:rPr>
      <w:rFonts w:hint="eastAsia" w:ascii="宋体" w:hAnsi="宋体" w:eastAsia="宋体" w:cs="宋体"/>
      <w:b/>
      <w:bCs/>
      <w:color w:val="000000"/>
      <w:sz w:val="22"/>
      <w:szCs w:val="22"/>
      <w:u w:val="none"/>
    </w:rPr>
  </w:style>
  <w:style w:type="character" w:customStyle="1" w:styleId="10">
    <w:name w:val="font81"/>
    <w:basedOn w:val="6"/>
    <w:autoRedefine/>
    <w:qFormat/>
    <w:uiPriority w:val="0"/>
    <w:rPr>
      <w:rFonts w:ascii="Wingdings" w:hAnsi="Wingdings" w:cs="Wingdings"/>
      <w:color w:val="000000"/>
      <w:sz w:val="22"/>
      <w:szCs w:val="22"/>
      <w:u w:val="none"/>
    </w:rPr>
  </w:style>
  <w:style w:type="paragraph" w:styleId="11">
    <w:name w:val="List Paragraph"/>
    <w:basedOn w:val="1"/>
    <w:autoRedefine/>
    <w:qFormat/>
    <w:uiPriority w:val="34"/>
    <w:pPr>
      <w:ind w:firstLine="420" w:firstLineChars="200"/>
    </w:pPr>
  </w:style>
  <w:style w:type="character" w:customStyle="1" w:styleId="12">
    <w:name w:val="font51"/>
    <w:basedOn w:val="6"/>
    <w:autoRedefine/>
    <w:qFormat/>
    <w:uiPriority w:val="0"/>
    <w:rPr>
      <w:rFonts w:ascii="Arial" w:hAnsi="Arial" w:cs="Arial"/>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4258</Words>
  <Characters>4338</Characters>
  <Lines>0</Lines>
  <Paragraphs>0</Paragraphs>
  <TotalTime>74</TotalTime>
  <ScaleCrop>false</ScaleCrop>
  <LinksUpToDate>false</LinksUpToDate>
  <CharactersWithSpaces>4382</CharactersWithSpaces>
  <Application>WPS Office_12.1.0.16412_F1E327BC-269C-435d-A152-05C5408002CA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2025-10-28T01:40:00Z</dcterms:created>
  <dc:creator>admin</dc:creator>
  <cp:lastModifiedBy>胡娟</cp:lastModifiedBy>
  <dcterms:modified xsi:type="dcterms:W3CDTF">2025-10-28T06:14:07Z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2052-12.1.0.16412</vt:lpwstr>
  </property>
  <property fmtid="{D5CDD505-2E9C-101B-9397-08002B2CF9AE}" pid="3" name="ICV">
    <vt:lpwstr>710B7A87A0CF470FB8B5526B8E8F7D20_13</vt:lpwstr>
  </property>
  <property fmtid="{D5CDD505-2E9C-101B-9397-08002B2CF9AE}" pid="4" name="KSOTemplateDocerSaveRecord">
    <vt:lpwstr>eyJoZGlkIjoiMjJlM2VmODNjZWI3YWU3YWMxZjdhYjViNGVkNGExYjIiLCJ1c2VySWQiOiIxNTY3NTg0NzMyIn0=</vt:lpwstr>
  </property>
</Properties>
</file>