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277"/>
        </w:tabs>
        <w:ind w:firstLine="54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我局拟聘请专业的会计师事务所协助全局完成一级和二级项目的编报工作。工作的主要内容包括：1、根据财政部门对</w:t>
      </w:r>
      <w:r>
        <w:rPr>
          <w:rFonts w:hint="default" w:ascii="Times New Roman" w:hAnsi="Times New Roman" w:eastAsia="仿宋" w:cs="Times New Roman"/>
          <w:sz w:val="30"/>
          <w:szCs w:val="30"/>
          <w:lang w:val="en-US" w:eastAsia="zh-CN"/>
        </w:rPr>
        <w:t>2022</w:t>
      </w:r>
      <w:r>
        <w:rPr>
          <w:rFonts w:hint="eastAsia" w:ascii="仿宋" w:hAnsi="仿宋" w:eastAsia="仿宋" w:cs="仿宋"/>
          <w:sz w:val="30"/>
          <w:szCs w:val="30"/>
          <w:lang w:val="en-US" w:eastAsia="zh-CN"/>
        </w:rPr>
        <w:t>年预算编制要求，对各处室、单位报送的项目申报表进行复核，对绩效目标的完整性、规范性提出修正意见。对项目支出进行合理分类，严格区分人员类、运转类、特定目标类项目，对各类别报送表格进行设置，对各类别项目的申报的内容进行限定，初步形成体育局绩效目标申报的指导性文件。2、收集整理项目基础数据资料，与项目负责人沟通，结合往年实际执行情况，对项目绩效目标值进行修订。3、与二级单位负责预算编制的负责人沟通，了解项目申报表的填报情况。核查二级单位报送的项目申报表，核查项目信息是否填写完整，落实职能职责、支出项目类别、项目类型、项目属性、项目期限是否填报完整、准确。绩效目标数值设置是否恰当合理，预算资金测算依据是否充分。最终对局机关及二级单位预算绩效目标进行汇总，形成体育局总体项目绩效目标申报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B616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2021-11-15T03:41:24Z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