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8942B">
      <w:pPr>
        <w:pStyle w:val="3"/>
        <w:bidi w:val="0"/>
        <w:jc w:val="center"/>
        <w:rPr>
          <w:rStyle w:val="22"/>
          <w:rFonts w:hint="eastAsia" w:ascii="仿宋" w:hAnsi="仿宋" w:eastAsia="仿宋" w:cs="仿宋"/>
          <w:sz w:val="40"/>
          <w:szCs w:val="48"/>
          <w:lang w:val="en-US" w:eastAsia="zh-CN"/>
        </w:rPr>
      </w:pPr>
      <w:bookmarkStart w:id="0" w:name="_Toc1074"/>
      <w:bookmarkStart w:id="1" w:name="_Toc16435"/>
      <w:bookmarkStart w:id="2" w:name="_Toc26969"/>
      <w:bookmarkStart w:id="3" w:name="_Toc2041"/>
      <w:bookmarkStart w:id="4" w:name="_Toc12967"/>
      <w:bookmarkStart w:id="5" w:name="_Toc23967"/>
      <w:r>
        <w:rPr>
          <w:rStyle w:val="22"/>
          <w:rFonts w:hint="eastAsia" w:ascii="仿宋" w:hAnsi="仿宋" w:eastAsia="仿宋" w:cs="仿宋"/>
          <w:sz w:val="40"/>
          <w:szCs w:val="48"/>
        </w:rPr>
        <w:t>手术资源管理</w:t>
      </w:r>
      <w:r>
        <w:rPr>
          <w:rStyle w:val="22"/>
          <w:rFonts w:hint="eastAsia" w:ascii="仿宋" w:hAnsi="仿宋" w:eastAsia="仿宋" w:cs="仿宋"/>
          <w:sz w:val="40"/>
          <w:szCs w:val="48"/>
          <w:lang w:val="en-US" w:eastAsia="zh-CN"/>
        </w:rPr>
        <w:t>和毒麻药品管理系统维保服务采购需求</w:t>
      </w:r>
    </w:p>
    <w:bookmarkEnd w:id="0"/>
    <w:bookmarkEnd w:id="1"/>
    <w:bookmarkEnd w:id="2"/>
    <w:bookmarkEnd w:id="3"/>
    <w:bookmarkEnd w:id="4"/>
    <w:bookmarkEnd w:id="5"/>
    <w:p w14:paraId="20321E5A">
      <w:pPr>
        <w:pStyle w:val="12"/>
        <w:numPr>
          <w:ilvl w:val="0"/>
          <w:numId w:val="2"/>
        </w:numPr>
        <w:ind w:left="640" w:leftChars="0" w:hanging="420" w:firstLineChars="0"/>
        <w:rPr>
          <w:rStyle w:val="22"/>
          <w:rFonts w:hint="eastAsia" w:ascii="仿宋" w:hAnsi="仿宋" w:eastAsia="仿宋" w:cs="仿宋"/>
          <w:b/>
          <w:bCs/>
          <w:sz w:val="24"/>
          <w:szCs w:val="24"/>
        </w:rPr>
      </w:pPr>
      <w:r>
        <w:rPr>
          <w:rStyle w:val="22"/>
          <w:rFonts w:hint="eastAsia" w:ascii="仿宋" w:hAnsi="仿宋" w:eastAsia="仿宋" w:cs="仿宋"/>
          <w:b/>
          <w:bCs/>
          <w:sz w:val="24"/>
          <w:szCs w:val="24"/>
          <w:lang w:val="en-US" w:eastAsia="zh-CN"/>
        </w:rPr>
        <w:t>服务范围和目标</w:t>
      </w:r>
    </w:p>
    <w:p w14:paraId="5DB3F1A3">
      <w:pPr>
        <w:pStyle w:val="2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Chars="20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手术资源管理系统：覆盖利济路院区中心手术室</w:t>
      </w:r>
      <w:r>
        <w:rPr>
          <w:rFonts w:hint="eastAsia" w:ascii="仿宋" w:hAnsi="仿宋" w:eastAsia="仿宋" w:cs="仿宋"/>
          <w:sz w:val="24"/>
          <w:szCs w:val="24"/>
        </w:rPr>
        <w:t>洗手衣的智能发放、储存柜（鞋柜、更衣柜）的智能管理、洗手衣的智能</w:t>
      </w:r>
      <w:r>
        <w:rPr>
          <w:rFonts w:hint="eastAsia" w:ascii="仿宋" w:hAnsi="仿宋" w:eastAsia="仿宋" w:cs="仿宋"/>
          <w:sz w:val="24"/>
          <w:szCs w:val="24"/>
          <w:lang w:val="en-US" w:eastAsia="zh-CN"/>
        </w:rPr>
        <w:t>发放和</w:t>
      </w:r>
      <w:r>
        <w:rPr>
          <w:rFonts w:hint="eastAsia" w:ascii="仿宋" w:hAnsi="仿宋" w:eastAsia="仿宋" w:cs="仿宋"/>
          <w:sz w:val="24"/>
          <w:szCs w:val="24"/>
        </w:rPr>
        <w:t>回收，手术室门禁出入管理、人员定位管理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实现</w:t>
      </w:r>
      <w:r>
        <w:rPr>
          <w:rFonts w:hint="eastAsia" w:ascii="仿宋" w:hAnsi="仿宋" w:eastAsia="仿宋" w:cs="仿宋"/>
          <w:sz w:val="24"/>
          <w:szCs w:val="24"/>
        </w:rPr>
        <w:t>从医护人员进入手术室楼层更换洗手衣开始，到进入手术室、完成手术、出手术室整个流程进行实时采集监控；覆盖洗手衣服领用、手术室门禁管理、手术人员定位、洗手衣回收管理等关键点追溯数据，从而在提供了手术室的自上而下信息追踪记录，反向自下而上的追溯依据，提高科室内部质量监管水平、为满足医院信息化建设提供充分的信息化保障。</w:t>
      </w:r>
    </w:p>
    <w:p w14:paraId="5C3B995D">
      <w:pPr>
        <w:pStyle w:val="2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Chars="20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毒麻药品管理系统：利济路院区中心手术室、介入、胃镜等部门，毒麻药品管理柜终端设备共22套，主要实现功能：1、提供</w:t>
      </w:r>
      <w:r>
        <w:rPr>
          <w:rFonts w:hint="eastAsia" w:ascii="仿宋" w:hAnsi="仿宋" w:eastAsia="仿宋" w:cs="仿宋"/>
          <w:sz w:val="24"/>
          <w:szCs w:val="24"/>
        </w:rPr>
        <w:t>低库存或近效期预警提示，方便及时进行补货和清理，节省管理成本，降低管理风险。</w:t>
      </w:r>
      <w:r>
        <w:rPr>
          <w:rFonts w:hint="eastAsia" w:ascii="仿宋" w:hAnsi="仿宋" w:eastAsia="仿宋" w:cs="仿宋"/>
          <w:sz w:val="24"/>
          <w:szCs w:val="24"/>
          <w:lang w:val="en-US" w:eastAsia="zh-CN"/>
        </w:rPr>
        <w:t>2、</w:t>
      </w:r>
      <w:r>
        <w:rPr>
          <w:rFonts w:hint="eastAsia" w:ascii="仿宋" w:hAnsi="仿宋" w:eastAsia="仿宋" w:cs="仿宋"/>
          <w:sz w:val="24"/>
          <w:szCs w:val="24"/>
        </w:rPr>
        <w:t>可快速查询全科麻精药品的各种数据，如库存、药品流向、残液处理、空瓶回收、患者用药等情况，实时了解麻精药品管理合规情况。</w:t>
      </w:r>
      <w:r>
        <w:rPr>
          <w:rFonts w:hint="eastAsia" w:ascii="仿宋" w:hAnsi="仿宋" w:eastAsia="仿宋" w:cs="仿宋"/>
          <w:sz w:val="24"/>
          <w:szCs w:val="24"/>
          <w:lang w:val="en-US" w:eastAsia="zh-CN"/>
        </w:rPr>
        <w:t>3、</w:t>
      </w:r>
      <w:r>
        <w:rPr>
          <w:rFonts w:hint="eastAsia" w:ascii="仿宋" w:hAnsi="仿宋" w:eastAsia="仿宋" w:cs="仿宋"/>
          <w:sz w:val="24"/>
          <w:szCs w:val="24"/>
        </w:rPr>
        <w:t>实时精准生成</w:t>
      </w:r>
      <w:r>
        <w:rPr>
          <w:rFonts w:hint="eastAsia" w:ascii="仿宋" w:hAnsi="仿宋" w:eastAsia="仿宋" w:cs="仿宋"/>
          <w:sz w:val="24"/>
          <w:szCs w:val="24"/>
          <w:lang w:val="en-US" w:eastAsia="zh-CN"/>
        </w:rPr>
        <w:t>专账专册等</w:t>
      </w:r>
      <w:r>
        <w:rPr>
          <w:rFonts w:hint="eastAsia" w:ascii="仿宋" w:hAnsi="仿宋" w:eastAsia="仿宋" w:cs="仿宋"/>
          <w:sz w:val="24"/>
          <w:szCs w:val="24"/>
        </w:rPr>
        <w:t>各类报表，</w:t>
      </w:r>
      <w:r>
        <w:rPr>
          <w:rFonts w:hint="eastAsia" w:ascii="仿宋" w:hAnsi="仿宋" w:eastAsia="仿宋" w:cs="仿宋"/>
          <w:sz w:val="24"/>
          <w:szCs w:val="24"/>
          <w:lang w:val="en-US" w:eastAsia="zh-CN"/>
        </w:rPr>
        <w:t>并进行分级管理</w:t>
      </w:r>
      <w:r>
        <w:rPr>
          <w:rFonts w:hint="eastAsia" w:ascii="仿宋" w:hAnsi="仿宋" w:eastAsia="仿宋" w:cs="仿宋"/>
          <w:sz w:val="24"/>
          <w:szCs w:val="24"/>
        </w:rPr>
        <w:t>。</w:t>
      </w:r>
      <w:r>
        <w:rPr>
          <w:rFonts w:hint="eastAsia" w:ascii="仿宋" w:hAnsi="仿宋" w:eastAsia="仿宋" w:cs="仿宋"/>
          <w:sz w:val="24"/>
          <w:szCs w:val="24"/>
          <w:lang w:val="en-US" w:eastAsia="zh-CN"/>
        </w:rPr>
        <w:t>4、实现手术麻精药品药柜使用率100%，并配合医院完成各类相关检查，规则制度的执行和调整。</w:t>
      </w:r>
    </w:p>
    <w:p w14:paraId="5604A414">
      <w:pPr>
        <w:pStyle w:val="12"/>
        <w:numPr>
          <w:ilvl w:val="0"/>
          <w:numId w:val="2"/>
        </w:numPr>
        <w:ind w:left="640" w:leftChars="0" w:hanging="420" w:firstLineChars="0"/>
        <w:rPr>
          <w:rStyle w:val="22"/>
          <w:rFonts w:hint="eastAsia" w:ascii="仿宋" w:hAnsi="仿宋" w:eastAsia="仿宋" w:cs="仿宋"/>
          <w:b/>
          <w:bCs/>
          <w:sz w:val="24"/>
          <w:szCs w:val="24"/>
          <w:lang w:val="en-US" w:eastAsia="zh-CN"/>
        </w:rPr>
      </w:pPr>
      <w:r>
        <w:rPr>
          <w:rStyle w:val="22"/>
          <w:rFonts w:hint="eastAsia" w:ascii="仿宋" w:hAnsi="仿宋" w:eastAsia="仿宋" w:cs="仿宋"/>
          <w:b/>
          <w:bCs/>
          <w:sz w:val="24"/>
          <w:szCs w:val="24"/>
          <w:lang w:val="en-US" w:eastAsia="zh-CN"/>
        </w:rPr>
        <w:t>服务要求和考核标准</w:t>
      </w:r>
    </w:p>
    <w:p w14:paraId="76502314">
      <w:pPr>
        <w:keepNext w:val="0"/>
        <w:keepLines w:val="0"/>
        <w:widowControl/>
        <w:suppressLineNumbers w:val="0"/>
        <w:ind w:left="0" w:leftChars="0" w:firstLine="482" w:firstLineChars="200"/>
        <w:jc w:val="left"/>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1. 服务要求: </w:t>
      </w:r>
    </w:p>
    <w:p w14:paraId="2939B2F4">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 提供壹年维保服务，包括系统维护、升级、客户化需求、配件更换、人员交通、差旅服务等费用包含在报价中。 </w:t>
      </w:r>
    </w:p>
    <w:p w14:paraId="540397FD">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sz w:val="24"/>
          <w:szCs w:val="24"/>
          <w:lang w:val="en-US"/>
        </w:rPr>
      </w:pPr>
      <w:r>
        <w:rPr>
          <w:rFonts w:hint="eastAsia" w:ascii="仿宋" w:hAnsi="仿宋" w:eastAsia="仿宋" w:cs="仿宋"/>
          <w:color w:val="000000"/>
          <w:kern w:val="0"/>
          <w:sz w:val="24"/>
          <w:szCs w:val="24"/>
          <w:lang w:val="en-US" w:eastAsia="zh-CN" w:bidi="ar"/>
        </w:rPr>
        <w:t>2)提供 5*8H人员（1人）驻场服务，7*24h远程和电话技术支持服务，保障软硬件正常运行。</w:t>
      </w:r>
    </w:p>
    <w:p w14:paraId="1CE2B01B">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3) 硬件设备运维：设备发生故障时，自报障时起算，15分钟内现场响应，若现场工作人员无法解决</w:t>
      </w:r>
      <w:r>
        <w:rPr>
          <w:rFonts w:hint="eastAsia" w:ascii="仿宋" w:hAnsi="仿宋" w:eastAsia="仿宋" w:cs="仿宋"/>
          <w:color w:val="E54C5E" w:themeColor="accent6"/>
          <w:kern w:val="0"/>
          <w:sz w:val="24"/>
          <w:szCs w:val="24"/>
          <w:lang w:val="en-US" w:eastAsia="zh-CN" w:bidi="ar"/>
          <w14:textFill>
            <w14:solidFill>
              <w14:schemeClr w14:val="accent6"/>
            </w14:solidFill>
          </w14:textFill>
        </w:rPr>
        <w:t>，应及时安排人员 4 小时内赶到现场解决故障。一般设备故障更换配件需在当日完成维修，重大维修需求经院方确认后在5个工作日内完成。设备无法正常运转超过2个工作日，需提供备机替代，保障手术室工作正常进行。特别说明：衣物RFID标签无法正常识别，需在发现后2个工作日内更换。</w:t>
      </w:r>
      <w:r>
        <w:rPr>
          <w:rFonts w:hint="eastAsia" w:ascii="仿宋" w:hAnsi="仿宋" w:eastAsia="仿宋" w:cs="仿宋"/>
          <w:color w:val="000000"/>
          <w:kern w:val="0"/>
          <w:sz w:val="24"/>
          <w:szCs w:val="24"/>
          <w:lang w:val="en-US" w:eastAsia="zh-CN" w:bidi="ar"/>
        </w:rPr>
        <w:t xml:space="preserve"> </w:t>
      </w:r>
    </w:p>
    <w:p w14:paraId="076116CB">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4) 软件系统运维：根据医院需求，进行提供系统升级改造服务。</w:t>
      </w:r>
      <w:r>
        <w:rPr>
          <w:rFonts w:hint="eastAsia" w:ascii="仿宋" w:hAnsi="仿宋" w:eastAsia="仿宋" w:cs="仿宋"/>
          <w:color w:val="E54C5E" w:themeColor="accent6"/>
          <w:kern w:val="0"/>
          <w:sz w:val="24"/>
          <w:szCs w:val="24"/>
          <w:lang w:val="en-US" w:eastAsia="zh-CN" w:bidi="ar"/>
          <w14:textFill>
            <w14:solidFill>
              <w14:schemeClr w14:val="accent6"/>
            </w14:solidFill>
          </w14:textFill>
        </w:rPr>
        <w:t>一般需求完成时间少于5个工作日，重大需求经院方确认后需在15个工作日内完成。</w:t>
      </w:r>
      <w:r>
        <w:rPr>
          <w:rFonts w:hint="eastAsia" w:ascii="仿宋" w:hAnsi="仿宋" w:eastAsia="仿宋" w:cs="仿宋"/>
          <w:color w:val="000000"/>
          <w:kern w:val="0"/>
          <w:sz w:val="24"/>
          <w:szCs w:val="24"/>
          <w:lang w:val="en-US" w:eastAsia="zh-CN" w:bidi="ar"/>
        </w:rPr>
        <w:t xml:space="preserve"> </w:t>
      </w:r>
    </w:p>
    <w:p w14:paraId="7614C4B4">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5) 培训：提供现场技术培训服务，相关培训费用包含在响应报价中培训内容与课程要求：对系统的使用、操作、维护进行培训，并提供安装使用维护说明书，以确保采购人能够对系统有足够的了解和熟悉，能够独立进行系统的日常维护和管理。 </w:t>
      </w:r>
    </w:p>
    <w:p w14:paraId="1DC2CACF">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6) 稳定运行保障：保证系统及其功能的完整性及正确性，能承受不断增加的业务和数据压力，保证系统运行的高效、稳定。系统错误修复：系统在使用过程中发现的错误，在第一时间完成修复。系统数据修复：系统使用过程中，因采购人失误操作等原因导致数据错误的，查明原因后进行数据修复。 </w:t>
      </w:r>
    </w:p>
    <w:p w14:paraId="542EFF70">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7）配合医院完成与本项目相关政策调整、检查等任务。</w:t>
      </w:r>
    </w:p>
    <w:p w14:paraId="43A26B33">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 提交运维月报和年报，内容包括设备使用情况分析、故障分析、故障处理日志等，配合完成临时性和本项目相关的统计和分析，并按要求出具其相应报告。</w:t>
      </w:r>
    </w:p>
    <w:p w14:paraId="19C41DCA">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w:t>
      </w:r>
      <w:r>
        <w:rPr>
          <w:rFonts w:hint="default" w:ascii="仿宋" w:hAnsi="仿宋" w:eastAsia="仿宋" w:cs="仿宋"/>
          <w:color w:val="000000"/>
          <w:kern w:val="0"/>
          <w:sz w:val="24"/>
          <w:szCs w:val="24"/>
          <w:lang w:val="en-US" w:eastAsia="zh-CN" w:bidi="ar"/>
        </w:rPr>
        <w:t>备品备件库：针对本项目提供完备的备件保障，一旦发生设备或部件故障，</w:t>
      </w:r>
      <w:r>
        <w:rPr>
          <w:rFonts w:hint="eastAsia" w:ascii="仿宋" w:hAnsi="仿宋" w:eastAsia="仿宋" w:cs="仿宋"/>
          <w:color w:val="000000"/>
          <w:kern w:val="0"/>
          <w:sz w:val="24"/>
          <w:szCs w:val="24"/>
          <w:lang w:val="en-US" w:eastAsia="zh-CN" w:bidi="ar"/>
        </w:rPr>
        <w:t>2小时内</w:t>
      </w:r>
      <w:r>
        <w:rPr>
          <w:rFonts w:hint="default" w:ascii="仿宋" w:hAnsi="仿宋" w:eastAsia="仿宋" w:cs="仿宋"/>
          <w:color w:val="000000"/>
          <w:kern w:val="0"/>
          <w:sz w:val="24"/>
          <w:szCs w:val="24"/>
          <w:lang w:val="en-US" w:eastAsia="zh-CN" w:bidi="ar"/>
        </w:rPr>
        <w:t>提供备件更换</w:t>
      </w:r>
      <w:r>
        <w:rPr>
          <w:rFonts w:hint="eastAsia" w:ascii="仿宋" w:hAnsi="仿宋" w:eastAsia="仿宋" w:cs="仿宋"/>
          <w:color w:val="000000"/>
          <w:kern w:val="0"/>
          <w:sz w:val="24"/>
          <w:szCs w:val="24"/>
          <w:lang w:val="en-US" w:eastAsia="zh-CN" w:bidi="ar"/>
        </w:rPr>
        <w:t>，</w:t>
      </w:r>
      <w:r>
        <w:rPr>
          <w:rFonts w:hint="default" w:ascii="仿宋" w:hAnsi="仿宋" w:eastAsia="仿宋" w:cs="仿宋"/>
          <w:color w:val="000000"/>
          <w:kern w:val="0"/>
          <w:sz w:val="24"/>
          <w:szCs w:val="24"/>
          <w:lang w:val="en-US" w:eastAsia="zh-CN" w:bidi="ar"/>
        </w:rPr>
        <w:t>并提供</w:t>
      </w:r>
      <w:r>
        <w:rPr>
          <w:rFonts w:hint="eastAsia" w:ascii="仿宋" w:hAnsi="仿宋" w:eastAsia="仿宋" w:cs="仿宋"/>
          <w:color w:val="000000"/>
          <w:kern w:val="0"/>
          <w:sz w:val="24"/>
          <w:szCs w:val="24"/>
          <w:lang w:val="en-US" w:eastAsia="zh-CN" w:bidi="ar"/>
        </w:rPr>
        <w:t>常规备件更换</w:t>
      </w:r>
      <w:r>
        <w:rPr>
          <w:rFonts w:hint="default" w:ascii="仿宋" w:hAnsi="仿宋" w:eastAsia="仿宋" w:cs="仿宋"/>
          <w:color w:val="000000"/>
          <w:kern w:val="0"/>
          <w:sz w:val="24"/>
          <w:szCs w:val="24"/>
          <w:lang w:val="en-US" w:eastAsia="zh-CN" w:bidi="ar"/>
        </w:rPr>
        <w:t>培训</w:t>
      </w:r>
      <w:r>
        <w:rPr>
          <w:rFonts w:hint="eastAsia" w:ascii="仿宋" w:hAnsi="仿宋" w:eastAsia="仿宋" w:cs="仿宋"/>
          <w:color w:val="000000"/>
          <w:kern w:val="0"/>
          <w:sz w:val="24"/>
          <w:szCs w:val="24"/>
          <w:lang w:val="en-US" w:eastAsia="zh-CN" w:bidi="ar"/>
        </w:rPr>
        <w:t>。</w:t>
      </w:r>
    </w:p>
    <w:p w14:paraId="755AE714">
      <w:pPr>
        <w:keepNext w:val="0"/>
        <w:keepLines w:val="0"/>
        <w:pageBreakBefore w:val="0"/>
        <w:widowControl/>
        <w:suppressLineNumbers w:val="0"/>
        <w:kinsoku/>
        <w:wordWrap/>
        <w:overflowPunct/>
        <w:topLinePunct w:val="0"/>
        <w:autoSpaceDE/>
        <w:autoSpaceDN/>
        <w:bidi w:val="0"/>
        <w:adjustRightInd/>
        <w:snapToGrid/>
        <w:spacing w:before="0"/>
        <w:ind w:left="0" w:leftChars="0" w:firstLine="241" w:firstLineChars="100"/>
        <w:jc w:val="lef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2. 质量保证要求:</w:t>
      </w:r>
    </w:p>
    <w:p w14:paraId="3C35F851">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1）保障运维期间每套终端设备运行稳定，不因为运维工作不规范、不及时、不到位或者工作失误导致系统长时间停机或不可用，或导致系统数据、应用数据和配置信息丢失，设备无故障运行率不低于98%。</w:t>
      </w:r>
    </w:p>
    <w:p w14:paraId="3D1A4687">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2）保障运维期间终端设备运行安全，不因为运维工作不规范、不及时、不到位或者工作失误，造成严重负面影响。</w:t>
      </w:r>
    </w:p>
    <w:p w14:paraId="28F734B5">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3）不因运维工作不规范、不及时、不到位或工作失误以及工作态度问题导致紧急事件或高优先级事件处理及时率、用户服务满意度低于95%。</w:t>
      </w:r>
    </w:p>
    <w:p w14:paraId="040953EB">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4）严格遵循医院信息中心运维管理相关规定开展工作，杜绝运维工作违规事件，包括：遵守运维服务时限和服务周期规定，遵循运维流程规定，及时填写各种运维表单和记录，及时提交相关运维资料，按时参加各种运维工作会议。 </w:t>
      </w:r>
    </w:p>
    <w:p w14:paraId="0B85679D">
      <w:pPr>
        <w:keepNext w:val="0"/>
        <w:keepLines w:val="0"/>
        <w:pageBreakBefore w:val="0"/>
        <w:widowControl/>
        <w:suppressLineNumbers w:val="0"/>
        <w:kinsoku/>
        <w:wordWrap/>
        <w:overflowPunct/>
        <w:topLinePunct w:val="0"/>
        <w:autoSpaceDE/>
        <w:autoSpaceDN/>
        <w:bidi w:val="0"/>
        <w:adjustRightInd/>
        <w:snapToGrid/>
        <w:spacing w:before="0"/>
        <w:ind w:left="420" w:leftChars="200" w:firstLine="420" w:firstLineChars="200"/>
        <w:jc w:val="left"/>
        <w:textAlignment w:val="auto"/>
        <w:rPr>
          <w:rFonts w:hint="eastAsia" w:ascii="仿宋" w:hAnsi="仿宋" w:eastAsia="仿宋" w:cs="仿宋"/>
          <w:color w:val="000000"/>
          <w:kern w:val="0"/>
          <w:sz w:val="21"/>
          <w:szCs w:val="21"/>
          <w:lang w:val="en-US" w:eastAsia="zh-CN" w:bidi="ar"/>
        </w:rPr>
      </w:pPr>
    </w:p>
    <w:p w14:paraId="21B6CC38">
      <w:pPr>
        <w:keepNext w:val="0"/>
        <w:keepLines w:val="0"/>
        <w:pageBreakBefore w:val="0"/>
        <w:widowControl/>
        <w:suppressLineNumbers w:val="0"/>
        <w:kinsoku/>
        <w:wordWrap/>
        <w:overflowPunct/>
        <w:topLinePunct w:val="0"/>
        <w:autoSpaceDE/>
        <w:autoSpaceDN/>
        <w:bidi w:val="0"/>
        <w:adjustRightInd/>
        <w:snapToGrid/>
        <w:spacing w:before="0"/>
        <w:ind w:left="0" w:leftChars="0" w:firstLine="241" w:firstLineChars="100"/>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3.项目交付要求： </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277"/>
        <w:gridCol w:w="3253"/>
        <w:gridCol w:w="3284"/>
      </w:tblGrid>
      <w:tr w14:paraId="63B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Borders>
              <w:top w:val="single" w:color="auto" w:sz="4" w:space="0"/>
              <w:left w:val="single" w:color="auto" w:sz="4" w:space="0"/>
              <w:bottom w:val="single" w:color="auto" w:sz="4" w:space="0"/>
              <w:right w:val="single" w:color="auto" w:sz="4" w:space="0"/>
            </w:tcBorders>
          </w:tcPr>
          <w:p w14:paraId="3F23C1F9">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序号</w:t>
            </w:r>
          </w:p>
        </w:tc>
        <w:tc>
          <w:tcPr>
            <w:tcW w:w="749" w:type="pct"/>
            <w:tcBorders>
              <w:top w:val="single" w:color="auto" w:sz="4" w:space="0"/>
              <w:left w:val="single" w:color="auto" w:sz="4" w:space="0"/>
              <w:bottom w:val="single" w:color="auto" w:sz="4" w:space="0"/>
              <w:right w:val="single" w:color="auto" w:sz="4" w:space="0"/>
            </w:tcBorders>
          </w:tcPr>
          <w:p w14:paraId="6EE19662">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服务项</w:t>
            </w:r>
          </w:p>
        </w:tc>
        <w:tc>
          <w:tcPr>
            <w:tcW w:w="1908" w:type="pct"/>
            <w:tcBorders>
              <w:top w:val="single" w:color="auto" w:sz="4" w:space="0"/>
              <w:left w:val="single" w:color="auto" w:sz="4" w:space="0"/>
              <w:bottom w:val="single" w:color="auto" w:sz="4" w:space="0"/>
              <w:right w:val="single" w:color="auto" w:sz="4" w:space="0"/>
            </w:tcBorders>
          </w:tcPr>
          <w:p w14:paraId="1334C0A6">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交付物</w:t>
            </w:r>
          </w:p>
        </w:tc>
        <w:tc>
          <w:tcPr>
            <w:tcW w:w="1926" w:type="pct"/>
            <w:tcBorders>
              <w:top w:val="single" w:color="auto" w:sz="4" w:space="0"/>
              <w:left w:val="single" w:color="auto" w:sz="4" w:space="0"/>
              <w:bottom w:val="single" w:color="auto" w:sz="4" w:space="0"/>
              <w:right w:val="single" w:color="auto" w:sz="4" w:space="0"/>
            </w:tcBorders>
          </w:tcPr>
          <w:p w14:paraId="12A25CCB">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交付时间</w:t>
            </w:r>
          </w:p>
        </w:tc>
      </w:tr>
      <w:tr w14:paraId="5543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15" w:type="pct"/>
            <w:tcBorders>
              <w:top w:val="single" w:color="auto" w:sz="4" w:space="0"/>
              <w:left w:val="single" w:color="auto" w:sz="4" w:space="0"/>
              <w:bottom w:val="single" w:color="auto" w:sz="4" w:space="0"/>
              <w:right w:val="single" w:color="auto" w:sz="4" w:space="0"/>
            </w:tcBorders>
            <w:vAlign w:val="center"/>
          </w:tcPr>
          <w:p w14:paraId="12C07F20">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1</w:t>
            </w:r>
          </w:p>
        </w:tc>
        <w:tc>
          <w:tcPr>
            <w:tcW w:w="749" w:type="pct"/>
            <w:tcBorders>
              <w:top w:val="single" w:color="auto" w:sz="4" w:space="0"/>
              <w:left w:val="single" w:color="auto" w:sz="4" w:space="0"/>
              <w:bottom w:val="single" w:color="auto" w:sz="4" w:space="0"/>
              <w:right w:val="single" w:color="auto" w:sz="4" w:space="0"/>
            </w:tcBorders>
            <w:vAlign w:val="center"/>
          </w:tcPr>
          <w:p w14:paraId="5BCFE83D">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系统巡检</w:t>
            </w:r>
          </w:p>
        </w:tc>
        <w:tc>
          <w:tcPr>
            <w:tcW w:w="1908" w:type="pct"/>
            <w:tcBorders>
              <w:top w:val="single" w:color="auto" w:sz="4" w:space="0"/>
              <w:left w:val="single" w:color="auto" w:sz="4" w:space="0"/>
              <w:right w:val="single" w:color="auto" w:sz="4" w:space="0"/>
            </w:tcBorders>
            <w:vAlign w:val="center"/>
          </w:tcPr>
          <w:p w14:paraId="63BED49C">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至少每月一次，提交巡检报告</w:t>
            </w:r>
          </w:p>
        </w:tc>
        <w:tc>
          <w:tcPr>
            <w:tcW w:w="1926" w:type="pct"/>
            <w:tcBorders>
              <w:top w:val="single" w:color="auto" w:sz="4" w:space="0"/>
              <w:left w:val="single" w:color="auto" w:sz="4" w:space="0"/>
              <w:bottom w:val="single" w:color="auto" w:sz="4" w:space="0"/>
              <w:right w:val="single" w:color="auto" w:sz="4" w:space="0"/>
            </w:tcBorders>
            <w:vAlign w:val="center"/>
          </w:tcPr>
          <w:p w14:paraId="6D97222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巡检结束后5个工作日</w:t>
            </w:r>
          </w:p>
        </w:tc>
      </w:tr>
      <w:tr w14:paraId="0BF0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Borders>
              <w:top w:val="single" w:color="auto" w:sz="4" w:space="0"/>
              <w:left w:val="single" w:color="auto" w:sz="4" w:space="0"/>
              <w:bottom w:val="single" w:color="auto" w:sz="4" w:space="0"/>
              <w:right w:val="single" w:color="auto" w:sz="4" w:space="0"/>
            </w:tcBorders>
            <w:vAlign w:val="center"/>
          </w:tcPr>
          <w:p w14:paraId="3C1A1574">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2</w:t>
            </w:r>
          </w:p>
        </w:tc>
        <w:tc>
          <w:tcPr>
            <w:tcW w:w="749" w:type="pct"/>
            <w:tcBorders>
              <w:top w:val="single" w:color="auto" w:sz="4" w:space="0"/>
              <w:left w:val="single" w:color="auto" w:sz="4" w:space="0"/>
              <w:bottom w:val="single" w:color="auto" w:sz="4" w:space="0"/>
              <w:right w:val="single" w:color="auto" w:sz="4" w:space="0"/>
            </w:tcBorders>
            <w:vAlign w:val="center"/>
          </w:tcPr>
          <w:p w14:paraId="40479E6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培训</w:t>
            </w:r>
          </w:p>
        </w:tc>
        <w:tc>
          <w:tcPr>
            <w:tcW w:w="1908" w:type="pct"/>
            <w:tcBorders>
              <w:top w:val="single" w:color="auto" w:sz="4" w:space="0"/>
              <w:left w:val="single" w:color="auto" w:sz="4" w:space="0"/>
              <w:bottom w:val="single" w:color="auto" w:sz="4" w:space="0"/>
              <w:right w:val="single" w:color="auto" w:sz="4" w:space="0"/>
            </w:tcBorders>
            <w:vAlign w:val="center"/>
          </w:tcPr>
          <w:p w14:paraId="45709177">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培训记录</w:t>
            </w:r>
          </w:p>
        </w:tc>
        <w:tc>
          <w:tcPr>
            <w:tcW w:w="1926" w:type="pct"/>
            <w:tcBorders>
              <w:top w:val="single" w:color="auto" w:sz="4" w:space="0"/>
              <w:left w:val="single" w:color="auto" w:sz="4" w:space="0"/>
              <w:bottom w:val="single" w:color="auto" w:sz="4" w:space="0"/>
              <w:right w:val="single" w:color="auto" w:sz="4" w:space="0"/>
            </w:tcBorders>
            <w:vAlign w:val="center"/>
          </w:tcPr>
          <w:p w14:paraId="0596FDC6">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按需</w:t>
            </w:r>
          </w:p>
        </w:tc>
      </w:tr>
      <w:tr w14:paraId="2D71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Borders>
              <w:top w:val="single" w:color="auto" w:sz="4" w:space="0"/>
              <w:left w:val="single" w:color="auto" w:sz="4" w:space="0"/>
              <w:bottom w:val="single" w:color="auto" w:sz="4" w:space="0"/>
              <w:right w:val="single" w:color="auto" w:sz="4" w:space="0"/>
            </w:tcBorders>
            <w:vAlign w:val="center"/>
          </w:tcPr>
          <w:p w14:paraId="69BD647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3</w:t>
            </w:r>
          </w:p>
        </w:tc>
        <w:tc>
          <w:tcPr>
            <w:tcW w:w="749" w:type="pct"/>
            <w:tcBorders>
              <w:top w:val="single" w:color="auto" w:sz="4" w:space="0"/>
              <w:left w:val="single" w:color="auto" w:sz="4" w:space="0"/>
              <w:bottom w:val="single" w:color="auto" w:sz="4" w:space="0"/>
              <w:right w:val="single" w:color="auto" w:sz="4" w:space="0"/>
            </w:tcBorders>
            <w:vAlign w:val="center"/>
          </w:tcPr>
          <w:p w14:paraId="0D8F56F5">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事件处理</w:t>
            </w:r>
          </w:p>
        </w:tc>
        <w:tc>
          <w:tcPr>
            <w:tcW w:w="1908" w:type="pct"/>
            <w:tcBorders>
              <w:top w:val="single" w:color="auto" w:sz="4" w:space="0"/>
              <w:left w:val="single" w:color="auto" w:sz="4" w:space="0"/>
              <w:bottom w:val="single" w:color="auto" w:sz="4" w:space="0"/>
              <w:right w:val="single" w:color="auto" w:sz="4" w:space="0"/>
            </w:tcBorders>
            <w:vAlign w:val="center"/>
          </w:tcPr>
          <w:p w14:paraId="27762D75">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重大事件处理报告或记录</w:t>
            </w:r>
          </w:p>
        </w:tc>
        <w:tc>
          <w:tcPr>
            <w:tcW w:w="1926" w:type="pct"/>
            <w:tcBorders>
              <w:top w:val="single" w:color="auto" w:sz="4" w:space="0"/>
              <w:left w:val="single" w:color="auto" w:sz="4" w:space="0"/>
              <w:bottom w:val="single" w:color="auto" w:sz="4" w:space="0"/>
              <w:right w:val="single" w:color="auto" w:sz="4" w:space="0"/>
            </w:tcBorders>
            <w:vAlign w:val="center"/>
          </w:tcPr>
          <w:p w14:paraId="6925990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事件处理完成后3个工作日</w:t>
            </w:r>
          </w:p>
        </w:tc>
      </w:tr>
      <w:tr w14:paraId="6D5A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Borders>
              <w:top w:val="single" w:color="auto" w:sz="4" w:space="0"/>
              <w:left w:val="single" w:color="auto" w:sz="4" w:space="0"/>
              <w:bottom w:val="single" w:color="auto" w:sz="4" w:space="0"/>
              <w:right w:val="single" w:color="auto" w:sz="4" w:space="0"/>
            </w:tcBorders>
            <w:vAlign w:val="center"/>
          </w:tcPr>
          <w:p w14:paraId="1AFB09CB">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4</w:t>
            </w:r>
          </w:p>
        </w:tc>
        <w:tc>
          <w:tcPr>
            <w:tcW w:w="749" w:type="pct"/>
            <w:tcBorders>
              <w:top w:val="single" w:color="auto" w:sz="4" w:space="0"/>
              <w:left w:val="single" w:color="auto" w:sz="4" w:space="0"/>
              <w:bottom w:val="single" w:color="auto" w:sz="4" w:space="0"/>
              <w:right w:val="single" w:color="auto" w:sz="4" w:space="0"/>
            </w:tcBorders>
            <w:vAlign w:val="center"/>
          </w:tcPr>
          <w:p w14:paraId="3913D216">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配件变更</w:t>
            </w:r>
          </w:p>
        </w:tc>
        <w:tc>
          <w:tcPr>
            <w:tcW w:w="1908" w:type="pct"/>
            <w:tcBorders>
              <w:top w:val="single" w:color="auto" w:sz="4" w:space="0"/>
              <w:left w:val="single" w:color="auto" w:sz="4" w:space="0"/>
              <w:bottom w:val="single" w:color="auto" w:sz="4" w:space="0"/>
              <w:right w:val="single" w:color="auto" w:sz="4" w:space="0"/>
            </w:tcBorders>
            <w:vAlign w:val="center"/>
          </w:tcPr>
          <w:p w14:paraId="716A30F7">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维修配件变更记录</w:t>
            </w:r>
          </w:p>
        </w:tc>
        <w:tc>
          <w:tcPr>
            <w:tcW w:w="1926" w:type="pct"/>
            <w:tcBorders>
              <w:top w:val="single" w:color="auto" w:sz="4" w:space="0"/>
              <w:left w:val="single" w:color="auto" w:sz="4" w:space="0"/>
              <w:bottom w:val="single" w:color="auto" w:sz="4" w:space="0"/>
              <w:right w:val="single" w:color="auto" w:sz="4" w:space="0"/>
            </w:tcBorders>
            <w:vAlign w:val="center"/>
          </w:tcPr>
          <w:p w14:paraId="5126CBBC">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配置变更完成后3个工作日</w:t>
            </w:r>
          </w:p>
        </w:tc>
      </w:tr>
      <w:tr w14:paraId="68F3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Borders>
              <w:top w:val="single" w:color="auto" w:sz="4" w:space="0"/>
              <w:left w:val="single" w:color="auto" w:sz="4" w:space="0"/>
              <w:bottom w:val="single" w:color="auto" w:sz="4" w:space="0"/>
              <w:right w:val="single" w:color="auto" w:sz="4" w:space="0"/>
            </w:tcBorders>
            <w:vAlign w:val="center"/>
          </w:tcPr>
          <w:p w14:paraId="55C24692">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5</w:t>
            </w:r>
          </w:p>
        </w:tc>
        <w:tc>
          <w:tcPr>
            <w:tcW w:w="749" w:type="pct"/>
            <w:tcBorders>
              <w:top w:val="single" w:color="auto" w:sz="4" w:space="0"/>
              <w:left w:val="single" w:color="auto" w:sz="4" w:space="0"/>
              <w:bottom w:val="single" w:color="auto" w:sz="4" w:space="0"/>
              <w:right w:val="single" w:color="auto" w:sz="4" w:space="0"/>
            </w:tcBorders>
            <w:vAlign w:val="center"/>
          </w:tcPr>
          <w:p w14:paraId="5005AE34">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配合工作</w:t>
            </w:r>
          </w:p>
        </w:tc>
        <w:tc>
          <w:tcPr>
            <w:tcW w:w="1908" w:type="pct"/>
            <w:tcBorders>
              <w:top w:val="single" w:color="auto" w:sz="4" w:space="0"/>
              <w:left w:val="single" w:color="auto" w:sz="4" w:space="0"/>
              <w:bottom w:val="single" w:color="auto" w:sz="4" w:space="0"/>
              <w:right w:val="single" w:color="auto" w:sz="4" w:space="0"/>
            </w:tcBorders>
            <w:vAlign w:val="center"/>
          </w:tcPr>
          <w:p w14:paraId="2A262A9F">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按医院实际要求</w:t>
            </w:r>
          </w:p>
        </w:tc>
        <w:tc>
          <w:tcPr>
            <w:tcW w:w="1926" w:type="pct"/>
            <w:tcBorders>
              <w:top w:val="single" w:color="auto" w:sz="4" w:space="0"/>
              <w:left w:val="single" w:color="auto" w:sz="4" w:space="0"/>
              <w:bottom w:val="single" w:color="auto" w:sz="4" w:space="0"/>
              <w:right w:val="single" w:color="auto" w:sz="4" w:space="0"/>
            </w:tcBorders>
            <w:vAlign w:val="center"/>
          </w:tcPr>
          <w:p w14:paraId="7C19E2FC">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按招标方实际要求</w:t>
            </w:r>
          </w:p>
        </w:tc>
      </w:tr>
      <w:tr w14:paraId="427C9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tcBorders>
              <w:top w:val="single" w:color="auto" w:sz="4" w:space="0"/>
              <w:left w:val="single" w:color="auto" w:sz="4" w:space="0"/>
              <w:bottom w:val="single" w:color="auto" w:sz="4" w:space="0"/>
              <w:right w:val="single" w:color="auto" w:sz="4" w:space="0"/>
            </w:tcBorders>
            <w:vAlign w:val="center"/>
          </w:tcPr>
          <w:p w14:paraId="50FFAC28">
            <w:pPr>
              <w:pStyle w:val="12"/>
              <w:numPr>
                <w:ilvl w:val="0"/>
                <w:numId w:val="0"/>
              </w:numPr>
              <w:rPr>
                <w:rStyle w:val="22"/>
                <w:rFonts w:hint="default"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6</w:t>
            </w:r>
          </w:p>
        </w:tc>
        <w:tc>
          <w:tcPr>
            <w:tcW w:w="749" w:type="pct"/>
            <w:tcBorders>
              <w:top w:val="single" w:color="auto" w:sz="4" w:space="0"/>
              <w:left w:val="single" w:color="auto" w:sz="4" w:space="0"/>
              <w:bottom w:val="single" w:color="auto" w:sz="4" w:space="0"/>
              <w:right w:val="single" w:color="auto" w:sz="4" w:space="0"/>
            </w:tcBorders>
            <w:vAlign w:val="center"/>
          </w:tcPr>
          <w:p w14:paraId="2457661B">
            <w:pPr>
              <w:pStyle w:val="12"/>
              <w:numPr>
                <w:ilvl w:val="0"/>
                <w:numId w:val="0"/>
              </w:numPr>
              <w:rPr>
                <w:rStyle w:val="22"/>
                <w:rFonts w:hint="default"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系统记录</w:t>
            </w:r>
          </w:p>
        </w:tc>
        <w:tc>
          <w:tcPr>
            <w:tcW w:w="1908" w:type="pct"/>
            <w:tcBorders>
              <w:top w:val="single" w:color="auto" w:sz="4" w:space="0"/>
              <w:left w:val="single" w:color="auto" w:sz="4" w:space="0"/>
              <w:bottom w:val="single" w:color="auto" w:sz="4" w:space="0"/>
              <w:right w:val="single" w:color="auto" w:sz="4" w:space="0"/>
            </w:tcBorders>
            <w:vAlign w:val="center"/>
          </w:tcPr>
          <w:p w14:paraId="45FDA411">
            <w:pPr>
              <w:pStyle w:val="12"/>
              <w:numPr>
                <w:ilvl w:val="0"/>
                <w:numId w:val="0"/>
              </w:numPr>
              <w:rPr>
                <w:rStyle w:val="22"/>
                <w:rFonts w:hint="default"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更新系统使用手册、配置文档、需求响应记录、版本更新记录等</w:t>
            </w:r>
          </w:p>
        </w:tc>
        <w:tc>
          <w:tcPr>
            <w:tcW w:w="1926" w:type="pct"/>
            <w:tcBorders>
              <w:top w:val="single" w:color="auto" w:sz="4" w:space="0"/>
              <w:left w:val="single" w:color="auto" w:sz="4" w:space="0"/>
              <w:bottom w:val="single" w:color="auto" w:sz="4" w:space="0"/>
              <w:right w:val="single" w:color="auto" w:sz="4" w:space="0"/>
            </w:tcBorders>
            <w:vAlign w:val="center"/>
          </w:tcPr>
          <w:p w14:paraId="643829D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事件完成后3个工作日</w:t>
            </w:r>
          </w:p>
        </w:tc>
      </w:tr>
      <w:tr w14:paraId="7802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415" w:type="pct"/>
            <w:tcBorders>
              <w:top w:val="single" w:color="auto" w:sz="4" w:space="0"/>
              <w:left w:val="single" w:color="auto" w:sz="4" w:space="0"/>
              <w:bottom w:val="single" w:color="auto" w:sz="4" w:space="0"/>
              <w:right w:val="single" w:color="auto" w:sz="4" w:space="0"/>
            </w:tcBorders>
            <w:vAlign w:val="center"/>
          </w:tcPr>
          <w:p w14:paraId="475CFC90">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7</w:t>
            </w:r>
          </w:p>
        </w:tc>
        <w:tc>
          <w:tcPr>
            <w:tcW w:w="749" w:type="pct"/>
            <w:tcBorders>
              <w:top w:val="single" w:color="auto" w:sz="4" w:space="0"/>
              <w:left w:val="single" w:color="auto" w:sz="4" w:space="0"/>
              <w:bottom w:val="single" w:color="auto" w:sz="4" w:space="0"/>
              <w:right w:val="single" w:color="auto" w:sz="4" w:space="0"/>
            </w:tcBorders>
            <w:vAlign w:val="center"/>
          </w:tcPr>
          <w:p w14:paraId="2725D8F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编制报表</w:t>
            </w:r>
          </w:p>
        </w:tc>
        <w:tc>
          <w:tcPr>
            <w:tcW w:w="1908" w:type="pct"/>
            <w:tcBorders>
              <w:top w:val="single" w:color="auto" w:sz="4" w:space="0"/>
              <w:left w:val="single" w:color="auto" w:sz="4" w:space="0"/>
              <w:bottom w:val="single" w:color="auto" w:sz="4" w:space="0"/>
              <w:right w:val="single" w:color="auto" w:sz="4" w:space="0"/>
            </w:tcBorders>
            <w:vAlign w:val="center"/>
          </w:tcPr>
          <w:p w14:paraId="495E6E4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按照医院服务要求，按时编制运维报表。</w:t>
            </w:r>
          </w:p>
        </w:tc>
        <w:tc>
          <w:tcPr>
            <w:tcW w:w="1926" w:type="pct"/>
            <w:tcBorders>
              <w:top w:val="single" w:color="auto" w:sz="4" w:space="0"/>
              <w:left w:val="single" w:color="auto" w:sz="4" w:space="0"/>
              <w:bottom w:val="single" w:color="auto" w:sz="4" w:space="0"/>
              <w:right w:val="single" w:color="auto" w:sz="4" w:space="0"/>
            </w:tcBorders>
            <w:vAlign w:val="center"/>
          </w:tcPr>
          <w:p w14:paraId="0E8E47F1">
            <w:pPr>
              <w:pStyle w:val="12"/>
              <w:numPr>
                <w:ilvl w:val="0"/>
                <w:numId w:val="0"/>
              </w:numPr>
              <w:rPr>
                <w:rStyle w:val="22"/>
                <w:rFonts w:hint="eastAsia" w:ascii="仿宋" w:hAnsi="仿宋" w:eastAsia="仿宋" w:cs="仿宋"/>
                <w:b w:val="0"/>
                <w:bCs w:val="0"/>
                <w:sz w:val="21"/>
                <w:szCs w:val="21"/>
                <w:lang w:val="en-US" w:eastAsia="zh-CN"/>
              </w:rPr>
            </w:pPr>
            <w:r>
              <w:rPr>
                <w:rStyle w:val="22"/>
                <w:rFonts w:hint="eastAsia" w:ascii="仿宋" w:hAnsi="仿宋" w:eastAsia="仿宋" w:cs="仿宋"/>
                <w:b w:val="0"/>
                <w:bCs w:val="0"/>
                <w:sz w:val="21"/>
                <w:szCs w:val="21"/>
                <w:lang w:val="en-US" w:eastAsia="zh-CN"/>
              </w:rPr>
              <w:t>月报、年报</w:t>
            </w:r>
          </w:p>
        </w:tc>
      </w:tr>
    </w:tbl>
    <w:p w14:paraId="11A319C3">
      <w:pPr>
        <w:keepNext w:val="0"/>
        <w:keepLines w:val="0"/>
        <w:pageBreakBefore w:val="0"/>
        <w:widowControl/>
        <w:numPr>
          <w:ilvl w:val="0"/>
          <w:numId w:val="3"/>
        </w:numPr>
        <w:suppressLineNumbers w:val="0"/>
        <w:kinsoku/>
        <w:wordWrap/>
        <w:overflowPunct/>
        <w:topLinePunct w:val="0"/>
        <w:autoSpaceDE/>
        <w:autoSpaceDN/>
        <w:bidi w:val="0"/>
        <w:adjustRightInd/>
        <w:snapToGrid/>
        <w:spacing w:before="0"/>
        <w:ind w:left="0" w:leftChars="0" w:firstLine="241" w:firstLineChars="100"/>
        <w:jc w:val="lef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 xml:space="preserve">付款方式和服务考核： </w:t>
      </w:r>
    </w:p>
    <w:p w14:paraId="54A8AB57">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ind w:left="-210" w:leftChars="0"/>
        <w:jc w:val="left"/>
        <w:textAlignment w:val="auto"/>
        <w:rPr>
          <w:rFonts w:hint="eastAsia" w:ascii="仿宋" w:hAnsi="仿宋" w:eastAsia="仿宋" w:cs="仿宋"/>
          <w:b/>
          <w:bCs/>
          <w:color w:val="000000"/>
          <w:kern w:val="0"/>
          <w:sz w:val="21"/>
          <w:szCs w:val="21"/>
          <w:lang w:val="en-US" w:eastAsia="zh-CN" w:bidi="ar"/>
        </w:rPr>
      </w:pPr>
      <w:r>
        <w:rPr>
          <w:rFonts w:hint="eastAsia" w:ascii="仿宋" w:hAnsi="仿宋" w:eastAsia="仿宋" w:cs="仿宋"/>
          <w:b/>
          <w:bCs/>
          <w:color w:val="000000"/>
          <w:kern w:val="0"/>
          <w:sz w:val="21"/>
          <w:szCs w:val="21"/>
          <w:lang w:val="en-US" w:eastAsia="zh-CN" w:bidi="ar"/>
        </w:rPr>
        <w:t>付款方式</w:t>
      </w:r>
    </w:p>
    <w:p w14:paraId="15BF2798">
      <w:pPr>
        <w:pStyle w:val="3"/>
        <w:keepNext w:val="0"/>
        <w:keepLines w:val="0"/>
        <w:numPr>
          <w:ilvl w:val="0"/>
          <w:numId w:val="5"/>
        </w:numPr>
        <w:tabs>
          <w:tab w:val="left" w:pos="425"/>
        </w:tabs>
        <w:adjustRightInd/>
        <w:spacing w:before="0" w:after="0" w:line="360" w:lineRule="auto"/>
        <w:ind w:leftChars="200"/>
        <w:jc w:val="both"/>
        <w:textAlignment w:val="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本项目服务期为</w:t>
      </w:r>
      <w:r>
        <w:rPr>
          <w:rFonts w:hint="eastAsia" w:ascii="仿宋" w:hAnsi="仿宋" w:eastAsia="仿宋" w:cs="仿宋"/>
          <w:b w:val="0"/>
          <w:bCs w:val="0"/>
          <w:color w:val="000000"/>
          <w:sz w:val="21"/>
          <w:szCs w:val="21"/>
          <w:highlight w:val="none"/>
          <w:lang w:val="en-US" w:eastAsia="zh-CN"/>
        </w:rPr>
        <w:t>12</w:t>
      </w:r>
      <w:r>
        <w:rPr>
          <w:rFonts w:hint="eastAsia" w:ascii="仿宋" w:hAnsi="仿宋" w:eastAsia="仿宋" w:cs="仿宋"/>
          <w:b w:val="0"/>
          <w:bCs w:val="0"/>
          <w:color w:val="000000"/>
          <w:sz w:val="21"/>
          <w:szCs w:val="21"/>
          <w:highlight w:val="none"/>
        </w:rPr>
        <w:t>个月，每</w:t>
      </w:r>
      <w:r>
        <w:rPr>
          <w:rFonts w:hint="eastAsia" w:ascii="仿宋" w:hAnsi="仿宋" w:eastAsia="仿宋" w:cs="仿宋"/>
          <w:b w:val="0"/>
          <w:bCs w:val="0"/>
          <w:color w:val="000000"/>
          <w:sz w:val="21"/>
          <w:szCs w:val="21"/>
          <w:highlight w:val="none"/>
          <w:lang w:val="en-US" w:eastAsia="zh-CN"/>
        </w:rPr>
        <w:t>6</w:t>
      </w:r>
      <w:r>
        <w:rPr>
          <w:rFonts w:hint="eastAsia" w:ascii="仿宋" w:hAnsi="仿宋" w:eastAsia="仿宋" w:cs="仿宋"/>
          <w:b w:val="0"/>
          <w:bCs w:val="0"/>
          <w:color w:val="000000"/>
          <w:sz w:val="21"/>
          <w:szCs w:val="21"/>
          <w:highlight w:val="none"/>
        </w:rPr>
        <w:t>个月为一期，每期服务费为合同金额的</w:t>
      </w:r>
      <w:r>
        <w:rPr>
          <w:rFonts w:hint="eastAsia" w:ascii="仿宋" w:hAnsi="仿宋" w:eastAsia="仿宋" w:cs="仿宋"/>
          <w:b w:val="0"/>
          <w:color w:val="000000"/>
          <w:sz w:val="21"/>
          <w:szCs w:val="21"/>
          <w:highlight w:val="none"/>
          <w:u w:val="single"/>
          <w:lang w:val="en-US" w:eastAsia="zh-CN"/>
        </w:rPr>
        <w:t xml:space="preserve">  50  </w:t>
      </w:r>
      <w:r>
        <w:rPr>
          <w:rFonts w:hint="eastAsia" w:ascii="仿宋" w:hAnsi="仿宋" w:eastAsia="仿宋" w:cs="仿宋"/>
          <w:b w:val="0"/>
          <w:bCs w:val="0"/>
          <w:color w:val="000000"/>
          <w:sz w:val="21"/>
          <w:szCs w:val="21"/>
          <w:highlight w:val="none"/>
        </w:rPr>
        <w:t>%，采用先服务后结算的方式。</w:t>
      </w:r>
    </w:p>
    <w:p w14:paraId="5862EA50">
      <w:pPr>
        <w:numPr>
          <w:ilvl w:val="0"/>
          <w:numId w:val="5"/>
        </w:numPr>
        <w:spacing w:line="360" w:lineRule="auto"/>
        <w:ind w:left="420" w:leftChars="200"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每期（</w:t>
      </w:r>
      <w:r>
        <w:rPr>
          <w:rFonts w:hint="eastAsia" w:ascii="仿宋" w:hAnsi="仿宋" w:eastAsia="仿宋" w:cs="仿宋"/>
          <w:color w:val="000000"/>
          <w:sz w:val="21"/>
          <w:szCs w:val="21"/>
          <w:lang w:val="en-US" w:eastAsia="zh-CN"/>
        </w:rPr>
        <w:t>6</w:t>
      </w:r>
      <w:r>
        <w:rPr>
          <w:rFonts w:hint="eastAsia" w:ascii="仿宋" w:hAnsi="仿宋" w:eastAsia="仿宋" w:cs="仿宋"/>
          <w:color w:val="000000"/>
          <w:sz w:val="21"/>
          <w:szCs w:val="21"/>
        </w:rPr>
        <w:t>个月）服务期结束后15天内，甲方对乙方本期服务进行考核，并出具服务考核评分报告，甲方根据考核报告支付比例</w:t>
      </w:r>
      <w:r>
        <w:rPr>
          <w:rFonts w:hint="eastAsia" w:ascii="仿宋" w:hAnsi="仿宋" w:eastAsia="仿宋" w:cs="仿宋"/>
          <w:b/>
          <w:bCs/>
          <w:color w:val="000000"/>
          <w:sz w:val="21"/>
          <w:szCs w:val="21"/>
        </w:rPr>
        <w:t>（</w:t>
      </w:r>
      <w:r>
        <w:rPr>
          <w:rFonts w:hint="eastAsia" w:ascii="仿宋" w:hAnsi="仿宋" w:eastAsia="仿宋" w:cs="仿宋"/>
          <w:color w:val="000000"/>
          <w:sz w:val="21"/>
          <w:szCs w:val="21"/>
        </w:rPr>
        <w:t>服务考核支付服务费比例说明）15天内进行结算。</w:t>
      </w:r>
    </w:p>
    <w:p w14:paraId="4B6D6FEE">
      <w:pPr>
        <w:numPr>
          <w:ilvl w:val="0"/>
          <w:numId w:val="0"/>
        </w:numPr>
        <w:spacing w:line="360" w:lineRule="auto"/>
        <w:ind w:leftChars="200"/>
        <w:rPr>
          <w:rFonts w:hint="eastAsia" w:ascii="仿宋" w:hAnsi="仿宋" w:eastAsia="仿宋" w:cs="仿宋"/>
          <w:bCs/>
          <w:sz w:val="21"/>
          <w:szCs w:val="21"/>
        </w:rPr>
      </w:pPr>
      <w:bookmarkStart w:id="7" w:name="_GoBack"/>
      <w:bookmarkEnd w:id="7"/>
      <w:bookmarkStart w:id="6" w:name="_Hlk86054313"/>
      <w:r>
        <w:rPr>
          <w:rFonts w:hint="eastAsia" w:ascii="仿宋" w:hAnsi="仿宋" w:eastAsia="仿宋" w:cs="仿宋"/>
          <w:bCs/>
          <w:sz w:val="21"/>
          <w:szCs w:val="21"/>
          <w:lang w:val="en-US" w:eastAsia="zh-CN"/>
        </w:rPr>
        <w:t>3、</w:t>
      </w:r>
      <w:r>
        <w:rPr>
          <w:rFonts w:hint="eastAsia" w:ascii="仿宋" w:hAnsi="仿宋" w:eastAsia="仿宋" w:cs="仿宋"/>
          <w:bCs/>
          <w:sz w:val="21"/>
          <w:szCs w:val="21"/>
        </w:rPr>
        <w:t>服务考核支付服务费比例说明</w:t>
      </w:r>
    </w:p>
    <w:bookmarkEnd w:id="6"/>
    <w:p w14:paraId="635AA728">
      <w:pPr>
        <w:pStyle w:val="6"/>
        <w:spacing w:line="360" w:lineRule="auto"/>
        <w:ind w:left="420" w:leftChars="200"/>
        <w:rPr>
          <w:rFonts w:hint="eastAsia" w:ascii="仿宋" w:hAnsi="仿宋" w:eastAsia="仿宋" w:cs="仿宋"/>
          <w:sz w:val="21"/>
          <w:szCs w:val="21"/>
        </w:rPr>
      </w:pPr>
      <w:r>
        <w:rPr>
          <w:rFonts w:hint="eastAsia" w:ascii="仿宋" w:hAnsi="仿宋" w:eastAsia="仿宋" w:cs="仿宋"/>
          <w:sz w:val="21"/>
          <w:szCs w:val="21"/>
        </w:rPr>
        <w:t>（1）考核分数≥90分，支付100%服务费用。</w:t>
      </w:r>
    </w:p>
    <w:p w14:paraId="41F3D945">
      <w:pPr>
        <w:pStyle w:val="6"/>
        <w:spacing w:line="360" w:lineRule="auto"/>
        <w:ind w:left="420" w:leftChars="200"/>
        <w:rPr>
          <w:rFonts w:hint="eastAsia" w:ascii="仿宋" w:hAnsi="仿宋" w:eastAsia="仿宋" w:cs="仿宋"/>
          <w:sz w:val="21"/>
          <w:szCs w:val="21"/>
        </w:rPr>
      </w:pPr>
      <w:r>
        <w:rPr>
          <w:rFonts w:hint="eastAsia" w:ascii="仿宋" w:hAnsi="仿宋" w:eastAsia="仿宋" w:cs="仿宋"/>
          <w:sz w:val="21"/>
          <w:szCs w:val="21"/>
        </w:rPr>
        <w:t>（2）90分＞考核分数≥80分，支付90%服务费。</w:t>
      </w:r>
    </w:p>
    <w:p w14:paraId="14A736CD">
      <w:pPr>
        <w:pStyle w:val="6"/>
        <w:spacing w:line="360" w:lineRule="auto"/>
        <w:ind w:left="420" w:leftChars="200"/>
        <w:rPr>
          <w:rFonts w:hint="eastAsia" w:ascii="仿宋" w:hAnsi="仿宋" w:eastAsia="仿宋" w:cs="仿宋"/>
          <w:sz w:val="21"/>
          <w:szCs w:val="21"/>
        </w:rPr>
      </w:pPr>
      <w:r>
        <w:rPr>
          <w:rFonts w:hint="eastAsia" w:ascii="仿宋" w:hAnsi="仿宋" w:eastAsia="仿宋" w:cs="仿宋"/>
          <w:sz w:val="21"/>
          <w:szCs w:val="21"/>
        </w:rPr>
        <w:t>（3）80分＞考核分数≥70分，支付80%服务费。</w:t>
      </w:r>
    </w:p>
    <w:p w14:paraId="66394F32">
      <w:pPr>
        <w:pStyle w:val="6"/>
        <w:spacing w:line="360" w:lineRule="auto"/>
        <w:ind w:left="420" w:leftChars="200"/>
        <w:rPr>
          <w:rFonts w:hint="eastAsia" w:ascii="仿宋" w:hAnsi="仿宋" w:eastAsia="仿宋" w:cs="仿宋"/>
          <w:sz w:val="21"/>
          <w:szCs w:val="21"/>
        </w:rPr>
      </w:pPr>
      <w:r>
        <w:rPr>
          <w:rFonts w:hint="eastAsia" w:ascii="仿宋" w:hAnsi="仿宋" w:eastAsia="仿宋" w:cs="仿宋"/>
          <w:sz w:val="21"/>
          <w:szCs w:val="21"/>
        </w:rPr>
        <w:t>（4）70分＞考核分数≥60分，支付70%服务费。</w:t>
      </w:r>
    </w:p>
    <w:p w14:paraId="1CA8B227">
      <w:pPr>
        <w:pStyle w:val="6"/>
        <w:numPr>
          <w:ilvl w:val="0"/>
          <w:numId w:val="6"/>
        </w:numPr>
        <w:spacing w:line="360" w:lineRule="auto"/>
        <w:ind w:left="420" w:leftChars="200"/>
        <w:rPr>
          <w:rFonts w:hint="eastAsia" w:ascii="仿宋" w:hAnsi="仿宋" w:eastAsia="仿宋" w:cs="仿宋"/>
          <w:sz w:val="21"/>
          <w:szCs w:val="21"/>
        </w:rPr>
      </w:pPr>
      <w:r>
        <w:rPr>
          <w:rFonts w:hint="eastAsia" w:ascii="仿宋" w:hAnsi="仿宋" w:eastAsia="仿宋" w:cs="仿宋"/>
          <w:sz w:val="21"/>
          <w:szCs w:val="21"/>
        </w:rPr>
        <w:t>考核分数＜60分，不支付服务费用。</w:t>
      </w:r>
    </w:p>
    <w:p w14:paraId="05ACDA3E">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ind w:left="-210" w:leftChars="0"/>
        <w:jc w:val="left"/>
        <w:textAlignment w:val="auto"/>
        <w:rPr>
          <w:rFonts w:hint="default" w:ascii="仿宋" w:hAnsi="仿宋" w:eastAsia="仿宋" w:cs="仿宋"/>
          <w:b/>
          <w:bCs/>
          <w:color w:val="000000"/>
          <w:kern w:val="0"/>
          <w:sz w:val="21"/>
          <w:szCs w:val="21"/>
          <w:lang w:val="en-US" w:eastAsia="zh-CN" w:bidi="ar"/>
        </w:rPr>
      </w:pPr>
      <w:r>
        <w:rPr>
          <w:rFonts w:hint="eastAsia" w:ascii="仿宋" w:hAnsi="仿宋" w:eastAsia="仿宋" w:cs="仿宋"/>
          <w:b/>
          <w:bCs/>
          <w:color w:val="000000"/>
          <w:kern w:val="0"/>
          <w:sz w:val="21"/>
          <w:szCs w:val="21"/>
          <w:lang w:val="en-US" w:eastAsia="zh-CN" w:bidi="ar"/>
        </w:rPr>
        <w:t>服务考核表</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4"/>
        <w:gridCol w:w="3538"/>
        <w:gridCol w:w="626"/>
        <w:gridCol w:w="1157"/>
        <w:gridCol w:w="1040"/>
        <w:gridCol w:w="937"/>
      </w:tblGrid>
      <w:tr w14:paraId="08D1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718" w:type="pct"/>
            <w:vAlign w:val="center"/>
          </w:tcPr>
          <w:p w14:paraId="770B096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项目名称</w:t>
            </w:r>
          </w:p>
        </w:tc>
        <w:tc>
          <w:tcPr>
            <w:tcW w:w="4281" w:type="pct"/>
            <w:gridSpan w:val="5"/>
            <w:vAlign w:val="center"/>
          </w:tcPr>
          <w:p w14:paraId="661E2FE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 </w:t>
            </w:r>
          </w:p>
        </w:tc>
      </w:tr>
      <w:tr w14:paraId="681EA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trPr>
        <w:tc>
          <w:tcPr>
            <w:tcW w:w="718" w:type="pct"/>
            <w:vAlign w:val="center"/>
          </w:tcPr>
          <w:p w14:paraId="372337E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服务内容</w:t>
            </w:r>
          </w:p>
        </w:tc>
        <w:tc>
          <w:tcPr>
            <w:tcW w:w="4281" w:type="pct"/>
            <w:gridSpan w:val="5"/>
            <w:vAlign w:val="center"/>
          </w:tcPr>
          <w:p w14:paraId="6D1C01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7402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Align w:val="center"/>
          </w:tcPr>
          <w:p w14:paraId="161E86B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承建单位名称</w:t>
            </w:r>
          </w:p>
        </w:tc>
        <w:tc>
          <w:tcPr>
            <w:tcW w:w="2076" w:type="pct"/>
            <w:vAlign w:val="center"/>
          </w:tcPr>
          <w:p w14:paraId="58F3D54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           </w:t>
            </w:r>
          </w:p>
        </w:tc>
        <w:tc>
          <w:tcPr>
            <w:tcW w:w="367" w:type="pct"/>
            <w:vAlign w:val="center"/>
          </w:tcPr>
          <w:p w14:paraId="782724B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时间</w:t>
            </w:r>
          </w:p>
        </w:tc>
        <w:tc>
          <w:tcPr>
            <w:tcW w:w="1838" w:type="pct"/>
            <w:gridSpan w:val="3"/>
            <w:vAlign w:val="center"/>
          </w:tcPr>
          <w:p w14:paraId="7A1FC2C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632E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Align w:val="center"/>
          </w:tcPr>
          <w:p w14:paraId="54854F5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医院项目负责人</w:t>
            </w:r>
          </w:p>
        </w:tc>
        <w:tc>
          <w:tcPr>
            <w:tcW w:w="2076" w:type="pct"/>
            <w:vAlign w:val="center"/>
          </w:tcPr>
          <w:p w14:paraId="1AF0EB2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 </w:t>
            </w:r>
          </w:p>
        </w:tc>
        <w:tc>
          <w:tcPr>
            <w:tcW w:w="367" w:type="pct"/>
            <w:vAlign w:val="center"/>
          </w:tcPr>
          <w:p w14:paraId="4A2E3B6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电话</w:t>
            </w:r>
          </w:p>
        </w:tc>
        <w:tc>
          <w:tcPr>
            <w:tcW w:w="1838" w:type="pct"/>
            <w:gridSpan w:val="3"/>
            <w:vAlign w:val="center"/>
          </w:tcPr>
          <w:p w14:paraId="6173264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37F24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Align w:val="center"/>
          </w:tcPr>
          <w:p w14:paraId="67AE125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承建单位项目负责人</w:t>
            </w:r>
          </w:p>
        </w:tc>
        <w:tc>
          <w:tcPr>
            <w:tcW w:w="2076" w:type="pct"/>
            <w:vAlign w:val="center"/>
          </w:tcPr>
          <w:p w14:paraId="2A9F923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67" w:type="pct"/>
            <w:vAlign w:val="center"/>
          </w:tcPr>
          <w:p w14:paraId="123D3B1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电话</w:t>
            </w:r>
          </w:p>
        </w:tc>
        <w:tc>
          <w:tcPr>
            <w:tcW w:w="1838" w:type="pct"/>
            <w:gridSpan w:val="3"/>
            <w:vAlign w:val="center"/>
          </w:tcPr>
          <w:p w14:paraId="13D3B5D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08B2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3840" w:type="pct"/>
            <w:gridSpan w:val="4"/>
            <w:vAlign w:val="center"/>
          </w:tcPr>
          <w:p w14:paraId="239D05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评价内容</w:t>
            </w:r>
          </w:p>
        </w:tc>
        <w:tc>
          <w:tcPr>
            <w:tcW w:w="610" w:type="pct"/>
            <w:vAlign w:val="center"/>
          </w:tcPr>
          <w:p w14:paraId="32453FF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结果</w:t>
            </w:r>
          </w:p>
        </w:tc>
        <w:tc>
          <w:tcPr>
            <w:tcW w:w="549" w:type="pct"/>
            <w:vAlign w:val="center"/>
          </w:tcPr>
          <w:p w14:paraId="63CC1D3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备注</w:t>
            </w:r>
          </w:p>
        </w:tc>
      </w:tr>
      <w:tr w14:paraId="633C7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restart"/>
            <w:vAlign w:val="center"/>
          </w:tcPr>
          <w:p w14:paraId="2076238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（一）合同履约情况（20分）</w:t>
            </w:r>
          </w:p>
        </w:tc>
        <w:tc>
          <w:tcPr>
            <w:tcW w:w="3122" w:type="pct"/>
            <w:gridSpan w:val="3"/>
            <w:vAlign w:val="center"/>
          </w:tcPr>
          <w:p w14:paraId="22B9356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按时、按质完成项目涉及服务任务；在履约过程中，提出并实施了积极的、科学合理的措施，保证合同的有效实施。</w:t>
            </w:r>
          </w:p>
        </w:tc>
        <w:tc>
          <w:tcPr>
            <w:tcW w:w="610" w:type="pct"/>
            <w:vAlign w:val="center"/>
          </w:tcPr>
          <w:p w14:paraId="75C8698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20</w:t>
            </w:r>
          </w:p>
        </w:tc>
        <w:tc>
          <w:tcPr>
            <w:tcW w:w="549" w:type="pct"/>
            <w:vMerge w:val="restart"/>
          </w:tcPr>
          <w:p w14:paraId="0EFBDAB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67CC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3712947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32F722D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按时、按质完成项目涉及服务任务，能保证合同的有效实施。</w:t>
            </w:r>
          </w:p>
        </w:tc>
        <w:tc>
          <w:tcPr>
            <w:tcW w:w="610" w:type="pct"/>
            <w:vAlign w:val="center"/>
          </w:tcPr>
          <w:p w14:paraId="2C3E30F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17-19</w:t>
            </w:r>
          </w:p>
        </w:tc>
        <w:tc>
          <w:tcPr>
            <w:tcW w:w="549" w:type="pct"/>
            <w:vMerge w:val="continue"/>
          </w:tcPr>
          <w:p w14:paraId="566332E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40C1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177F2FF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7CF435E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基本按合同要求完成项目涉及服务任务。</w:t>
            </w:r>
          </w:p>
        </w:tc>
        <w:tc>
          <w:tcPr>
            <w:tcW w:w="610" w:type="pct"/>
            <w:vAlign w:val="center"/>
          </w:tcPr>
          <w:p w14:paraId="138AEEF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11-16</w:t>
            </w:r>
          </w:p>
        </w:tc>
        <w:tc>
          <w:tcPr>
            <w:tcW w:w="549" w:type="pct"/>
            <w:vMerge w:val="continue"/>
          </w:tcPr>
          <w:p w14:paraId="2D86BA3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5B22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4D0DE56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02D1F76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未能按合同要求完成项目涉及服务任务。</w:t>
            </w:r>
          </w:p>
        </w:tc>
        <w:tc>
          <w:tcPr>
            <w:tcW w:w="610" w:type="pct"/>
            <w:vAlign w:val="center"/>
          </w:tcPr>
          <w:p w14:paraId="20002C9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0-10</w:t>
            </w:r>
          </w:p>
        </w:tc>
        <w:tc>
          <w:tcPr>
            <w:tcW w:w="549" w:type="pct"/>
            <w:vMerge w:val="continue"/>
          </w:tcPr>
          <w:p w14:paraId="3E266AA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3860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restart"/>
            <w:vAlign w:val="center"/>
          </w:tcPr>
          <w:p w14:paraId="4BA3433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（二）服务质量（20分）</w:t>
            </w:r>
          </w:p>
        </w:tc>
        <w:tc>
          <w:tcPr>
            <w:tcW w:w="3122" w:type="pct"/>
            <w:gridSpan w:val="3"/>
            <w:vAlign w:val="center"/>
          </w:tcPr>
          <w:p w14:paraId="482D922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服务实施规范化、服务专业、服务过程无错误、服务过程提出合理性、建设性操作建议等。        </w:t>
            </w:r>
          </w:p>
        </w:tc>
        <w:tc>
          <w:tcPr>
            <w:tcW w:w="610" w:type="pct"/>
            <w:vAlign w:val="center"/>
          </w:tcPr>
          <w:p w14:paraId="3D22A10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20</w:t>
            </w:r>
          </w:p>
        </w:tc>
        <w:tc>
          <w:tcPr>
            <w:tcW w:w="549" w:type="pct"/>
            <w:vMerge w:val="restart"/>
          </w:tcPr>
          <w:p w14:paraId="74CB132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395B6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3D99281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110A182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服务实施规范化、服务专业、服务过程无重大错误、服务过程提出合理性建议等。</w:t>
            </w:r>
          </w:p>
        </w:tc>
        <w:tc>
          <w:tcPr>
            <w:tcW w:w="610" w:type="pct"/>
            <w:vAlign w:val="center"/>
          </w:tcPr>
          <w:p w14:paraId="1F42049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17-19</w:t>
            </w:r>
          </w:p>
        </w:tc>
        <w:tc>
          <w:tcPr>
            <w:tcW w:w="549" w:type="pct"/>
            <w:vMerge w:val="continue"/>
          </w:tcPr>
          <w:p w14:paraId="326D47F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3DFA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6A3A4C9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790C8D4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服务质量规范化、服务专业性一般，</w:t>
            </w:r>
            <w:r>
              <w:rPr>
                <w:rFonts w:hint="eastAsia" w:ascii="仿宋" w:hAnsi="仿宋" w:eastAsia="仿宋" w:cs="仿宋"/>
                <w:b w:val="0"/>
                <w:bCs w:val="0"/>
                <w:color w:val="E54C5E" w:themeColor="accent6"/>
                <w:kern w:val="0"/>
                <w:sz w:val="21"/>
                <w:szCs w:val="21"/>
                <w:lang w:val="en-US" w:eastAsia="zh-CN" w:bidi="ar"/>
                <w14:textFill>
                  <w14:solidFill>
                    <w14:schemeClr w14:val="accent6"/>
                  </w14:solidFill>
                </w14:textFill>
              </w:rPr>
              <w:t>出现设备故障，未按照要求及时处理≥2次</w:t>
            </w:r>
            <w:r>
              <w:rPr>
                <w:rFonts w:hint="eastAsia" w:ascii="仿宋" w:hAnsi="仿宋" w:eastAsia="仿宋" w:cs="仿宋"/>
                <w:b w:val="0"/>
                <w:bCs w:val="0"/>
                <w:color w:val="000000"/>
                <w:kern w:val="0"/>
                <w:sz w:val="21"/>
                <w:szCs w:val="21"/>
                <w:lang w:val="en-US" w:eastAsia="zh-CN" w:bidi="ar"/>
              </w:rPr>
              <w:t xml:space="preserve">等。                 </w:t>
            </w:r>
          </w:p>
        </w:tc>
        <w:tc>
          <w:tcPr>
            <w:tcW w:w="610" w:type="pct"/>
            <w:vAlign w:val="center"/>
          </w:tcPr>
          <w:p w14:paraId="62D173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11-16</w:t>
            </w:r>
          </w:p>
        </w:tc>
        <w:tc>
          <w:tcPr>
            <w:tcW w:w="549" w:type="pct"/>
            <w:vMerge w:val="continue"/>
          </w:tcPr>
          <w:p w14:paraId="280A961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7F6A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52F464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6EEFA20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服务质量规范化、服务不专业，出现重大错误，</w:t>
            </w:r>
            <w:r>
              <w:rPr>
                <w:rFonts w:hint="eastAsia" w:ascii="仿宋" w:hAnsi="仿宋" w:eastAsia="仿宋" w:cs="仿宋"/>
                <w:b w:val="0"/>
                <w:bCs w:val="0"/>
                <w:color w:val="E54C5E" w:themeColor="accent6"/>
                <w:kern w:val="0"/>
                <w:sz w:val="21"/>
                <w:szCs w:val="21"/>
                <w:lang w:val="en-US" w:eastAsia="zh-CN" w:bidi="ar"/>
                <w14:textFill>
                  <w14:solidFill>
                    <w14:schemeClr w14:val="accent6"/>
                  </w14:solidFill>
                </w14:textFill>
              </w:rPr>
              <w:t>出现设备故障，未按照要求及时处理≥4次</w:t>
            </w:r>
            <w:r>
              <w:rPr>
                <w:rFonts w:hint="eastAsia" w:ascii="仿宋" w:hAnsi="仿宋" w:eastAsia="仿宋" w:cs="仿宋"/>
                <w:b w:val="0"/>
                <w:bCs w:val="0"/>
                <w:color w:val="000000"/>
                <w:kern w:val="0"/>
                <w:sz w:val="21"/>
                <w:szCs w:val="21"/>
                <w:lang w:val="en-US" w:eastAsia="zh-CN" w:bidi="ar"/>
              </w:rPr>
              <w:t xml:space="preserve">等。         </w:t>
            </w:r>
          </w:p>
        </w:tc>
        <w:tc>
          <w:tcPr>
            <w:tcW w:w="610" w:type="pct"/>
            <w:vAlign w:val="center"/>
          </w:tcPr>
          <w:p w14:paraId="443329C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0-10</w:t>
            </w:r>
          </w:p>
        </w:tc>
        <w:tc>
          <w:tcPr>
            <w:tcW w:w="549" w:type="pct"/>
            <w:vMerge w:val="continue"/>
          </w:tcPr>
          <w:p w14:paraId="4E70F7B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03CF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restart"/>
            <w:vAlign w:val="center"/>
          </w:tcPr>
          <w:p w14:paraId="7DA765C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（三）管理能力及规范服务（20分）</w:t>
            </w:r>
          </w:p>
        </w:tc>
        <w:tc>
          <w:tcPr>
            <w:tcW w:w="3122" w:type="pct"/>
            <w:gridSpan w:val="3"/>
            <w:vAlign w:val="center"/>
          </w:tcPr>
          <w:p w14:paraId="0B61BF9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服务有完整、合理、可行的服务计划；服务人员配置齐全、职责明确；有专职专业的服务人，全过程服务及时、耐心，态度端正。</w:t>
            </w:r>
          </w:p>
        </w:tc>
        <w:tc>
          <w:tcPr>
            <w:tcW w:w="610" w:type="pct"/>
            <w:vAlign w:val="center"/>
          </w:tcPr>
          <w:p w14:paraId="772A55B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20</w:t>
            </w:r>
          </w:p>
        </w:tc>
        <w:tc>
          <w:tcPr>
            <w:tcW w:w="549" w:type="pct"/>
            <w:vMerge w:val="restart"/>
          </w:tcPr>
          <w:p w14:paraId="54FACD7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357D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54EF1F1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4D5EA3C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服务有完整、合理、可行的服务计划；服务人员配置齐全、职责明确；有专职专业的服务人，服务及时，态度端正。</w:t>
            </w:r>
          </w:p>
        </w:tc>
        <w:tc>
          <w:tcPr>
            <w:tcW w:w="610" w:type="pct"/>
            <w:vAlign w:val="center"/>
          </w:tcPr>
          <w:p w14:paraId="68CE620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17-19</w:t>
            </w:r>
          </w:p>
        </w:tc>
        <w:tc>
          <w:tcPr>
            <w:tcW w:w="549" w:type="pct"/>
            <w:vMerge w:val="continue"/>
          </w:tcPr>
          <w:p w14:paraId="41B59E3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491D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4A3FDE5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29AA558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服务有相应的服务计划，提供全过程服务。         </w:t>
            </w:r>
          </w:p>
        </w:tc>
        <w:tc>
          <w:tcPr>
            <w:tcW w:w="610" w:type="pct"/>
            <w:vAlign w:val="center"/>
          </w:tcPr>
          <w:p w14:paraId="56CB4AA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11-16</w:t>
            </w:r>
          </w:p>
        </w:tc>
        <w:tc>
          <w:tcPr>
            <w:tcW w:w="549" w:type="pct"/>
            <w:vMerge w:val="continue"/>
          </w:tcPr>
          <w:p w14:paraId="219DE6D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22E49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6729940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2EBCA7F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服务人员配置不合理；无全程服务或者全过程服务质量差。          </w:t>
            </w:r>
          </w:p>
        </w:tc>
        <w:tc>
          <w:tcPr>
            <w:tcW w:w="610" w:type="pct"/>
            <w:vAlign w:val="center"/>
          </w:tcPr>
          <w:p w14:paraId="2299E24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0-10</w:t>
            </w:r>
          </w:p>
        </w:tc>
        <w:tc>
          <w:tcPr>
            <w:tcW w:w="549" w:type="pct"/>
            <w:vMerge w:val="continue"/>
          </w:tcPr>
          <w:p w14:paraId="634F692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3F98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restart"/>
            <w:vAlign w:val="center"/>
          </w:tcPr>
          <w:p w14:paraId="0A0309E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（四）资料齐全（20分）</w:t>
            </w:r>
          </w:p>
        </w:tc>
        <w:tc>
          <w:tcPr>
            <w:tcW w:w="3122" w:type="pct"/>
            <w:gridSpan w:val="3"/>
            <w:vAlign w:val="center"/>
          </w:tcPr>
          <w:p w14:paraId="3EF8457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提供完整的服务资料(服务报告、保密协议、规则制度、服务知识库、整改建议等) ，资料内容完整、详细。          </w:t>
            </w:r>
          </w:p>
        </w:tc>
        <w:tc>
          <w:tcPr>
            <w:tcW w:w="610" w:type="pct"/>
            <w:vAlign w:val="center"/>
          </w:tcPr>
          <w:p w14:paraId="1478A78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20</w:t>
            </w:r>
          </w:p>
        </w:tc>
        <w:tc>
          <w:tcPr>
            <w:tcW w:w="549" w:type="pct"/>
            <w:vMerge w:val="restart"/>
          </w:tcPr>
          <w:p w14:paraId="6305626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199B1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39FAB5A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0858B15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提供完整的服务资料(服务报告、保密协议、规则制度、服务知识库、整改建议等) ，资料内容完整 。  </w:t>
            </w:r>
          </w:p>
        </w:tc>
        <w:tc>
          <w:tcPr>
            <w:tcW w:w="610" w:type="pct"/>
            <w:vAlign w:val="center"/>
          </w:tcPr>
          <w:p w14:paraId="000A54E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17-19</w:t>
            </w:r>
          </w:p>
        </w:tc>
        <w:tc>
          <w:tcPr>
            <w:tcW w:w="549" w:type="pct"/>
            <w:vMerge w:val="continue"/>
          </w:tcPr>
          <w:p w14:paraId="148B1D6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75713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tcPr>
          <w:p w14:paraId="7A69519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23B9B7F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提供部分的服务资料(服务报告、保密协议、规则制度、服务知识库、整改建议等) </w:t>
            </w:r>
          </w:p>
        </w:tc>
        <w:tc>
          <w:tcPr>
            <w:tcW w:w="610" w:type="pct"/>
            <w:vAlign w:val="center"/>
          </w:tcPr>
          <w:p w14:paraId="401741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11-16</w:t>
            </w:r>
          </w:p>
        </w:tc>
        <w:tc>
          <w:tcPr>
            <w:tcW w:w="549" w:type="pct"/>
            <w:vMerge w:val="continue"/>
          </w:tcPr>
          <w:p w14:paraId="75BBF31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6B54A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tcPr>
          <w:p w14:paraId="184BB7D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3F8F978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提供少量的服务资料(服务合同、保密协议、规则制度、服务知识库等) ，资料不完整       </w:t>
            </w:r>
          </w:p>
        </w:tc>
        <w:tc>
          <w:tcPr>
            <w:tcW w:w="610" w:type="pct"/>
            <w:vAlign w:val="center"/>
          </w:tcPr>
          <w:p w14:paraId="06091AE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0-10</w:t>
            </w:r>
          </w:p>
        </w:tc>
        <w:tc>
          <w:tcPr>
            <w:tcW w:w="549" w:type="pct"/>
            <w:vMerge w:val="continue"/>
          </w:tcPr>
          <w:p w14:paraId="731D177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479A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restart"/>
            <w:vAlign w:val="center"/>
          </w:tcPr>
          <w:p w14:paraId="23DB663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（五）服务人员（20分）</w:t>
            </w:r>
          </w:p>
        </w:tc>
        <w:tc>
          <w:tcPr>
            <w:tcW w:w="3122" w:type="pct"/>
            <w:gridSpan w:val="3"/>
            <w:vAlign w:val="center"/>
          </w:tcPr>
          <w:p w14:paraId="27E34BB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服务人员专业技能强、服务态度好、遵守服务单位规章制度、能自觉竭力配合服务单位工作          </w:t>
            </w:r>
          </w:p>
        </w:tc>
        <w:tc>
          <w:tcPr>
            <w:tcW w:w="610" w:type="pct"/>
            <w:vAlign w:val="center"/>
          </w:tcPr>
          <w:p w14:paraId="461385C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20</w:t>
            </w:r>
          </w:p>
        </w:tc>
        <w:tc>
          <w:tcPr>
            <w:tcW w:w="549" w:type="pct"/>
            <w:vMerge w:val="restart"/>
          </w:tcPr>
          <w:p w14:paraId="46BDF00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6FAD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vAlign w:val="center"/>
          </w:tcPr>
          <w:p w14:paraId="07450C1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4D52F79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服务人员具有较强的专业技能、服务态度好、遵守服务单位规章制度、按要求配合服务单位工作   </w:t>
            </w:r>
          </w:p>
        </w:tc>
        <w:tc>
          <w:tcPr>
            <w:tcW w:w="610" w:type="pct"/>
            <w:vAlign w:val="center"/>
          </w:tcPr>
          <w:p w14:paraId="35C46DE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17-19</w:t>
            </w:r>
          </w:p>
        </w:tc>
        <w:tc>
          <w:tcPr>
            <w:tcW w:w="549" w:type="pct"/>
            <w:vMerge w:val="continue"/>
          </w:tcPr>
          <w:p w14:paraId="4230210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482F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tcPr>
          <w:p w14:paraId="10A7444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1168DEF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服务人员具有专业技能、服务态度较好、遵守服务单位规章制度、能配合服务单位工作、</w:t>
            </w:r>
            <w:r>
              <w:rPr>
                <w:rFonts w:hint="eastAsia" w:ascii="仿宋" w:hAnsi="仿宋" w:eastAsia="仿宋" w:cs="仿宋"/>
                <w:b w:val="0"/>
                <w:bCs w:val="0"/>
                <w:color w:val="E54C5E" w:themeColor="accent6"/>
                <w:kern w:val="0"/>
                <w:sz w:val="21"/>
                <w:szCs w:val="21"/>
                <w:lang w:val="en-US" w:eastAsia="zh-CN" w:bidi="ar"/>
                <w14:textFill>
                  <w14:solidFill>
                    <w14:schemeClr w14:val="accent6"/>
                  </w14:solidFill>
                </w14:textFill>
              </w:rPr>
              <w:t xml:space="preserve">无故迟到早退≥2次  </w:t>
            </w:r>
          </w:p>
        </w:tc>
        <w:tc>
          <w:tcPr>
            <w:tcW w:w="610" w:type="pct"/>
            <w:vAlign w:val="center"/>
          </w:tcPr>
          <w:p w14:paraId="5B45603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11-16</w:t>
            </w:r>
          </w:p>
        </w:tc>
        <w:tc>
          <w:tcPr>
            <w:tcW w:w="549" w:type="pct"/>
            <w:vMerge w:val="continue"/>
          </w:tcPr>
          <w:p w14:paraId="2EBE0BC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4208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718" w:type="pct"/>
            <w:vMerge w:val="continue"/>
          </w:tcPr>
          <w:p w14:paraId="43E0DA8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c>
          <w:tcPr>
            <w:tcW w:w="3122" w:type="pct"/>
            <w:gridSpan w:val="3"/>
            <w:vAlign w:val="center"/>
          </w:tcPr>
          <w:p w14:paraId="51FAB3D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服务人员技能一般、服务态度差、能遵守服务单位规章制度、配合服务单位工作意愿弱、</w:t>
            </w:r>
            <w:r>
              <w:rPr>
                <w:rFonts w:hint="eastAsia" w:ascii="仿宋" w:hAnsi="仿宋" w:eastAsia="仿宋" w:cs="仿宋"/>
                <w:b w:val="0"/>
                <w:bCs w:val="0"/>
                <w:color w:val="E54C5E" w:themeColor="accent6"/>
                <w:kern w:val="0"/>
                <w:sz w:val="21"/>
                <w:szCs w:val="21"/>
                <w:lang w:val="en-US" w:eastAsia="zh-CN" w:bidi="ar"/>
                <w14:textFill>
                  <w14:solidFill>
                    <w14:schemeClr w14:val="accent6"/>
                  </w14:solidFill>
                </w14:textFill>
              </w:rPr>
              <w:t xml:space="preserve">无故迟到早退≥4次  </w:t>
            </w:r>
            <w:r>
              <w:rPr>
                <w:rFonts w:hint="eastAsia" w:ascii="仿宋" w:hAnsi="仿宋" w:eastAsia="仿宋" w:cs="仿宋"/>
                <w:b w:val="0"/>
                <w:bCs w:val="0"/>
                <w:color w:val="000000"/>
                <w:kern w:val="0"/>
                <w:sz w:val="21"/>
                <w:szCs w:val="21"/>
                <w:lang w:val="en-US" w:eastAsia="zh-CN" w:bidi="ar"/>
              </w:rPr>
              <w:t xml:space="preserve">        </w:t>
            </w:r>
          </w:p>
        </w:tc>
        <w:tc>
          <w:tcPr>
            <w:tcW w:w="610" w:type="pct"/>
            <w:vAlign w:val="center"/>
          </w:tcPr>
          <w:p w14:paraId="1BB01F2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0-10</w:t>
            </w:r>
          </w:p>
        </w:tc>
        <w:tc>
          <w:tcPr>
            <w:tcW w:w="549" w:type="pct"/>
            <w:vMerge w:val="continue"/>
          </w:tcPr>
          <w:p w14:paraId="679DD59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2762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5000" w:type="pct"/>
            <w:gridSpan w:val="6"/>
          </w:tcPr>
          <w:p w14:paraId="6CAEC99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评价总分：</w:t>
            </w:r>
          </w:p>
          <w:p w14:paraId="69B5CF6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r w14:paraId="7BCF9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8" w:hRule="atLeast"/>
        </w:trPr>
        <w:tc>
          <w:tcPr>
            <w:tcW w:w="5000" w:type="pct"/>
            <w:gridSpan w:val="6"/>
          </w:tcPr>
          <w:p w14:paraId="16A7970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p w14:paraId="4DF1933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意见及建议</w:t>
            </w:r>
          </w:p>
          <w:p w14:paraId="778F565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p w14:paraId="29AB5BF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p w14:paraId="13E0BFE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p w14:paraId="0587C40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医院项目负责人：                  医院科室负责人：</w:t>
            </w:r>
          </w:p>
          <w:p w14:paraId="5BF1186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r>
              <w:rPr>
                <w:rFonts w:hint="eastAsia" w:ascii="仿宋" w:hAnsi="仿宋" w:eastAsia="仿宋" w:cs="仿宋"/>
                <w:b w:val="0"/>
                <w:bCs w:val="0"/>
                <w:color w:val="000000"/>
                <w:kern w:val="0"/>
                <w:sz w:val="21"/>
                <w:szCs w:val="21"/>
                <w:lang w:val="en-US" w:eastAsia="zh-CN" w:bidi="ar"/>
              </w:rPr>
              <w:t xml:space="preserve">                                                                      </w:t>
            </w:r>
          </w:p>
          <w:p w14:paraId="666138C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jc w:val="left"/>
              <w:textAlignment w:val="auto"/>
              <w:rPr>
                <w:rFonts w:hint="eastAsia" w:ascii="仿宋" w:hAnsi="仿宋" w:eastAsia="仿宋" w:cs="仿宋"/>
                <w:b w:val="0"/>
                <w:bCs w:val="0"/>
                <w:color w:val="000000"/>
                <w:kern w:val="0"/>
                <w:sz w:val="21"/>
                <w:szCs w:val="21"/>
                <w:lang w:val="en-US" w:eastAsia="zh-CN" w:bidi="ar"/>
              </w:rPr>
            </w:pPr>
          </w:p>
        </w:tc>
      </w:tr>
    </w:tbl>
    <w:p w14:paraId="54CB8687">
      <w:pPr>
        <w:pStyle w:val="12"/>
        <w:numPr>
          <w:ilvl w:val="0"/>
          <w:numId w:val="2"/>
        </w:numPr>
        <w:ind w:left="640" w:leftChars="0" w:hanging="420" w:firstLineChars="0"/>
        <w:rPr>
          <w:rStyle w:val="22"/>
          <w:rFonts w:hint="eastAsia" w:ascii="仿宋" w:hAnsi="仿宋" w:eastAsia="仿宋" w:cs="仿宋"/>
          <w:b/>
          <w:bCs/>
          <w:sz w:val="24"/>
          <w:szCs w:val="24"/>
          <w:lang w:val="en-US" w:eastAsia="zh-CN"/>
        </w:rPr>
      </w:pPr>
      <w:r>
        <w:rPr>
          <w:rStyle w:val="22"/>
          <w:rFonts w:hint="eastAsia" w:ascii="仿宋" w:hAnsi="仿宋" w:eastAsia="仿宋" w:cs="仿宋"/>
          <w:b/>
          <w:bCs/>
          <w:sz w:val="24"/>
          <w:szCs w:val="24"/>
          <w:lang w:val="en-US" w:eastAsia="zh-CN"/>
        </w:rPr>
        <w:t>软硬件升级要求</w:t>
      </w:r>
    </w:p>
    <w:p w14:paraId="5F829E2A">
      <w:pPr>
        <w:rPr>
          <w:rFonts w:hint="eastAsia" w:ascii="仿宋" w:hAnsi="仿宋" w:eastAsia="仿宋" w:cs="仿宋"/>
          <w:b w:val="0"/>
          <w:bCs w:val="0"/>
          <w:sz w:val="24"/>
          <w:szCs w:val="24"/>
          <w:lang w:val="en-US" w:eastAsia="zh-CN"/>
        </w:rPr>
      </w:pPr>
      <w:r>
        <w:rPr>
          <w:rStyle w:val="22"/>
          <w:rFonts w:hint="eastAsia" w:ascii="仿宋" w:hAnsi="仿宋" w:eastAsia="仿宋" w:cs="仿宋"/>
          <w:b w:val="0"/>
          <w:bCs w:val="0"/>
          <w:sz w:val="24"/>
          <w:szCs w:val="24"/>
          <w:lang w:val="en-US" w:eastAsia="zh-CN"/>
        </w:rPr>
        <w:t>1、软件升级改造清单</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1113"/>
        <w:gridCol w:w="6574"/>
      </w:tblGrid>
      <w:tr w14:paraId="768F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9" w:type="pct"/>
            <w:shd w:val="clear" w:color="auto" w:fill="BEBEBE" w:themeFill="background1" w:themeFillShade="BF"/>
            <w:vAlign w:val="top"/>
          </w:tcPr>
          <w:p w14:paraId="7FB264B3">
            <w:pPr>
              <w:spacing w:line="360" w:lineRule="auto"/>
              <w:ind w:firstLine="0" w:firstLineChars="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lang w:val="en-US" w:eastAsia="zh-CN"/>
              </w:rPr>
              <w:t>序号</w:t>
            </w:r>
          </w:p>
        </w:tc>
        <w:tc>
          <w:tcPr>
            <w:tcW w:w="653" w:type="pct"/>
            <w:shd w:val="clear" w:color="auto" w:fill="BEBEBE" w:themeFill="background1" w:themeFillShade="BF"/>
            <w:vAlign w:val="top"/>
          </w:tcPr>
          <w:p w14:paraId="3F49E70D">
            <w:pPr>
              <w:spacing w:line="360" w:lineRule="auto"/>
              <w:ind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功能</w:t>
            </w:r>
          </w:p>
        </w:tc>
        <w:tc>
          <w:tcPr>
            <w:tcW w:w="3857" w:type="pct"/>
            <w:shd w:val="clear" w:color="auto" w:fill="BEBEBE" w:themeFill="background1" w:themeFillShade="BF"/>
            <w:vAlign w:val="top"/>
          </w:tcPr>
          <w:p w14:paraId="7EC05B66">
            <w:pPr>
              <w:spacing w:line="360" w:lineRule="auto"/>
              <w:ind w:firstLine="482" w:firstLineChars="20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lang w:val="en-US" w:eastAsia="zh-CN"/>
              </w:rPr>
              <w:t>功能描述</w:t>
            </w:r>
          </w:p>
        </w:tc>
      </w:tr>
      <w:tr w14:paraId="070F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489" w:type="pct"/>
            <w:vAlign w:val="center"/>
          </w:tcPr>
          <w:p w14:paraId="101D326D">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53" w:type="pct"/>
            <w:shd w:val="clear" w:color="auto" w:fill="auto"/>
            <w:vAlign w:val="center"/>
          </w:tcPr>
          <w:p w14:paraId="3BD896FF">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身份识别</w:t>
            </w:r>
          </w:p>
        </w:tc>
        <w:tc>
          <w:tcPr>
            <w:tcW w:w="3857" w:type="pct"/>
            <w:vAlign w:val="center"/>
          </w:tcPr>
          <w:p w14:paraId="74CA5775">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支持指纹、密码、工卡等多种方式登录，验证用户是否有系统操作权限、班次操作权限、功能操作权限。</w:t>
            </w:r>
          </w:p>
        </w:tc>
      </w:tr>
      <w:tr w14:paraId="7E494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vAlign w:val="center"/>
          </w:tcPr>
          <w:p w14:paraId="20B836C5">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53" w:type="pct"/>
            <w:shd w:val="clear" w:color="auto" w:fill="auto"/>
            <w:vAlign w:val="center"/>
          </w:tcPr>
          <w:p w14:paraId="0B793C59">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取药</w:t>
            </w:r>
          </w:p>
        </w:tc>
        <w:tc>
          <w:tcPr>
            <w:tcW w:w="3857" w:type="pct"/>
            <w:vAlign w:val="center"/>
          </w:tcPr>
          <w:p w14:paraId="0EEE830B">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包含但不限于列表取药、处方取药、批量取药、自由取药、套包取药等取药方式；具备实时记录取药人员、操作时间、取药种类、数量、批号效期、药品使用患者等信息；</w:t>
            </w:r>
          </w:p>
        </w:tc>
      </w:tr>
      <w:tr w14:paraId="26A2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vAlign w:val="center"/>
          </w:tcPr>
          <w:p w14:paraId="14B10A1D">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653" w:type="pct"/>
            <w:shd w:val="clear" w:color="auto" w:fill="auto"/>
            <w:vAlign w:val="center"/>
          </w:tcPr>
          <w:p w14:paraId="119C63C3">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近效期管理</w:t>
            </w:r>
          </w:p>
        </w:tc>
        <w:tc>
          <w:tcPr>
            <w:tcW w:w="3857" w:type="pct"/>
            <w:vAlign w:val="center"/>
          </w:tcPr>
          <w:p w14:paraId="29BD46F9">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支持按效期、批号管理每支药品，可统计查询药品库存、取药流水、退药流水、加药流水等数据报表；近效期在主页面有醒目提示，按照近效期优先/先进先出原则自动弹开抽屉并亮灯引导至每支药取药；可以直接点击进入查询；</w:t>
            </w:r>
          </w:p>
        </w:tc>
      </w:tr>
      <w:tr w14:paraId="1DC8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489" w:type="pct"/>
            <w:vAlign w:val="center"/>
          </w:tcPr>
          <w:p w14:paraId="54293F45">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653" w:type="pct"/>
            <w:shd w:val="clear" w:color="auto" w:fill="auto"/>
            <w:vAlign w:val="center"/>
          </w:tcPr>
          <w:p w14:paraId="7D7911B7">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加药</w:t>
            </w:r>
          </w:p>
        </w:tc>
        <w:tc>
          <w:tcPr>
            <w:tcW w:w="3857" w:type="pct"/>
            <w:vAlign w:val="center"/>
          </w:tcPr>
          <w:p w14:paraId="330ACB1E">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具备位置加药，批量存药等药品填充方式，可亮灯指引加药；具备实时记录加药人员、操作时间、存药种类、数量、批号、效期等信息；</w:t>
            </w:r>
          </w:p>
        </w:tc>
      </w:tr>
      <w:tr w14:paraId="694D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vAlign w:val="center"/>
          </w:tcPr>
          <w:p w14:paraId="3BF45726">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653" w:type="pct"/>
            <w:shd w:val="clear" w:color="auto" w:fill="auto"/>
            <w:vAlign w:val="center"/>
          </w:tcPr>
          <w:p w14:paraId="2F04FC89">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退药</w:t>
            </w:r>
          </w:p>
        </w:tc>
        <w:tc>
          <w:tcPr>
            <w:tcW w:w="3857" w:type="pct"/>
            <w:vAlign w:val="center"/>
          </w:tcPr>
          <w:p w14:paraId="6A3434AC">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亮灯指引退药到指定空药槽；</w:t>
            </w:r>
          </w:p>
        </w:tc>
      </w:tr>
      <w:tr w14:paraId="1313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vAlign w:val="center"/>
          </w:tcPr>
          <w:p w14:paraId="795DDBF3">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653" w:type="pct"/>
            <w:shd w:val="clear" w:color="auto" w:fill="auto"/>
            <w:vAlign w:val="center"/>
          </w:tcPr>
          <w:p w14:paraId="752A02AC">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库存管理</w:t>
            </w:r>
          </w:p>
        </w:tc>
        <w:tc>
          <w:tcPr>
            <w:tcW w:w="3857" w:type="pct"/>
            <w:vAlign w:val="center"/>
          </w:tcPr>
          <w:p w14:paraId="4A3A4E59">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低库存、近效期预警并在主页面有醒目提示，可以直接点击进入查询；可预设库存阈值，自动生成领药单；</w:t>
            </w:r>
          </w:p>
        </w:tc>
      </w:tr>
      <w:tr w14:paraId="3959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vAlign w:val="center"/>
          </w:tcPr>
          <w:p w14:paraId="154EDB2D">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653" w:type="pct"/>
            <w:shd w:val="clear" w:color="auto" w:fill="auto"/>
            <w:vAlign w:val="center"/>
          </w:tcPr>
          <w:p w14:paraId="01D2F009">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应急解锁</w:t>
            </w:r>
          </w:p>
        </w:tc>
        <w:tc>
          <w:tcPr>
            <w:tcW w:w="3857" w:type="pct"/>
            <w:vAlign w:val="center"/>
          </w:tcPr>
          <w:p w14:paraId="5CEDAA0F">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在断电情况下自动启动应急电源，并支持开柜取药的正常操作。待电源恢复后自动上传断电时的取药信息，进行相关的汇总与追溯。</w:t>
            </w:r>
          </w:p>
        </w:tc>
      </w:tr>
      <w:tr w14:paraId="0D8E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vAlign w:val="center"/>
          </w:tcPr>
          <w:p w14:paraId="5279E439">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653" w:type="pct"/>
            <w:shd w:val="clear" w:color="auto" w:fill="auto"/>
            <w:vAlign w:val="center"/>
          </w:tcPr>
          <w:p w14:paraId="2C2071AC">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药品盘点</w:t>
            </w:r>
          </w:p>
        </w:tc>
        <w:tc>
          <w:tcPr>
            <w:tcW w:w="3857" w:type="pct"/>
            <w:vAlign w:val="center"/>
          </w:tcPr>
          <w:p w14:paraId="00B13DD0">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支持引导对所有药品或指定药品的清点，系统自动记录清点结果和清点人员信息；支持班次交接清单、日清日结盘点、月结盘点；</w:t>
            </w:r>
          </w:p>
        </w:tc>
      </w:tr>
      <w:tr w14:paraId="7946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vAlign w:val="center"/>
          </w:tcPr>
          <w:p w14:paraId="4A6B1943">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653" w:type="pct"/>
            <w:shd w:val="clear" w:color="auto" w:fill="auto"/>
            <w:vAlign w:val="center"/>
          </w:tcPr>
          <w:p w14:paraId="05A82864">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kern w:val="0"/>
                <w:sz w:val="24"/>
                <w:szCs w:val="24"/>
              </w:rPr>
              <w:t>智能空瓶回收</w:t>
            </w:r>
          </w:p>
        </w:tc>
        <w:tc>
          <w:tcPr>
            <w:tcW w:w="3857" w:type="pct"/>
            <w:vAlign w:val="center"/>
          </w:tcPr>
          <w:p w14:paraId="1F4E3CF3">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rPr>
              <w:t>具备空安瓿瓶回收功能，识别空安瓿相关信息，可自动计算未回收的空安瓿数量；按预设库存阈值，满仓时在智能管理终端和管理端同时报警提示；</w:t>
            </w:r>
          </w:p>
        </w:tc>
      </w:tr>
      <w:tr w14:paraId="55601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489" w:type="pct"/>
            <w:vAlign w:val="center"/>
          </w:tcPr>
          <w:p w14:paraId="360E5752">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653" w:type="pct"/>
            <w:shd w:val="clear" w:color="auto" w:fill="auto"/>
            <w:vAlign w:val="center"/>
          </w:tcPr>
          <w:p w14:paraId="4A8F021F">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余液处理管理</w:t>
            </w:r>
          </w:p>
        </w:tc>
        <w:tc>
          <w:tcPr>
            <w:tcW w:w="3857" w:type="pct"/>
            <w:vAlign w:val="center"/>
          </w:tcPr>
          <w:p w14:paraId="06BB58D3">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b w:val="0"/>
                <w:bCs/>
                <w:color w:val="auto"/>
                <w:kern w:val="0"/>
                <w:sz w:val="24"/>
                <w:szCs w:val="24"/>
                <w:lang w:val="en-US" w:eastAsia="zh-CN"/>
              </w:rPr>
              <w:t>可根据取药记录获取药品品规、批号及用药患者信息，系统根据取药信息、退药信息及手麻系统用药信息自动计算余液量，双人核验记录生成报表，监控摄像头全程监控记录余液处理全过程，视频记录保存时间≥180天；</w:t>
            </w:r>
          </w:p>
        </w:tc>
      </w:tr>
      <w:tr w14:paraId="0B6C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shd w:val="clear" w:color="auto" w:fill="auto"/>
            <w:vAlign w:val="center"/>
          </w:tcPr>
          <w:p w14:paraId="2BEB3731">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11</w:t>
            </w:r>
          </w:p>
        </w:tc>
        <w:tc>
          <w:tcPr>
            <w:tcW w:w="653" w:type="pct"/>
            <w:shd w:val="clear" w:color="auto" w:fill="auto"/>
            <w:vAlign w:val="center"/>
          </w:tcPr>
          <w:p w14:paraId="2E2E1494">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b/>
                <w:kern w:val="0"/>
                <w:sz w:val="24"/>
                <w:szCs w:val="24"/>
              </w:rPr>
              <w:t>统计报表</w:t>
            </w:r>
          </w:p>
        </w:tc>
        <w:tc>
          <w:tcPr>
            <w:tcW w:w="3857" w:type="pct"/>
            <w:shd w:val="clear" w:color="auto" w:fill="auto"/>
            <w:vAlign w:val="center"/>
          </w:tcPr>
          <w:p w14:paraId="1B0530F7">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可自动生成符合麻精药管理要求的报表并支持导出；可根据科室的实际需求设计定制；</w:t>
            </w:r>
          </w:p>
        </w:tc>
      </w:tr>
      <w:tr w14:paraId="3CFD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shd w:val="clear" w:color="auto" w:fill="auto"/>
            <w:vAlign w:val="center"/>
          </w:tcPr>
          <w:p w14:paraId="50E1BEB5">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12</w:t>
            </w:r>
          </w:p>
        </w:tc>
        <w:tc>
          <w:tcPr>
            <w:tcW w:w="653" w:type="pct"/>
            <w:shd w:val="clear" w:color="auto" w:fill="auto"/>
            <w:vAlign w:val="center"/>
          </w:tcPr>
          <w:p w14:paraId="389E296A">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b/>
                <w:kern w:val="0"/>
                <w:sz w:val="24"/>
                <w:szCs w:val="24"/>
              </w:rPr>
              <w:t>管理设置</w:t>
            </w:r>
          </w:p>
        </w:tc>
        <w:tc>
          <w:tcPr>
            <w:tcW w:w="3857" w:type="pct"/>
            <w:shd w:val="clear" w:color="auto" w:fill="auto"/>
            <w:vAlign w:val="center"/>
          </w:tcPr>
          <w:p w14:paraId="69579C11">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可设置药品分类、属性、取药规则等管理机制，根据科室的实际需求设计定制；</w:t>
            </w:r>
          </w:p>
        </w:tc>
      </w:tr>
      <w:tr w14:paraId="33C56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489" w:type="pct"/>
            <w:shd w:val="clear" w:color="auto" w:fill="auto"/>
            <w:vAlign w:val="center"/>
          </w:tcPr>
          <w:p w14:paraId="3068DF39">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13</w:t>
            </w:r>
          </w:p>
        </w:tc>
        <w:tc>
          <w:tcPr>
            <w:tcW w:w="653" w:type="pct"/>
            <w:shd w:val="clear" w:color="auto" w:fill="auto"/>
            <w:vAlign w:val="center"/>
          </w:tcPr>
          <w:p w14:paraId="0EB436F3">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b/>
                <w:kern w:val="0"/>
                <w:sz w:val="24"/>
                <w:szCs w:val="24"/>
              </w:rPr>
              <w:t>权限管理</w:t>
            </w:r>
          </w:p>
        </w:tc>
        <w:tc>
          <w:tcPr>
            <w:tcW w:w="3857" w:type="pct"/>
            <w:shd w:val="clear" w:color="auto" w:fill="auto"/>
            <w:vAlign w:val="center"/>
          </w:tcPr>
          <w:p w14:paraId="53D62A84">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支持多级权限管理，对不同角色权限的用户只限于访问特定分配的操作模块；</w:t>
            </w:r>
          </w:p>
        </w:tc>
      </w:tr>
      <w:tr w14:paraId="0932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shd w:val="clear" w:color="auto" w:fill="auto"/>
            <w:vAlign w:val="center"/>
          </w:tcPr>
          <w:p w14:paraId="67903A28">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14</w:t>
            </w:r>
          </w:p>
        </w:tc>
        <w:tc>
          <w:tcPr>
            <w:tcW w:w="653" w:type="pct"/>
            <w:shd w:val="clear" w:color="auto" w:fill="auto"/>
            <w:vAlign w:val="center"/>
          </w:tcPr>
          <w:p w14:paraId="73D34171">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b/>
                <w:kern w:val="0"/>
                <w:sz w:val="24"/>
                <w:szCs w:val="24"/>
              </w:rPr>
              <w:t>数据备份</w:t>
            </w:r>
          </w:p>
        </w:tc>
        <w:tc>
          <w:tcPr>
            <w:tcW w:w="3857" w:type="pct"/>
            <w:shd w:val="clear" w:color="auto" w:fill="auto"/>
            <w:vAlign w:val="center"/>
          </w:tcPr>
          <w:p w14:paraId="6263CD1A">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用药数据保留5年以上，实时/定时备份数据，确保数据不丢失；</w:t>
            </w:r>
          </w:p>
        </w:tc>
      </w:tr>
      <w:tr w14:paraId="1013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shd w:val="clear" w:color="auto" w:fill="auto"/>
            <w:vAlign w:val="center"/>
          </w:tcPr>
          <w:p w14:paraId="589B5748">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15</w:t>
            </w:r>
          </w:p>
        </w:tc>
        <w:tc>
          <w:tcPr>
            <w:tcW w:w="653" w:type="pct"/>
            <w:shd w:val="clear" w:color="auto" w:fill="auto"/>
            <w:vAlign w:val="center"/>
          </w:tcPr>
          <w:p w14:paraId="7764AB1D">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b/>
                <w:kern w:val="0"/>
                <w:sz w:val="24"/>
                <w:szCs w:val="24"/>
              </w:rPr>
              <w:t>系统对接</w:t>
            </w:r>
          </w:p>
        </w:tc>
        <w:tc>
          <w:tcPr>
            <w:tcW w:w="3857" w:type="pct"/>
            <w:shd w:val="clear" w:color="auto" w:fill="auto"/>
            <w:vAlign w:val="center"/>
          </w:tcPr>
          <w:p w14:paraId="5EB4B3B2">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支持与医院集成平台或HIS系统、手麻系统等第三方系统的无缝对接</w:t>
            </w:r>
            <w:r>
              <w:rPr>
                <w:rFonts w:hint="eastAsia" w:ascii="仿宋" w:hAnsi="仿宋" w:eastAsia="仿宋" w:cs="仿宋"/>
                <w:kern w:val="0"/>
                <w:sz w:val="24"/>
                <w:szCs w:val="24"/>
                <w:lang w:eastAsia="zh-CN"/>
              </w:rPr>
              <w:t>；</w:t>
            </w:r>
          </w:p>
        </w:tc>
      </w:tr>
      <w:tr w14:paraId="26F82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89" w:type="pct"/>
            <w:shd w:val="clear" w:color="auto" w:fill="auto"/>
            <w:vAlign w:val="center"/>
          </w:tcPr>
          <w:p w14:paraId="0293B0B5">
            <w:pPr>
              <w:keepNext w:val="0"/>
              <w:keepLines w:val="0"/>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16</w:t>
            </w:r>
          </w:p>
        </w:tc>
        <w:tc>
          <w:tcPr>
            <w:tcW w:w="653" w:type="pct"/>
            <w:shd w:val="clear" w:color="auto" w:fill="auto"/>
            <w:vAlign w:val="center"/>
          </w:tcPr>
          <w:p w14:paraId="4BA03F70">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b/>
                <w:kern w:val="0"/>
                <w:sz w:val="24"/>
                <w:szCs w:val="24"/>
              </w:rPr>
              <w:t>数据迁移</w:t>
            </w:r>
          </w:p>
        </w:tc>
        <w:tc>
          <w:tcPr>
            <w:tcW w:w="3857" w:type="pct"/>
            <w:shd w:val="clear" w:color="auto" w:fill="auto"/>
            <w:vAlign w:val="center"/>
          </w:tcPr>
          <w:p w14:paraId="39AF11A6">
            <w:pPr>
              <w:keepNext w:val="0"/>
              <w:keepLines w:val="0"/>
              <w:pageBreakBefore w:val="0"/>
              <w:widowControl w:val="0"/>
              <w:kinsoku/>
              <w:wordWrap/>
              <w:overflowPunct/>
              <w:topLinePunct w:val="0"/>
              <w:autoSpaceDE/>
              <w:autoSpaceDN/>
              <w:bidi w:val="0"/>
              <w:adjustRightInd/>
              <w:snapToGrid/>
              <w:spacing w:before="0" w:line="360" w:lineRule="auto"/>
              <w:ind w:left="0" w:leftChars="0" w:firstLine="0"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b w:val="0"/>
                <w:bCs w:val="0"/>
                <w:kern w:val="0"/>
                <w:sz w:val="24"/>
                <w:szCs w:val="24"/>
              </w:rPr>
              <w:t>系统升级后，原系统中的数据需要完整迁移到新的系统设备中</w:t>
            </w:r>
            <w:r>
              <w:rPr>
                <w:rFonts w:hint="eastAsia" w:ascii="仿宋" w:hAnsi="仿宋" w:eastAsia="仿宋" w:cs="仿宋"/>
                <w:b w:val="0"/>
                <w:bCs w:val="0"/>
                <w:kern w:val="0"/>
                <w:sz w:val="24"/>
                <w:szCs w:val="24"/>
                <w:lang w:eastAsia="zh-CN"/>
              </w:rPr>
              <w:t>。</w:t>
            </w:r>
          </w:p>
        </w:tc>
      </w:tr>
    </w:tbl>
    <w:p w14:paraId="3CDEEC6D">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、根据国家对麻精药品管理要求</w:t>
      </w:r>
      <w:r>
        <w:rPr>
          <w:rFonts w:hint="eastAsia" w:ascii="仿宋" w:hAnsi="仿宋" w:eastAsia="仿宋" w:cs="仿宋"/>
          <w:sz w:val="24"/>
          <w:szCs w:val="24"/>
          <w:lang w:val="en-US" w:eastAsia="zh-CN"/>
        </w:rPr>
        <w:t>软硬件</w:t>
      </w:r>
      <w:r>
        <w:rPr>
          <w:rFonts w:hint="eastAsia" w:ascii="仿宋" w:hAnsi="仿宋" w:eastAsia="仿宋" w:cs="仿宋"/>
          <w:sz w:val="24"/>
          <w:szCs w:val="24"/>
        </w:rPr>
        <w:t>升级</w:t>
      </w:r>
      <w:r>
        <w:rPr>
          <w:rFonts w:hint="eastAsia" w:ascii="仿宋" w:hAnsi="仿宋" w:eastAsia="仿宋" w:cs="仿宋"/>
          <w:sz w:val="24"/>
          <w:szCs w:val="24"/>
          <w:lang w:val="en-US" w:eastAsia="zh-CN"/>
        </w:rPr>
        <w:t>和部件更换</w:t>
      </w:r>
      <w:r>
        <w:rPr>
          <w:rFonts w:hint="eastAsia" w:ascii="仿宋" w:hAnsi="仿宋" w:eastAsia="仿宋" w:cs="仿宋"/>
          <w:sz w:val="24"/>
          <w:szCs w:val="24"/>
        </w:rPr>
        <w:t>，</w:t>
      </w:r>
      <w:r>
        <w:rPr>
          <w:rFonts w:hint="eastAsia" w:ascii="仿宋" w:hAnsi="仿宋" w:eastAsia="仿宋" w:cs="仿宋"/>
          <w:sz w:val="24"/>
          <w:szCs w:val="24"/>
          <w:lang w:val="en-US" w:eastAsia="zh-CN"/>
        </w:rPr>
        <w:t>并</w:t>
      </w:r>
      <w:r>
        <w:rPr>
          <w:rFonts w:hint="eastAsia" w:ascii="仿宋" w:hAnsi="仿宋" w:eastAsia="仿宋" w:cs="仿宋"/>
          <w:sz w:val="24"/>
          <w:szCs w:val="24"/>
        </w:rPr>
        <w:t>加装摄像系统和残液处理系统</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具体如下：</w:t>
      </w:r>
    </w:p>
    <w:tbl>
      <w:tblPr>
        <w:tblStyle w:val="18"/>
        <w:tblW w:w="4997"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81"/>
        <w:gridCol w:w="2916"/>
        <w:gridCol w:w="1966"/>
        <w:gridCol w:w="1377"/>
        <w:gridCol w:w="1377"/>
      </w:tblGrid>
      <w:tr w14:paraId="59A870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6E18CF04">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711" w:type="pct"/>
            <w:vAlign w:val="center"/>
          </w:tcPr>
          <w:p w14:paraId="3C090E8A">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组件</w:t>
            </w:r>
          </w:p>
        </w:tc>
        <w:tc>
          <w:tcPr>
            <w:tcW w:w="1154" w:type="pct"/>
            <w:vAlign w:val="center"/>
          </w:tcPr>
          <w:p w14:paraId="467C8EFF">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说明</w:t>
            </w:r>
          </w:p>
        </w:tc>
        <w:tc>
          <w:tcPr>
            <w:tcW w:w="808" w:type="pct"/>
            <w:vAlign w:val="center"/>
          </w:tcPr>
          <w:p w14:paraId="3F4605FB">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数量</w:t>
            </w:r>
          </w:p>
        </w:tc>
        <w:tc>
          <w:tcPr>
            <w:tcW w:w="808" w:type="pct"/>
            <w:vAlign w:val="center"/>
          </w:tcPr>
          <w:p w14:paraId="376B5420">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74081A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258751EB">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711" w:type="pct"/>
            <w:vAlign w:val="center"/>
          </w:tcPr>
          <w:p w14:paraId="09E94819">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21.5英寸电容显示屏模组</w:t>
            </w:r>
          </w:p>
        </w:tc>
        <w:tc>
          <w:tcPr>
            <w:tcW w:w="1154" w:type="pct"/>
            <w:vAlign w:val="center"/>
          </w:tcPr>
          <w:p w14:paraId="738B83CF">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药车显示屏触屏</w:t>
            </w:r>
          </w:p>
        </w:tc>
        <w:tc>
          <w:tcPr>
            <w:tcW w:w="808" w:type="pct"/>
            <w:vAlign w:val="center"/>
          </w:tcPr>
          <w:p w14:paraId="3AA2222D">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10个</w:t>
            </w:r>
          </w:p>
        </w:tc>
        <w:tc>
          <w:tcPr>
            <w:tcW w:w="808" w:type="pct"/>
            <w:vAlign w:val="center"/>
          </w:tcPr>
          <w:p w14:paraId="5016D796">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更换</w:t>
            </w:r>
          </w:p>
        </w:tc>
      </w:tr>
      <w:tr w14:paraId="2848F6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65F2013D">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711" w:type="pct"/>
            <w:vAlign w:val="center"/>
          </w:tcPr>
          <w:p w14:paraId="61DB0CED">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条码扫描模组</w:t>
            </w:r>
          </w:p>
        </w:tc>
        <w:tc>
          <w:tcPr>
            <w:tcW w:w="1154" w:type="pct"/>
            <w:vAlign w:val="center"/>
          </w:tcPr>
          <w:p w14:paraId="59D87E6A">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回收空安瓿扫码装置</w:t>
            </w:r>
          </w:p>
        </w:tc>
        <w:tc>
          <w:tcPr>
            <w:tcW w:w="808" w:type="pct"/>
            <w:vAlign w:val="center"/>
          </w:tcPr>
          <w:p w14:paraId="72DABE61">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10个</w:t>
            </w:r>
          </w:p>
        </w:tc>
        <w:tc>
          <w:tcPr>
            <w:tcW w:w="808" w:type="pct"/>
            <w:vAlign w:val="center"/>
          </w:tcPr>
          <w:p w14:paraId="0015B170">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675DE5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17819679">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711" w:type="pct"/>
            <w:vAlign w:val="center"/>
          </w:tcPr>
          <w:p w14:paraId="6E693ED4">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限位块</w:t>
            </w:r>
          </w:p>
        </w:tc>
        <w:tc>
          <w:tcPr>
            <w:tcW w:w="1154" w:type="pct"/>
            <w:vAlign w:val="center"/>
          </w:tcPr>
          <w:p w14:paraId="371FB9CF">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药槽配件</w:t>
            </w:r>
          </w:p>
        </w:tc>
        <w:tc>
          <w:tcPr>
            <w:tcW w:w="808" w:type="pct"/>
            <w:vAlign w:val="center"/>
          </w:tcPr>
          <w:p w14:paraId="457F0173">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2000个</w:t>
            </w:r>
          </w:p>
        </w:tc>
        <w:tc>
          <w:tcPr>
            <w:tcW w:w="808" w:type="pct"/>
            <w:vAlign w:val="center"/>
          </w:tcPr>
          <w:p w14:paraId="1D0460A5">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225E9C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79C4CF9B">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711" w:type="pct"/>
            <w:vAlign w:val="center"/>
          </w:tcPr>
          <w:p w14:paraId="563241F4">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电磁锁模组</w:t>
            </w:r>
          </w:p>
        </w:tc>
        <w:tc>
          <w:tcPr>
            <w:tcW w:w="1154" w:type="pct"/>
            <w:vAlign w:val="center"/>
          </w:tcPr>
          <w:p w14:paraId="321B4367">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药车抽屉锁</w:t>
            </w:r>
          </w:p>
        </w:tc>
        <w:tc>
          <w:tcPr>
            <w:tcW w:w="808" w:type="pct"/>
            <w:vAlign w:val="center"/>
          </w:tcPr>
          <w:p w14:paraId="4D9974F6">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20个</w:t>
            </w:r>
          </w:p>
        </w:tc>
        <w:tc>
          <w:tcPr>
            <w:tcW w:w="808" w:type="pct"/>
            <w:vAlign w:val="center"/>
          </w:tcPr>
          <w:p w14:paraId="72659B91">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4882D3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43FEC1F4">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711" w:type="pct"/>
            <w:vAlign w:val="center"/>
          </w:tcPr>
          <w:p w14:paraId="0270D7C1">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散热模组</w:t>
            </w:r>
          </w:p>
        </w:tc>
        <w:tc>
          <w:tcPr>
            <w:tcW w:w="1154" w:type="pct"/>
            <w:vAlign w:val="center"/>
          </w:tcPr>
          <w:p w14:paraId="136A6022">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散热风扇及配件</w:t>
            </w:r>
          </w:p>
        </w:tc>
        <w:tc>
          <w:tcPr>
            <w:tcW w:w="808" w:type="pct"/>
            <w:vAlign w:val="center"/>
          </w:tcPr>
          <w:p w14:paraId="3CF21DED">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20个</w:t>
            </w:r>
          </w:p>
        </w:tc>
        <w:tc>
          <w:tcPr>
            <w:tcW w:w="808" w:type="pct"/>
            <w:vAlign w:val="center"/>
          </w:tcPr>
          <w:p w14:paraId="67CD82E8">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1C61F8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2FD6442A">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711" w:type="pct"/>
            <w:vAlign w:val="center"/>
          </w:tcPr>
          <w:p w14:paraId="3A7093F4">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电源模组</w:t>
            </w:r>
          </w:p>
        </w:tc>
        <w:tc>
          <w:tcPr>
            <w:tcW w:w="1154" w:type="pct"/>
            <w:vAlign w:val="center"/>
          </w:tcPr>
          <w:p w14:paraId="183E6E36">
            <w:pPr>
              <w:pStyle w:val="12"/>
              <w:ind w:left="0" w:leftChars="0" w:firstLine="0" w:firstLineChars="0"/>
              <w:rPr>
                <w:rFonts w:hint="eastAsia" w:ascii="仿宋" w:hAnsi="仿宋" w:eastAsia="仿宋" w:cs="仿宋"/>
                <w:sz w:val="24"/>
                <w:szCs w:val="24"/>
              </w:rPr>
            </w:pPr>
          </w:p>
        </w:tc>
        <w:tc>
          <w:tcPr>
            <w:tcW w:w="808" w:type="pct"/>
            <w:vAlign w:val="center"/>
          </w:tcPr>
          <w:p w14:paraId="20882D3C">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44个</w:t>
            </w:r>
          </w:p>
        </w:tc>
        <w:tc>
          <w:tcPr>
            <w:tcW w:w="808" w:type="pct"/>
            <w:vAlign w:val="center"/>
          </w:tcPr>
          <w:p w14:paraId="36406F2B">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5ECDE2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286F745C">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711" w:type="pct"/>
            <w:vAlign w:val="center"/>
          </w:tcPr>
          <w:p w14:paraId="5BCD3A8E">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红外板</w:t>
            </w:r>
          </w:p>
        </w:tc>
        <w:tc>
          <w:tcPr>
            <w:tcW w:w="1154" w:type="pct"/>
            <w:vAlign w:val="center"/>
          </w:tcPr>
          <w:p w14:paraId="2946527F">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药槽识别</w:t>
            </w:r>
          </w:p>
        </w:tc>
        <w:tc>
          <w:tcPr>
            <w:tcW w:w="808" w:type="pct"/>
            <w:vAlign w:val="center"/>
          </w:tcPr>
          <w:p w14:paraId="219D0C65">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30个</w:t>
            </w:r>
          </w:p>
        </w:tc>
        <w:tc>
          <w:tcPr>
            <w:tcW w:w="808" w:type="pct"/>
            <w:vAlign w:val="center"/>
          </w:tcPr>
          <w:p w14:paraId="45304AED">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4534EF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0446BBC0">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1711" w:type="pct"/>
            <w:vAlign w:val="center"/>
          </w:tcPr>
          <w:p w14:paraId="754296EB">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灯板</w:t>
            </w:r>
          </w:p>
        </w:tc>
        <w:tc>
          <w:tcPr>
            <w:tcW w:w="1154" w:type="pct"/>
            <w:vAlign w:val="center"/>
          </w:tcPr>
          <w:p w14:paraId="73093FF0">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取药指示灯</w:t>
            </w:r>
          </w:p>
        </w:tc>
        <w:tc>
          <w:tcPr>
            <w:tcW w:w="808" w:type="pct"/>
            <w:vAlign w:val="center"/>
          </w:tcPr>
          <w:p w14:paraId="13613A56">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30个</w:t>
            </w:r>
          </w:p>
        </w:tc>
        <w:tc>
          <w:tcPr>
            <w:tcW w:w="808" w:type="pct"/>
            <w:vAlign w:val="center"/>
          </w:tcPr>
          <w:p w14:paraId="74CCE7DF">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299CE7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60814527">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1711" w:type="pct"/>
            <w:vAlign w:val="center"/>
          </w:tcPr>
          <w:p w14:paraId="6332B32C">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电源板</w:t>
            </w:r>
          </w:p>
        </w:tc>
        <w:tc>
          <w:tcPr>
            <w:tcW w:w="1154" w:type="pct"/>
            <w:vAlign w:val="center"/>
          </w:tcPr>
          <w:p w14:paraId="5BBB41A1">
            <w:pPr>
              <w:pStyle w:val="12"/>
              <w:ind w:left="0" w:leftChars="0" w:firstLine="0" w:firstLineChars="0"/>
              <w:rPr>
                <w:rFonts w:hint="eastAsia" w:ascii="仿宋" w:hAnsi="仿宋" w:eastAsia="仿宋" w:cs="仿宋"/>
                <w:sz w:val="24"/>
                <w:szCs w:val="24"/>
              </w:rPr>
            </w:pPr>
          </w:p>
        </w:tc>
        <w:tc>
          <w:tcPr>
            <w:tcW w:w="808" w:type="pct"/>
            <w:vAlign w:val="center"/>
          </w:tcPr>
          <w:p w14:paraId="6FB640E4">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10个</w:t>
            </w:r>
          </w:p>
        </w:tc>
        <w:tc>
          <w:tcPr>
            <w:tcW w:w="808" w:type="pct"/>
            <w:vAlign w:val="center"/>
          </w:tcPr>
          <w:p w14:paraId="47054186">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53F922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6C0F438D">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1711" w:type="pct"/>
            <w:vAlign w:val="center"/>
          </w:tcPr>
          <w:p w14:paraId="1AD0C060">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主控板</w:t>
            </w:r>
          </w:p>
        </w:tc>
        <w:tc>
          <w:tcPr>
            <w:tcW w:w="1154" w:type="pct"/>
            <w:vAlign w:val="center"/>
          </w:tcPr>
          <w:p w14:paraId="39072B91">
            <w:pPr>
              <w:pStyle w:val="12"/>
              <w:ind w:left="0" w:leftChars="0" w:firstLine="0" w:firstLineChars="0"/>
              <w:rPr>
                <w:rFonts w:hint="eastAsia" w:ascii="仿宋" w:hAnsi="仿宋" w:eastAsia="仿宋" w:cs="仿宋"/>
                <w:sz w:val="24"/>
                <w:szCs w:val="24"/>
              </w:rPr>
            </w:pPr>
          </w:p>
        </w:tc>
        <w:tc>
          <w:tcPr>
            <w:tcW w:w="808" w:type="pct"/>
            <w:vAlign w:val="center"/>
          </w:tcPr>
          <w:p w14:paraId="7FE9A0CD">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5个</w:t>
            </w:r>
          </w:p>
        </w:tc>
        <w:tc>
          <w:tcPr>
            <w:tcW w:w="808" w:type="pct"/>
            <w:vAlign w:val="center"/>
          </w:tcPr>
          <w:p w14:paraId="3C262B34">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更换</w:t>
            </w:r>
          </w:p>
        </w:tc>
      </w:tr>
      <w:tr w14:paraId="647A75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7" w:type="pct"/>
            <w:vAlign w:val="center"/>
          </w:tcPr>
          <w:p w14:paraId="0B562123">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711" w:type="pct"/>
            <w:vAlign w:val="center"/>
          </w:tcPr>
          <w:p w14:paraId="5B3DB68B">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工控机模组+摄像头模组+回收箱（电机+盖）</w:t>
            </w:r>
          </w:p>
        </w:tc>
        <w:tc>
          <w:tcPr>
            <w:tcW w:w="1154" w:type="pct"/>
            <w:vAlign w:val="center"/>
          </w:tcPr>
          <w:p w14:paraId="316DA2BB">
            <w:pPr>
              <w:pStyle w:val="12"/>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摄像系统和残液处理系统</w:t>
            </w:r>
          </w:p>
        </w:tc>
        <w:tc>
          <w:tcPr>
            <w:tcW w:w="808" w:type="pct"/>
            <w:vAlign w:val="center"/>
          </w:tcPr>
          <w:p w14:paraId="50723377">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1套</w:t>
            </w:r>
          </w:p>
        </w:tc>
        <w:tc>
          <w:tcPr>
            <w:tcW w:w="808" w:type="pct"/>
            <w:vAlign w:val="center"/>
          </w:tcPr>
          <w:p w14:paraId="191735CF">
            <w:pPr>
              <w:pStyle w:val="12"/>
              <w:ind w:left="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新增</w:t>
            </w:r>
          </w:p>
        </w:tc>
      </w:tr>
    </w:tbl>
    <w:p w14:paraId="57C4B046">
      <w:pPr>
        <w:pStyle w:val="12"/>
        <w:ind w:left="0" w:leftChars="0" w:firstLine="0" w:firstLineChars="0"/>
        <w:rPr>
          <w:rFonts w:hint="eastAsia" w:ascii="仿宋" w:hAnsi="仿宋" w:eastAsia="仿宋" w:cs="仿宋"/>
        </w:rPr>
      </w:pPr>
    </w:p>
    <w:sectPr>
      <w:headerReference r:id="rId6" w:type="first"/>
      <w:footerReference r:id="rId9" w:type="first"/>
      <w:footerReference r:id="rId7" w:type="default"/>
      <w:headerReference r:id="rId5" w:type="even"/>
      <w:footerReference r:id="rId8"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D39EA">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36130">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78351">
    <w:pPr>
      <w:pStyle w:val="1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20"/>
      </w:pPr>
      <w:r>
        <w:separator/>
      </w:r>
    </w:p>
  </w:footnote>
  <w:footnote w:type="continuationSeparator" w:id="1">
    <w:p>
      <w:pPr>
        <w:spacing w:before="0" w:after="0"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07B8F">
    <w:pPr>
      <w:pStyle w:val="11"/>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A3061">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439C0C"/>
    <w:multiLevelType w:val="singleLevel"/>
    <w:tmpl w:val="BD439C0C"/>
    <w:lvl w:ilvl="0" w:tentative="0">
      <w:start w:val="1"/>
      <w:numFmt w:val="decimal"/>
      <w:suff w:val="nothing"/>
      <w:lvlText w:val="%1、"/>
      <w:lvlJc w:val="left"/>
    </w:lvl>
  </w:abstractNum>
  <w:abstractNum w:abstractNumId="1">
    <w:nsid w:val="0AB45651"/>
    <w:multiLevelType w:val="multilevel"/>
    <w:tmpl w:val="0AB45651"/>
    <w:lvl w:ilvl="0" w:tentative="0">
      <w:start w:val="1"/>
      <w:numFmt w:val="chineseCountingThousand"/>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1654D0F9"/>
    <w:multiLevelType w:val="singleLevel"/>
    <w:tmpl w:val="1654D0F9"/>
    <w:lvl w:ilvl="0" w:tentative="0">
      <w:start w:val="5"/>
      <w:numFmt w:val="decimal"/>
      <w:suff w:val="nothing"/>
      <w:lvlText w:val="（%1）"/>
      <w:lvlJc w:val="left"/>
    </w:lvl>
  </w:abstractNum>
  <w:abstractNum w:abstractNumId="3">
    <w:nsid w:val="2A45A09F"/>
    <w:multiLevelType w:val="singleLevel"/>
    <w:tmpl w:val="2A45A09F"/>
    <w:lvl w:ilvl="0" w:tentative="0">
      <w:start w:val="1"/>
      <w:numFmt w:val="decimal"/>
      <w:suff w:val="nothing"/>
      <w:lvlText w:val="%1）"/>
      <w:lvlJc w:val="left"/>
      <w:pPr>
        <w:ind w:left="-420"/>
      </w:pPr>
    </w:lvl>
  </w:abstractNum>
  <w:abstractNum w:abstractNumId="4">
    <w:nsid w:val="33BF59D7"/>
    <w:multiLevelType w:val="multilevel"/>
    <w:tmpl w:val="33BF59D7"/>
    <w:lvl w:ilvl="0" w:tentative="0">
      <w:start w:val="1"/>
      <w:numFmt w:val="japaneseCounting"/>
      <w:pStyle w:val="21"/>
      <w:lvlText w:val="%1、"/>
      <w:lvlJc w:val="left"/>
      <w:pPr>
        <w:ind w:left="435" w:hanging="43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4732D342"/>
    <w:multiLevelType w:val="singleLevel"/>
    <w:tmpl w:val="4732D342"/>
    <w:lvl w:ilvl="0" w:tentative="0">
      <w:start w:val="4"/>
      <w:numFmt w:val="decimal"/>
      <w:lvlText w:val="%1."/>
      <w:lvlJc w:val="left"/>
      <w:pPr>
        <w:tabs>
          <w:tab w:val="left" w:pos="312"/>
        </w:tabs>
      </w:p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RhYTY3OGVhYWZmZmExY2IyMTMyNWE4MjA4ZWM1YmUifQ=="/>
  </w:docVars>
  <w:rsids>
    <w:rsidRoot w:val="7C270BB8"/>
    <w:rsid w:val="00272730"/>
    <w:rsid w:val="0056493B"/>
    <w:rsid w:val="00583F81"/>
    <w:rsid w:val="00607EEC"/>
    <w:rsid w:val="00655393"/>
    <w:rsid w:val="006C4714"/>
    <w:rsid w:val="007A08AF"/>
    <w:rsid w:val="007C6D4E"/>
    <w:rsid w:val="007C758C"/>
    <w:rsid w:val="0083406F"/>
    <w:rsid w:val="009555C4"/>
    <w:rsid w:val="00960283"/>
    <w:rsid w:val="009E4215"/>
    <w:rsid w:val="00A67DD6"/>
    <w:rsid w:val="00BD1EDB"/>
    <w:rsid w:val="00D63F80"/>
    <w:rsid w:val="00E02593"/>
    <w:rsid w:val="00E8458E"/>
    <w:rsid w:val="00F54F36"/>
    <w:rsid w:val="00FE0E44"/>
    <w:rsid w:val="079C3C62"/>
    <w:rsid w:val="091D43B0"/>
    <w:rsid w:val="094D472E"/>
    <w:rsid w:val="0C2F779B"/>
    <w:rsid w:val="0CA21D1B"/>
    <w:rsid w:val="0F8877C9"/>
    <w:rsid w:val="0FF30ADF"/>
    <w:rsid w:val="17547684"/>
    <w:rsid w:val="18EE1A7B"/>
    <w:rsid w:val="1A82318C"/>
    <w:rsid w:val="1D0E6F59"/>
    <w:rsid w:val="1E32790F"/>
    <w:rsid w:val="1E840AC7"/>
    <w:rsid w:val="1FA140B4"/>
    <w:rsid w:val="20E33B6F"/>
    <w:rsid w:val="20FE31B4"/>
    <w:rsid w:val="22395DD4"/>
    <w:rsid w:val="23F24960"/>
    <w:rsid w:val="2635043A"/>
    <w:rsid w:val="28DF6635"/>
    <w:rsid w:val="2A9A007E"/>
    <w:rsid w:val="2ACA3D71"/>
    <w:rsid w:val="2E5E06A1"/>
    <w:rsid w:val="2E6632B7"/>
    <w:rsid w:val="2F3E191F"/>
    <w:rsid w:val="30112B90"/>
    <w:rsid w:val="302D31B0"/>
    <w:rsid w:val="305B53A8"/>
    <w:rsid w:val="335464C2"/>
    <w:rsid w:val="336E7A0B"/>
    <w:rsid w:val="358F24AC"/>
    <w:rsid w:val="36E33B5E"/>
    <w:rsid w:val="3710073D"/>
    <w:rsid w:val="374843DF"/>
    <w:rsid w:val="3B086B58"/>
    <w:rsid w:val="3CDB07AE"/>
    <w:rsid w:val="3E6B5D05"/>
    <w:rsid w:val="42BA1E87"/>
    <w:rsid w:val="45AC2F34"/>
    <w:rsid w:val="4705591A"/>
    <w:rsid w:val="483641BF"/>
    <w:rsid w:val="490E789E"/>
    <w:rsid w:val="490F4F35"/>
    <w:rsid w:val="4B7A033A"/>
    <w:rsid w:val="4C3A6B73"/>
    <w:rsid w:val="518E3BE9"/>
    <w:rsid w:val="51F8300A"/>
    <w:rsid w:val="53BC3594"/>
    <w:rsid w:val="58BC10D6"/>
    <w:rsid w:val="598C44F7"/>
    <w:rsid w:val="5B601E9B"/>
    <w:rsid w:val="5DA0717E"/>
    <w:rsid w:val="60D3518D"/>
    <w:rsid w:val="612D28B6"/>
    <w:rsid w:val="627664B1"/>
    <w:rsid w:val="69D8228C"/>
    <w:rsid w:val="6B4C6025"/>
    <w:rsid w:val="6BB6035B"/>
    <w:rsid w:val="6C561999"/>
    <w:rsid w:val="6D804FD4"/>
    <w:rsid w:val="70922C0A"/>
    <w:rsid w:val="72D245E7"/>
    <w:rsid w:val="76BE71B6"/>
    <w:rsid w:val="79D14349"/>
    <w:rsid w:val="7A7D46A0"/>
    <w:rsid w:val="7B0556E1"/>
    <w:rsid w:val="7B8E386D"/>
    <w:rsid w:val="7C270BB8"/>
    <w:rsid w:val="7CD837B0"/>
    <w:rsid w:val="7EAA7A04"/>
    <w:rsid w:val="7FA53D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before="160" w:line="360" w:lineRule="auto"/>
      <w:ind w:firstLine="420" w:firstLineChars="20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9"/>
    <w:pPr>
      <w:keepNext/>
      <w:keepLines/>
      <w:spacing w:before="340" w:after="330" w:line="578" w:lineRule="auto"/>
      <w:jc w:val="left"/>
      <w:outlineLvl w:val="0"/>
    </w:pPr>
    <w:rPr>
      <w:b/>
      <w:bCs/>
      <w:kern w:val="44"/>
      <w:sz w:val="44"/>
      <w:szCs w:val="44"/>
      <w14:ligatures w14:val="standardContextual"/>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rPr>
      <w:rFonts w:ascii="宋体"/>
    </w:rPr>
  </w:style>
  <w:style w:type="paragraph" w:styleId="6">
    <w:name w:val="Body Text"/>
    <w:basedOn w:val="1"/>
    <w:autoRedefine/>
    <w:qFormat/>
    <w:uiPriority w:val="99"/>
    <w:pPr>
      <w:spacing w:after="120"/>
    </w:pPr>
  </w:style>
  <w:style w:type="paragraph" w:styleId="7">
    <w:name w:val="Body Text Indent"/>
    <w:basedOn w:val="1"/>
    <w:qFormat/>
    <w:uiPriority w:val="0"/>
    <w:pPr>
      <w:ind w:left="608" w:hanging="608"/>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footer"/>
    <w:basedOn w:val="1"/>
    <w:qFormat/>
    <w:uiPriority w:val="99"/>
    <w:pPr>
      <w:tabs>
        <w:tab w:val="center" w:pos="4153"/>
        <w:tab w:val="right" w:pos="8306"/>
      </w:tabs>
      <w:snapToGrid w:val="0"/>
      <w:jc w:val="left"/>
    </w:pPr>
    <w:rPr>
      <w:sz w:val="18"/>
    </w:rPr>
  </w:style>
  <w:style w:type="paragraph" w:styleId="11">
    <w:name w:val="header"/>
    <w:basedOn w:val="1"/>
    <w:link w:val="26"/>
    <w:qFormat/>
    <w:uiPriority w:val="0"/>
    <w:pP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Subtitle"/>
    <w:basedOn w:val="1"/>
    <w:next w:val="1"/>
    <w:link w:val="31"/>
    <w:qFormat/>
    <w:uiPriority w:val="0"/>
    <w:pPr>
      <w:spacing w:before="240" w:after="60" w:line="312" w:lineRule="auto"/>
      <w:jc w:val="center"/>
      <w:outlineLvl w:val="1"/>
    </w:pPr>
    <w:rPr>
      <w:b/>
      <w:bCs/>
      <w:kern w:val="28"/>
      <w:sz w:val="32"/>
      <w:szCs w:val="32"/>
    </w:rPr>
  </w:style>
  <w:style w:type="paragraph" w:styleId="14">
    <w:name w:val="Title"/>
    <w:basedOn w:val="1"/>
    <w:next w:val="1"/>
    <w:link w:val="30"/>
    <w:qFormat/>
    <w:uiPriority w:val="0"/>
    <w:pPr>
      <w:spacing w:before="240" w:after="60"/>
      <w:jc w:val="center"/>
      <w:outlineLvl w:val="0"/>
    </w:pPr>
    <w:rPr>
      <w:rFonts w:asciiTheme="majorHAnsi" w:hAnsiTheme="majorHAnsi" w:eastAsiaTheme="majorEastAsia" w:cstheme="majorBidi"/>
      <w:b/>
      <w:bCs/>
      <w:sz w:val="32"/>
      <w:szCs w:val="32"/>
    </w:rPr>
  </w:style>
  <w:style w:type="paragraph" w:styleId="15">
    <w:name w:val="Body Text First Indent"/>
    <w:basedOn w:val="6"/>
    <w:qFormat/>
    <w:uiPriority w:val="0"/>
    <w:pPr>
      <w:snapToGrid w:val="0"/>
      <w:spacing w:before="40" w:after="40" w:line="288" w:lineRule="auto"/>
      <w:ind w:firstLine="482"/>
    </w:pPr>
    <w:rPr>
      <w:rFonts w:ascii="仿宋_GB2312" w:hAnsi="仿宋_GB2312" w:eastAsia="仿宋_GB2312"/>
      <w:szCs w:val="20"/>
    </w:rPr>
  </w:style>
  <w:style w:type="paragraph" w:styleId="16">
    <w:name w:val="Body Text First Indent 2"/>
    <w:basedOn w:val="7"/>
    <w:qFormat/>
    <w:uiPriority w:val="0"/>
    <w:pPr>
      <w:snapToGrid w:val="0"/>
      <w:spacing w:after="120"/>
      <w:ind w:left="420" w:firstLine="420"/>
    </w:pPr>
    <w:rPr>
      <w:rFonts w:ascii="Tahoma" w:hAnsi="Tahoma"/>
      <w:szCs w:val="24"/>
    </w:rPr>
  </w:style>
  <w:style w:type="table" w:styleId="18">
    <w:name w:val="Table Grid"/>
    <w:basedOn w:val="1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21">
    <w:name w:val="List Paragraph"/>
    <w:basedOn w:val="1"/>
    <w:autoRedefine/>
    <w:qFormat/>
    <w:uiPriority w:val="34"/>
    <w:pPr>
      <w:numPr>
        <w:ilvl w:val="0"/>
        <w:numId w:val="1"/>
      </w:numPr>
      <w:ind w:firstLine="0" w:firstLineChars="0"/>
    </w:pPr>
    <w:rPr>
      <w:rFonts w:ascii="Calibri" w:hAnsi="Calibri"/>
    </w:rPr>
  </w:style>
  <w:style w:type="character" w:customStyle="1" w:styleId="22">
    <w:name w:val="正文文本缩进 2 字符"/>
    <w:link w:val="9"/>
    <w:autoRedefine/>
    <w:qFormat/>
    <w:uiPriority w:val="0"/>
    <w:rPr>
      <w:szCs w:val="20"/>
    </w:rPr>
  </w:style>
  <w:style w:type="paragraph" w:customStyle="1" w:styleId="23">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5"/>
      <w:szCs w:val="25"/>
      <w:lang w:eastAsia="en-US"/>
    </w:rPr>
  </w:style>
  <w:style w:type="character" w:customStyle="1" w:styleId="26">
    <w:name w:val="页眉 字符"/>
    <w:basedOn w:val="19"/>
    <w:link w:val="11"/>
    <w:qFormat/>
    <w:uiPriority w:val="0"/>
    <w:rPr>
      <w:rFonts w:asciiTheme="minorHAnsi" w:hAnsiTheme="minorHAnsi" w:eastAsiaTheme="minorEastAsia" w:cstheme="minorBidi"/>
      <w:kern w:val="2"/>
      <w:sz w:val="18"/>
      <w:szCs w:val="18"/>
    </w:rPr>
  </w:style>
  <w:style w:type="character" w:customStyle="1" w:styleId="27">
    <w:name w:val="标题 1 字符"/>
    <w:basedOn w:val="19"/>
    <w:link w:val="2"/>
    <w:qFormat/>
    <w:uiPriority w:val="9"/>
    <w:rPr>
      <w:rFonts w:asciiTheme="minorHAnsi" w:hAnsiTheme="minorHAnsi" w:eastAsiaTheme="minorEastAsia" w:cstheme="minorBidi"/>
      <w:b/>
      <w:bCs/>
      <w:kern w:val="44"/>
      <w:sz w:val="44"/>
      <w:szCs w:val="44"/>
      <w14:ligatures w14:val="standardContextual"/>
    </w:rPr>
  </w:style>
  <w:style w:type="paragraph" w:customStyle="1" w:styleId="28">
    <w:name w:val="acbfdd8b-e11b-4d36-88ff-6049b138f862"/>
    <w:basedOn w:val="6"/>
    <w:link w:val="29"/>
    <w:qFormat/>
    <w:uiPriority w:val="0"/>
    <w:pPr>
      <w:adjustRightInd w:val="0"/>
      <w:spacing w:after="0" w:line="288" w:lineRule="auto"/>
      <w:jc w:val="left"/>
    </w:pPr>
    <w:rPr>
      <w:rFonts w:ascii="微软雅黑" w:hAnsi="微软雅黑" w:eastAsia="微软雅黑"/>
      <w:color w:val="000000"/>
      <w:sz w:val="22"/>
      <w:szCs w:val="32"/>
    </w:rPr>
  </w:style>
  <w:style w:type="character" w:customStyle="1" w:styleId="29">
    <w:name w:val="acbfdd8b-e11b-4d36-88ff-6049b138f862 字符"/>
    <w:basedOn w:val="19"/>
    <w:link w:val="28"/>
    <w:qFormat/>
    <w:uiPriority w:val="0"/>
    <w:rPr>
      <w:rFonts w:ascii="微软雅黑" w:hAnsi="微软雅黑" w:eastAsia="微软雅黑" w:cstheme="minorBidi"/>
      <w:color w:val="000000"/>
      <w:kern w:val="2"/>
      <w:sz w:val="22"/>
      <w:szCs w:val="32"/>
    </w:rPr>
  </w:style>
  <w:style w:type="character" w:customStyle="1" w:styleId="30">
    <w:name w:val="标题 字符"/>
    <w:basedOn w:val="19"/>
    <w:link w:val="14"/>
    <w:qFormat/>
    <w:uiPriority w:val="0"/>
    <w:rPr>
      <w:rFonts w:asciiTheme="majorHAnsi" w:hAnsiTheme="majorHAnsi" w:eastAsiaTheme="majorEastAsia" w:cstheme="majorBidi"/>
      <w:b/>
      <w:bCs/>
      <w:kern w:val="2"/>
      <w:sz w:val="32"/>
      <w:szCs w:val="32"/>
    </w:rPr>
  </w:style>
  <w:style w:type="character" w:customStyle="1" w:styleId="31">
    <w:name w:val="副标题 字符"/>
    <w:basedOn w:val="19"/>
    <w:link w:val="13"/>
    <w:qFormat/>
    <w:uiPriority w:val="0"/>
    <w:rPr>
      <w:rFonts w:asciiTheme="minorHAnsi" w:hAnsiTheme="minorHAnsi" w:eastAsiaTheme="minorEastAsia" w:cstheme="minorBidi"/>
      <w:b/>
      <w:bCs/>
      <w:kern w:val="28"/>
      <w:sz w:val="32"/>
      <w:szCs w:val="32"/>
    </w:rPr>
  </w:style>
  <w:style w:type="character" w:customStyle="1" w:styleId="32">
    <w:name w:val="正文文本缩进 2 Char"/>
    <w:link w:val="9"/>
    <w:autoRedefine/>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BA343-85A2-42D8-B878-AC5F1A9C7036}">
  <ds:schemaRefs/>
</ds:datastoreItem>
</file>

<file path=docProps/app.xml><?xml version="1.0" encoding="utf-8"?>
<Properties xmlns="http://schemas.openxmlformats.org/officeDocument/2006/extended-properties" xmlns:vt="http://schemas.openxmlformats.org/officeDocument/2006/docPropsVTypes">
  <Template>Normal.dotm</Template>
  <Pages>8</Pages>
  <Words>2987</Words>
  <Characters>3104</Characters>
  <Lines>22</Lines>
  <Paragraphs>6</Paragraphs>
  <TotalTime>32</TotalTime>
  <ScaleCrop>false</ScaleCrop>
  <LinksUpToDate>false</LinksUpToDate>
  <CharactersWithSpaces>3331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2025-11-06T12:42:00Z</dcterms:created>
  <dc:creator>Rebecca</dc:creator>
  <cp:lastModifiedBy>桂明</cp:lastModifiedBy>
  <cp:lastPrinted>2025-11-12T01:45:00Z</cp:lastPrinted>
  <dcterms:modified xsi:type="dcterms:W3CDTF">2025-12-25T08:04:02Z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AE5CF5189D27461FBA908C390DE383A1_13</vt:lpwstr>
  </property>
  <property fmtid="{D5CDD505-2E9C-101B-9397-08002B2CF9AE}" pid="4" name="KSOTemplateDocerSaveRecord">
    <vt:lpwstr>eyJoZGlkIjoiMzlmMDI2MjJkZTk1YTZmYWVmMjlmYzNmOTZhMmRlZjIiLCJ1c2VySWQiOiIxNjk2OTc0NjU2In0=</vt:lpwstr>
  </property>
</Properties>
</file>