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A095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信息平台系统日常保障及调试优化</w:t>
      </w:r>
    </w:p>
    <w:p w14:paraId="05EC1F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仿宋" w:hAnsi="仿宋" w:eastAsia="仿宋"/>
          <w:b w:val="0"/>
          <w:bCs w:val="0"/>
          <w:sz w:val="32"/>
          <w:szCs w:val="32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服务</w:t>
      </w:r>
      <w:r>
        <w:rPr>
          <w:rFonts w:hint="eastAsia"/>
          <w:b/>
          <w:bCs/>
          <w:sz w:val="44"/>
          <w:szCs w:val="44"/>
        </w:rPr>
        <w:t>采购需求</w:t>
      </w:r>
    </w:p>
    <w:p w14:paraId="4E0FAB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仿宋" w:hAnsi="仿宋" w:eastAsia="仿宋"/>
          <w:b/>
          <w:sz w:val="32"/>
          <w:szCs w:val="32"/>
        </w:rPr>
      </w:pPr>
    </w:p>
    <w:p w14:paraId="78E31A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黑体" w:hAnsi="黑体" w:eastAsia="黑体" w:cs="黑体"/>
          <w:b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</w:rPr>
        <w:t>一、项目名称</w:t>
      </w:r>
    </w:p>
    <w:p w14:paraId="5F9598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信息平台系统日常保障及调试优化</w:t>
      </w:r>
    </w:p>
    <w:p w14:paraId="59851F7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黑体" w:hAnsi="黑体" w:eastAsia="黑体" w:cs="黑体"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二、资金预算</w:t>
      </w:r>
    </w:p>
    <w:p w14:paraId="6B345A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85万元（人民币捌拾伍万元整）</w:t>
      </w:r>
    </w:p>
    <w:p w14:paraId="676A4C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黑体" w:hAnsi="黑体" w:eastAsia="黑体" w:cs="黑体"/>
          <w:b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  <w:lang w:eastAsia="zh-CN"/>
        </w:rPr>
        <w:t>三</w:t>
      </w:r>
      <w:r>
        <w:rPr>
          <w:rFonts w:hint="eastAsia" w:ascii="黑体" w:hAnsi="黑体" w:eastAsia="黑体" w:cs="黑体"/>
          <w:b/>
          <w:sz w:val="32"/>
          <w:szCs w:val="32"/>
        </w:rPr>
        <w:t>、采购单位</w:t>
      </w:r>
    </w:p>
    <w:p w14:paraId="28912F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武汉市水务防汛信息中心（以下简称“采购人”）</w:t>
      </w:r>
    </w:p>
    <w:p w14:paraId="46969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  <w:lang w:eastAsia="zh-CN"/>
        </w:rPr>
        <w:t>四、</w:t>
      </w:r>
      <w:r>
        <w:rPr>
          <w:rFonts w:hint="eastAsia" w:ascii="黑体" w:hAnsi="黑体" w:eastAsia="黑体" w:cs="黑体"/>
          <w:b/>
          <w:sz w:val="32"/>
          <w:szCs w:val="32"/>
        </w:rPr>
        <w:t>服务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内容</w:t>
      </w:r>
    </w:p>
    <w:p w14:paraId="381C63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聚焦系统稳定运行、性能持续调优、数据规范治理、业务高效适配核心目标，通过标准化、流程化的专业运维手段，对水务信息平台系统开展日常保障及调试优化，保障水务防汛相关业务系统、数据平台的正常运转。服务内容分为基础巡检保障、应用系统运维保障、数据平台运维保障、专项运维保障。</w:t>
      </w:r>
    </w:p>
    <w:p w14:paraId="5CBA9D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（一）基础巡检保障</w:t>
      </w:r>
    </w:p>
    <w:p w14:paraId="47AEA1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对应用系统、基础平台、数据库及部署服务器实行常态化专人巡检，全流程保障系统稳定运行，及时排查处置各类异常。</w:t>
      </w:r>
    </w:p>
    <w:p w14:paraId="14AED2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1.服务器资源巡检。基于现有的统一运维管理平台，实时监测服务器 CPU、内存、磁盘 IO、网络带宽等资源使用情况，通过参数调优、资源调配等方式解决资源不足问题，保障服务器稳定运行。</w:t>
      </w:r>
    </w:p>
    <w:p w14:paraId="6454A5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2.日志巡检。定期巡检系统、平台、数据库运行日志，专业分析日志信息定位运行隐患，按规范清理过期日志释放系统资源；做好日志留存与归档，为故障事后溯源、问题排查提供完整依据。</w:t>
      </w:r>
    </w:p>
    <w:p w14:paraId="0EFDCB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3.功能巡检。全面核查各系统、平台核心模块功能的完整性与稳定性，对功能卡顿、操作异常、接口不通等问题及时开展技术排查与修复，提前处置故障隐患，确保系统功能满足业务使用需求。</w:t>
      </w:r>
    </w:p>
    <w:p w14:paraId="5D4AAF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4.安全巡检。依据网络安全等级保护相关要求，配合开展系统平台漏洞扫描、安全隐患排查；完成访问权限配置、数据传输加密等安全整改工作。</w:t>
      </w:r>
    </w:p>
    <w:p w14:paraId="6E6561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  <w:lang w:eastAsia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（二）应用系统运维保障</w:t>
      </w:r>
    </w:p>
    <w:p w14:paraId="360924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对应用系统开展性能优化、故障修复、功能升级、基础数据维护等工作，按需开发小型应用，实现系统与业务工作的高效适配，保障核心业务顺畅开展。</w:t>
      </w:r>
    </w:p>
    <w:p w14:paraId="6DE5E6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5.武汉智慧排涝管理系统。针对排涝业务需求完成功能模块修改升级，维护系统与实时监测设备的数据对接接口；定期更新系统基础数据，排查处置系统运行故障，保障防汛排涝调度工作的系统支撑。</w:t>
      </w:r>
    </w:p>
    <w:p w14:paraId="66E4C8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6.武汉市中心城区排水管网隐患信息管理系统。排查修复系统功能异常，保障管网拓扑分析、隐患整改跟踪等核心功能正常运行。</w:t>
      </w:r>
    </w:p>
    <w:p w14:paraId="1BA4F8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7.城镇污水处理厂污泥运输监控系统。保障污泥运输轨迹、运输量、车辆状态等数据的实时采集与展示；优化系统监控界面与数据统计功能，维护系统与运输车辆、污水处理厂的对接接口；定期更新运输单位、车辆信息等基础数据，及时处置系统运行故障，实现污泥运输全流程有效监控。</w:t>
      </w:r>
    </w:p>
    <w:p w14:paraId="5ED18AE6">
      <w:pPr>
        <w:pStyle w:val="4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8.武汉市水务局官网。保障官网各栏目功能稳定、内容正常展示，及时修复页面无法打开、链接失效、样式错乱等故障；按需完成官网栏目新增、功能升级、样式优化；做好官网安全防护，防范页面篡改、恶意攻击等问题，保障信息发布安全及时。</w:t>
      </w:r>
    </w:p>
    <w:p w14:paraId="579C35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  <w:lang w:eastAsia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（三）数据平台运维保障</w:t>
      </w:r>
    </w:p>
    <w:p w14:paraId="3803791A">
      <w:pPr>
        <w:pStyle w:val="4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对数据平台和核心数据库开展运行保障、功能优化、接口维护等工作，保障数据平台的正常运转，实现水务数据的高效采集、流转与管理。</w:t>
      </w:r>
    </w:p>
    <w:p w14:paraId="549DFC12">
      <w:pPr>
        <w:pStyle w:val="4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9.数据接收平台。保障水文、水质、工情等多类型水务数据的稳定接收；定期巡检平台运行状态，及时处置数据接收中断、数据丢失等异常；优化数据接收接口，适配不同数据源的采集要求，确保数据采集的完整性与及时性。</w:t>
      </w:r>
    </w:p>
    <w:p w14:paraId="55AE1708">
      <w:pPr>
        <w:pStyle w:val="4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10.数据资源管理平台。按规范更新、完善水务数据资源目录，做好数据资源的分类、挂接与管理；定期巡检平台运行状态，修复功能异常，保障数据资源管理工作有序开展。</w:t>
      </w:r>
    </w:p>
    <w:p w14:paraId="5BE284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11.数据交换平台。保障平台内数据交换任务的正常调度与执行；按需新增、修改市电子公文集约化平台、武汉政务APP、城市大脑、鄂汇办等跨系统、跨单位的数据交换任务与接口；定期巡检平台运行状态，分析数据交换异常原因并及时处置，做好交换日志留存，确保水务数据在各系统间高效、安全流转。</w:t>
      </w:r>
    </w:p>
    <w:p w14:paraId="7DFCF9BC">
      <w:pPr>
        <w:pStyle w:val="4"/>
        <w:rPr>
          <w:rFonts w:hint="default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12.核心数据库。维护接收数据库、水文局前置库、政务前置库的表结构，完成多源数据的清洗、整编、入库工作；对数据库进行性能调优，提升数据查询、读写效率；定期开展备份与数据恢复测试，确保数据可恢复；定期巡检实时监测系统视频监控、前端监测站点及各类数据源的运行状态，排查数据缺失、数据错误、数据延迟等问题；对发现的数据质量问题进行统计汇总，形成标准化报表并跟踪整改闭环。</w:t>
      </w:r>
    </w:p>
    <w:p w14:paraId="146272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（四）专项运维保障</w:t>
      </w:r>
    </w:p>
    <w:p w14:paraId="0CE1E8A4">
      <w:pPr>
        <w:pStyle w:val="4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13.防汛排涝值守。在汛期及强降雨期安排专人24小时驻场值守，实时监控核心系统、平台运行状态，及时处置各类突发故障；配合采购人防汛排涝调度工作，提供现场技术支撑，保障调度期间各类系统、平台正常运行。</w:t>
      </w:r>
    </w:p>
    <w:p w14:paraId="1889EB6D">
      <w:pPr>
        <w:pStyle w:val="4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14.运维台账报告。7*24 小时响应采购人技术需求，提供现场或远程技术支持，并记录运维台账。按要求编制月度、年度运维报告，对系统、平台、数据库的巡检情况、故障排查与修复过程、功能优化内容、数据治理工作、安全整改措施等进行详细、准确记录。</w:t>
      </w:r>
    </w:p>
    <w:p w14:paraId="21F6DCE7">
      <w:pPr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br w:type="page"/>
      </w:r>
    </w:p>
    <w:p w14:paraId="4CFC32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服务清单</w:t>
      </w:r>
    </w:p>
    <w:p w14:paraId="17D2219A">
      <w:pPr>
        <w:pStyle w:val="4"/>
        <w:rPr>
          <w:rFonts w:hint="eastAsia"/>
          <w:lang w:val="en-US" w:eastAsia="zh-CN"/>
        </w:rPr>
      </w:pPr>
    </w:p>
    <w:tbl>
      <w:tblPr>
        <w:tblStyle w:val="10"/>
        <w:tblW w:w="9667" w:type="dxa"/>
        <w:tblInd w:w="9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"/>
        <w:gridCol w:w="1024"/>
        <w:gridCol w:w="1189"/>
        <w:gridCol w:w="6537"/>
      </w:tblGrid>
      <w:tr w14:paraId="0C361B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tblHeader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238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序号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B26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类别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1CA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名称</w:t>
            </w:r>
          </w:p>
        </w:tc>
        <w:tc>
          <w:tcPr>
            <w:tcW w:w="6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DE8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服务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内容</w:t>
            </w:r>
          </w:p>
        </w:tc>
      </w:tr>
      <w:tr w14:paraId="2AD339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EF0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bidi="ar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083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val="en-US" w:eastAsia="zh-CN" w:bidi="ar"/>
              </w:rPr>
              <w:t>基础巡检保障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6D7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val="en-US" w:eastAsia="zh-CN" w:bidi="ar"/>
              </w:rPr>
              <w:t>服务器资源巡检</w:t>
            </w:r>
          </w:p>
        </w:tc>
        <w:tc>
          <w:tcPr>
            <w:tcW w:w="6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DF6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val="en-US" w:eastAsia="zh-CN" w:bidi="ar"/>
              </w:rPr>
              <w:t>基于现有的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bidi="ar"/>
              </w:rPr>
              <w:t>运维管理系统，实时监测服务器 CPU、内存、磁盘 IO、网络带宽等资源使用情况，通过参数调优、资源调配等方式解决资源不足问题，保障服务器稳定运行。</w:t>
            </w:r>
          </w:p>
        </w:tc>
      </w:tr>
      <w:tr w14:paraId="1B01B5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9AD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val="en-US" w:eastAsia="zh-CN" w:bidi="ar"/>
              </w:rPr>
              <w:t>2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FCE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val="en-US" w:eastAsia="zh-CN" w:bidi="ar"/>
              </w:rPr>
              <w:t>基础巡检保障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031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bidi="ar"/>
              </w:rPr>
              <w:t>日志巡检</w:t>
            </w:r>
          </w:p>
        </w:tc>
        <w:tc>
          <w:tcPr>
            <w:tcW w:w="6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04B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bidi="ar"/>
              </w:rPr>
              <w:t>定期巡检系统、平台、数据库运行日志，专业分析日志信息定位运行隐患，按规范清理过期日志释放系统资源；做好日志留存与归档，为故障事后溯源、问题排查提供完整依据。</w:t>
            </w:r>
          </w:p>
        </w:tc>
      </w:tr>
      <w:tr w14:paraId="3192F7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8" w:hRule="atLeast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32D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FED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val="en-US" w:eastAsia="zh-CN" w:bidi="ar"/>
              </w:rPr>
              <w:t>基础巡检保障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C44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val="en-US" w:eastAsia="zh-CN" w:bidi="ar"/>
              </w:rPr>
              <w:t>功能巡检</w:t>
            </w:r>
          </w:p>
        </w:tc>
        <w:tc>
          <w:tcPr>
            <w:tcW w:w="6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A70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bidi="ar"/>
              </w:rPr>
              <w:t>全面核查各系统、平台核心模块功能的完整性与稳定性，对功能卡顿、操作异常、接口不通等问题及时开展技术排查与修复，提前处置故障隐患，确保系统功能满足业务使用需求。</w:t>
            </w:r>
          </w:p>
        </w:tc>
      </w:tr>
      <w:tr w14:paraId="6C9899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1" w:hRule="atLeast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0DB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val="en-US" w:eastAsia="zh-CN" w:bidi="ar"/>
              </w:rPr>
              <w:t>4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205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val="en-US" w:eastAsia="zh-CN" w:bidi="ar"/>
              </w:rPr>
              <w:t>基础巡检保障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5E8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eastAsia="zh-CN" w:bidi="ar"/>
              </w:rPr>
              <w:t>安全巡检</w:t>
            </w:r>
          </w:p>
        </w:tc>
        <w:tc>
          <w:tcPr>
            <w:tcW w:w="6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58F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bidi="ar"/>
              </w:rPr>
              <w:t>依据网络安全等级保护相关要求，配合开展系统平台漏洞扫描、安全隐患排查；完成访问权限配置、数据传输加密等安全整改工作。</w:t>
            </w:r>
          </w:p>
        </w:tc>
      </w:tr>
      <w:tr w14:paraId="2E594A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3" w:hRule="atLeast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124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5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576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应用系统运维保障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C9D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武汉智慧排涝管理系统</w:t>
            </w:r>
          </w:p>
        </w:tc>
        <w:tc>
          <w:tcPr>
            <w:tcW w:w="6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E02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highlight w:val="none"/>
                <w:lang w:bidi="ar"/>
              </w:rPr>
              <w:t>针对排涝业务需求完成功能模块修改升级，维护系统与实时监测设备的数据对接接口；定期更新系统基础数据，排查处置系统运行故障，保障防汛排涝调度工作的系统支撑。</w:t>
            </w:r>
          </w:p>
        </w:tc>
      </w:tr>
      <w:tr w14:paraId="46B261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5" w:hRule="atLeast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4EE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6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F76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应用系统运维保障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D08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武汉市中心城区排水管网隐患信息管理系统</w:t>
            </w:r>
          </w:p>
        </w:tc>
        <w:tc>
          <w:tcPr>
            <w:tcW w:w="6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569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及时更新管网基础地理信息、隐患排查数据；排查修复系统功能异常，保障管网拓扑分析、隐患整改跟踪等核心功能正常运行。</w:t>
            </w:r>
          </w:p>
        </w:tc>
      </w:tr>
      <w:tr w14:paraId="226633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15C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7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1AD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应用系统运维保障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FC8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 w:bidi="ar"/>
              </w:rPr>
              <w:t>城镇污水处理厂污泥运输监控系统</w:t>
            </w:r>
          </w:p>
        </w:tc>
        <w:tc>
          <w:tcPr>
            <w:tcW w:w="6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6C0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保障污泥运输轨迹、运输量、车辆状态等数据的实时采集与展示；优化系统监控界面与数据统计功能，维护系统与运输车辆、污水处理厂的对接接口；定期更新运输单位、车辆信息等基础数据，及时处置系统运行故障，实现污泥运输全流程有效监控。</w:t>
            </w:r>
          </w:p>
        </w:tc>
      </w:tr>
      <w:tr w14:paraId="7BC752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18A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8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9A3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应用系统运维保障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3DA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武汉市水务局官网</w:t>
            </w:r>
          </w:p>
        </w:tc>
        <w:tc>
          <w:tcPr>
            <w:tcW w:w="6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499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保障官网各栏目功能稳定、内容正常展示，及时修复页面无法打开、链接失效、样式错乱等故障；按需完成官网栏目新增、功能升级、样式优化；做好官网安全防护，防范页面篡改、恶意攻击等问题，保障信息发布安全及时。</w:t>
            </w:r>
          </w:p>
        </w:tc>
      </w:tr>
      <w:tr w14:paraId="228C9B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7753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9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D31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数据平台运维保障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149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数据接收平台</w:t>
            </w:r>
          </w:p>
        </w:tc>
        <w:tc>
          <w:tcPr>
            <w:tcW w:w="6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4AC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保障水文、水质、工情等多类型水务数据的稳定接收；定期巡检平台运行状态，及时处置数据接收中断、数据丢失等异常；优化数据接收接口，适配不同数据源的采集要求，确保数据采集的完整性与及时性。</w:t>
            </w:r>
          </w:p>
        </w:tc>
      </w:tr>
      <w:tr w14:paraId="569FCC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27F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10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97F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数据平台运维保障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120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数据资源管理平台</w:t>
            </w:r>
          </w:p>
        </w:tc>
        <w:tc>
          <w:tcPr>
            <w:tcW w:w="6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067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按规范更新、完善水务数据资源目录，做好数据资源的分类、挂接与管理；定期巡检平台运行状态，修复功能异常，保障数据资源管理工作有序开展。</w:t>
            </w:r>
          </w:p>
        </w:tc>
      </w:tr>
      <w:tr w14:paraId="023DB9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9C7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11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08D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数据平台运维保障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BBD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数据交换平台</w:t>
            </w:r>
          </w:p>
        </w:tc>
        <w:tc>
          <w:tcPr>
            <w:tcW w:w="6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FF3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保障平台内数据交换任务的正常调度与执行；按需新增、修改跨系统、跨单位的数据交换任务与接口；定期巡检平台运行状态，分析数据交换异常原因并及时处置，做好交换日志留存，确保水务数据在各系统间高效、安全流转。</w:t>
            </w:r>
          </w:p>
        </w:tc>
      </w:tr>
      <w:tr w14:paraId="4E1026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019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12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D36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数据平台运维保障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ED9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核心数据库</w:t>
            </w:r>
          </w:p>
        </w:tc>
        <w:tc>
          <w:tcPr>
            <w:tcW w:w="6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4D8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维护接收数据库、水文局前置库、政务前置库的表结构，完成多源数据的清洗、整编、入库工作；对数据库进行性能调优，提升数据查询、读写效率；定期开展备份与数据恢复测试，确保数据可恢复；定期巡检视频监控、前端监测站点及各类数据源的运行状态，排查数据缺失、数据错误、数据延迟等问题；对发现的数据质量问题进行统计汇总，形成标准化报表并跟踪整改闭环。</w:t>
            </w:r>
          </w:p>
        </w:tc>
      </w:tr>
      <w:tr w14:paraId="43E7BA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4EE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13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159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专项运维保障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CDE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防汛排涝值守</w:t>
            </w:r>
          </w:p>
        </w:tc>
        <w:tc>
          <w:tcPr>
            <w:tcW w:w="6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13C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在汛期及强降雨期安排专人 24 小时驻场值守，实时监控核心系统、平台运行状态，及时处置各类突发故障；配合采购人防汛排涝调度工作，提供现场技术支撑，保障调度期间各类系统、平台正常运行。</w:t>
            </w:r>
          </w:p>
        </w:tc>
      </w:tr>
      <w:tr w14:paraId="3360FC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0FB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14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155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专项运维保障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F1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运维台账报告</w:t>
            </w:r>
          </w:p>
        </w:tc>
        <w:tc>
          <w:tcPr>
            <w:tcW w:w="6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75B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7*24 小时响应采购人技术需求，提供现场或远程技术支持，并记录运维台账。按要求编制月度、年度运维报告，对系统、平台、数据库的巡检情况、故障排查与修复过程、功能优化内容、数据治理工作、安全整改措施等进行详细、准确记录。</w:t>
            </w:r>
          </w:p>
        </w:tc>
      </w:tr>
    </w:tbl>
    <w:p w14:paraId="7625A654">
      <w:pPr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br w:type="page"/>
      </w:r>
    </w:p>
    <w:p w14:paraId="4325ED6F">
      <w:pPr>
        <w:ind w:firstLine="632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五、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相关</w:t>
      </w:r>
      <w:r>
        <w:rPr>
          <w:rFonts w:hint="eastAsia" w:ascii="黑体" w:hAnsi="黑体" w:eastAsia="黑体" w:cs="黑体"/>
          <w:bCs/>
          <w:sz w:val="32"/>
          <w:szCs w:val="32"/>
        </w:rPr>
        <w:t>要求</w:t>
      </w:r>
    </w:p>
    <w:p w14:paraId="76334FA8">
      <w:pPr>
        <w:numPr>
          <w:ilvl w:val="0"/>
          <w:numId w:val="0"/>
        </w:numPr>
        <w:spacing w:line="240" w:lineRule="auto"/>
        <w:ind w:firstLine="632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（一）</w:t>
      </w:r>
      <w:r>
        <w:rPr>
          <w:rFonts w:hint="eastAsia" w:ascii="仿宋" w:hAnsi="仿宋" w:eastAsia="仿宋" w:cstheme="minorEastAsia"/>
          <w:sz w:val="32"/>
          <w:szCs w:val="32"/>
        </w:rPr>
        <w:t>需提供不少于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theme="minorEastAsia"/>
          <w:sz w:val="32"/>
          <w:szCs w:val="32"/>
        </w:rPr>
        <w:t>名技术服务人员驻场服务，提供7*24小时服务支持，故障响应时间不大于</w:t>
      </w:r>
      <w:r>
        <w:rPr>
          <w:rFonts w:ascii="仿宋" w:hAnsi="仿宋" w:eastAsia="仿宋" w:cstheme="minorEastAsia"/>
          <w:sz w:val="32"/>
          <w:szCs w:val="32"/>
        </w:rPr>
        <w:t>30</w:t>
      </w:r>
      <w:r>
        <w:rPr>
          <w:rFonts w:hint="eastAsia" w:ascii="仿宋" w:hAnsi="仿宋" w:eastAsia="仿宋" w:cstheme="minorEastAsia"/>
          <w:sz w:val="32"/>
          <w:szCs w:val="32"/>
        </w:rPr>
        <w:t>分钟，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平均</w:t>
      </w:r>
      <w:r>
        <w:rPr>
          <w:rFonts w:hint="eastAsia" w:ascii="仿宋" w:hAnsi="仿宋" w:eastAsia="仿宋" w:cstheme="minorEastAsia"/>
          <w:sz w:val="32"/>
          <w:szCs w:val="32"/>
        </w:rPr>
        <w:t>故障修复时间不大于</w:t>
      </w:r>
      <w:r>
        <w:rPr>
          <w:rFonts w:ascii="仿宋" w:hAnsi="仿宋" w:eastAsia="仿宋" w:cstheme="minorEastAsia"/>
          <w:sz w:val="32"/>
          <w:szCs w:val="32"/>
        </w:rPr>
        <w:t>3</w:t>
      </w:r>
      <w:r>
        <w:rPr>
          <w:rFonts w:hint="eastAsia" w:ascii="仿宋" w:hAnsi="仿宋" w:eastAsia="仿宋" w:cstheme="minorEastAsia"/>
          <w:sz w:val="32"/>
          <w:szCs w:val="32"/>
        </w:rPr>
        <w:t>小时，全年系统故障中断时间累计不大于24小时。</w:t>
      </w:r>
    </w:p>
    <w:p w14:paraId="0195B74F">
      <w:pPr>
        <w:numPr>
          <w:ilvl w:val="0"/>
          <w:numId w:val="0"/>
        </w:numPr>
        <w:spacing w:line="240" w:lineRule="auto"/>
        <w:ind w:firstLine="632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（二）</w:t>
      </w:r>
      <w:r>
        <w:rPr>
          <w:rFonts w:hint="eastAsia" w:ascii="仿宋" w:hAnsi="仿宋" w:eastAsia="仿宋" w:cstheme="minorEastAsia"/>
          <w:sz w:val="32"/>
          <w:szCs w:val="32"/>
        </w:rPr>
        <w:t>驻场技术服务人员应做好</w:t>
      </w:r>
      <w:r>
        <w:rPr>
          <w:rFonts w:hint="eastAsia" w:ascii="仿宋" w:hAnsi="仿宋" w:eastAsia="仿宋"/>
          <w:sz w:val="32"/>
          <w:szCs w:val="32"/>
          <w:highlight w:val="none"/>
        </w:rPr>
        <w:t>基础应用、基础平台、数据库</w:t>
      </w:r>
      <w:r>
        <w:rPr>
          <w:rFonts w:hint="eastAsia" w:ascii="仿宋" w:hAnsi="仿宋" w:eastAsia="仿宋" w:cstheme="minorEastAsia"/>
          <w:sz w:val="32"/>
          <w:szCs w:val="32"/>
        </w:rPr>
        <w:t>运维台账，根据采购人要求提供月度运维报告，年度运维报告，运维报告应详细记录系统巡检、系统调优、故障修复等过程内容。</w:t>
      </w:r>
    </w:p>
    <w:p w14:paraId="63AA9AC6">
      <w:pPr>
        <w:numPr>
          <w:ilvl w:val="0"/>
          <w:numId w:val="0"/>
        </w:numPr>
        <w:spacing w:line="240" w:lineRule="auto"/>
        <w:ind w:firstLine="632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（三）</w:t>
      </w:r>
      <w:r>
        <w:rPr>
          <w:rFonts w:hint="eastAsia" w:ascii="仿宋" w:hAnsi="仿宋" w:eastAsia="仿宋" w:cstheme="minorEastAsia"/>
          <w:sz w:val="32"/>
          <w:szCs w:val="32"/>
        </w:rPr>
        <w:t>驻场技术人员应具备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相关的从业经验，</w:t>
      </w:r>
      <w:r>
        <w:rPr>
          <w:rFonts w:hint="eastAsia" w:ascii="仿宋" w:hAnsi="仿宋" w:eastAsia="仿宋" w:cstheme="minorEastAsia"/>
          <w:sz w:val="32"/>
          <w:szCs w:val="32"/>
        </w:rPr>
        <w:t>满足服务要求的技术能力，如不能胜任，采购人有权要求更换，直到满足要求为止。</w:t>
      </w:r>
    </w:p>
    <w:p w14:paraId="554990C6">
      <w:pPr>
        <w:numPr>
          <w:ilvl w:val="0"/>
          <w:numId w:val="0"/>
        </w:numPr>
        <w:spacing w:line="240" w:lineRule="auto"/>
        <w:ind w:firstLine="632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（四）</w:t>
      </w:r>
      <w:r>
        <w:rPr>
          <w:rFonts w:hint="eastAsia" w:ascii="仿宋" w:hAnsi="仿宋" w:eastAsia="仿宋" w:cstheme="minorEastAsia"/>
          <w:sz w:val="32"/>
          <w:szCs w:val="32"/>
        </w:rPr>
        <w:t>驻场技术人员应严格遵守采购人相关管理制度，服从采购人管理和工作安排，成交后未经采购人同意不得更换服务人员。</w:t>
      </w:r>
    </w:p>
    <w:p w14:paraId="41E00A01">
      <w:pPr>
        <w:numPr>
          <w:ilvl w:val="0"/>
          <w:numId w:val="0"/>
        </w:numPr>
        <w:spacing w:line="240" w:lineRule="auto"/>
        <w:ind w:firstLine="632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（五）</w:t>
      </w:r>
      <w:r>
        <w:rPr>
          <w:rFonts w:hint="eastAsia" w:ascii="仿宋" w:hAnsi="仿宋" w:eastAsia="仿宋" w:cstheme="minorEastAsia"/>
          <w:sz w:val="32"/>
          <w:szCs w:val="32"/>
        </w:rPr>
        <w:t>驻场技术人员应严格遵守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网络信息安全及保密等相关工作要求。</w:t>
      </w:r>
    </w:p>
    <w:p w14:paraId="057A33C1">
      <w:pPr>
        <w:ind w:firstLine="632" w:firstLineChars="200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六、服务期限</w:t>
      </w:r>
    </w:p>
    <w:p w14:paraId="04FC57AE">
      <w:pPr>
        <w:ind w:firstLine="632" w:firstLineChars="200"/>
        <w:rPr>
          <w:rFonts w:hint="default" w:ascii="仿宋" w:hAnsi="仿宋" w:eastAsia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2026年4月1日至2027年3月31日。</w:t>
      </w:r>
    </w:p>
    <w:p w14:paraId="0FE7B7F9">
      <w:pPr>
        <w:ind w:firstLine="632" w:firstLineChars="200"/>
        <w:rPr>
          <w:rFonts w:hint="eastAsia" w:ascii="黑体" w:hAnsi="黑体" w:eastAsia="黑体" w:cs="黑体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highlight w:val="none"/>
          <w:lang w:val="en-US" w:eastAsia="zh-CN"/>
        </w:rPr>
        <w:t>七、付款方式</w:t>
      </w:r>
    </w:p>
    <w:p w14:paraId="0792FC91">
      <w:pPr>
        <w:numPr>
          <w:ilvl w:val="0"/>
          <w:numId w:val="0"/>
        </w:numPr>
        <w:spacing w:line="240" w:lineRule="auto"/>
        <w:ind w:firstLine="632" w:firstLineChars="200"/>
        <w:rPr>
          <w:rFonts w:hint="default" w:ascii="仿宋" w:hAnsi="仿宋" w:eastAsia="仿宋" w:cstheme="minorEastAsia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highlight w:val="none"/>
          <w:lang w:val="en-US" w:eastAsia="zh-CN"/>
        </w:rPr>
        <w:t>付款方式为按季度结算，具体要求以电子商城的制式合同规范为准</w:t>
      </w:r>
      <w:bookmarkStart w:id="0" w:name="_GoBack"/>
      <w:bookmarkEnd w:id="0"/>
      <w:r>
        <w:rPr>
          <w:rFonts w:hint="eastAsia" w:ascii="仿宋" w:hAnsi="仿宋" w:eastAsia="仿宋" w:cstheme="minorEastAsia"/>
          <w:sz w:val="32"/>
          <w:szCs w:val="32"/>
          <w:highlight w:val="none"/>
          <w:lang w:val="en-US" w:eastAsia="zh-CN"/>
        </w:rPr>
        <w:t>。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2312">
    <w:altName w:val="楷体_GB2312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FC6F33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7901A55"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7901A55"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bordersDoNotSurroundHeader w:val="0"/>
  <w:bordersDoNotSurroundFooter w:val="0"/>
  <w:documentProtection w:enforcement="0"/>
  <w:defaultTabStop w:val="420"/>
  <w:drawingGridHorizontalSpacing w:val="158"/>
  <w:drawingGridVerticalSpacing w:val="29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E2YjExNjFlOThmZDU0Y2YwMTgyMjQxNjQ1NzUzYWUifQ=="/>
  </w:docVars>
  <w:rsids>
    <w:rsidRoot w:val="00172A27"/>
    <w:rsid w:val="0005282E"/>
    <w:rsid w:val="00205421"/>
    <w:rsid w:val="002C2BC6"/>
    <w:rsid w:val="00463832"/>
    <w:rsid w:val="006247C5"/>
    <w:rsid w:val="00632950"/>
    <w:rsid w:val="00657AE1"/>
    <w:rsid w:val="006A6FDE"/>
    <w:rsid w:val="006B2E39"/>
    <w:rsid w:val="007356FF"/>
    <w:rsid w:val="009B1FBD"/>
    <w:rsid w:val="00A562E6"/>
    <w:rsid w:val="00BB0C37"/>
    <w:rsid w:val="00C66D94"/>
    <w:rsid w:val="00D54336"/>
    <w:rsid w:val="00D808B1"/>
    <w:rsid w:val="00E3569B"/>
    <w:rsid w:val="00E85362"/>
    <w:rsid w:val="00F7415C"/>
    <w:rsid w:val="00F97233"/>
    <w:rsid w:val="00FC182E"/>
    <w:rsid w:val="03161DD5"/>
    <w:rsid w:val="031A67DB"/>
    <w:rsid w:val="04315536"/>
    <w:rsid w:val="04492C17"/>
    <w:rsid w:val="045301F6"/>
    <w:rsid w:val="054631EC"/>
    <w:rsid w:val="05B64EE1"/>
    <w:rsid w:val="05C16688"/>
    <w:rsid w:val="06516AFC"/>
    <w:rsid w:val="068A3C77"/>
    <w:rsid w:val="07893F2F"/>
    <w:rsid w:val="084C65BB"/>
    <w:rsid w:val="08C00A73"/>
    <w:rsid w:val="09EA5159"/>
    <w:rsid w:val="0A7113D6"/>
    <w:rsid w:val="0AE734A3"/>
    <w:rsid w:val="0C7A28AD"/>
    <w:rsid w:val="0CD345CA"/>
    <w:rsid w:val="0DA25D4B"/>
    <w:rsid w:val="0E375626"/>
    <w:rsid w:val="0E8202A4"/>
    <w:rsid w:val="0F242EBB"/>
    <w:rsid w:val="0FFF03D4"/>
    <w:rsid w:val="101924CF"/>
    <w:rsid w:val="10C60BCF"/>
    <w:rsid w:val="11C20769"/>
    <w:rsid w:val="12C7072D"/>
    <w:rsid w:val="1302396F"/>
    <w:rsid w:val="135C0B8A"/>
    <w:rsid w:val="136B5149"/>
    <w:rsid w:val="1548367B"/>
    <w:rsid w:val="159863B1"/>
    <w:rsid w:val="15A46B04"/>
    <w:rsid w:val="15AE04D6"/>
    <w:rsid w:val="160B6B83"/>
    <w:rsid w:val="16B20DAC"/>
    <w:rsid w:val="16E11692"/>
    <w:rsid w:val="182056B4"/>
    <w:rsid w:val="19E17A9E"/>
    <w:rsid w:val="1B245FF1"/>
    <w:rsid w:val="1C085913"/>
    <w:rsid w:val="1C5A003A"/>
    <w:rsid w:val="1C714907"/>
    <w:rsid w:val="1DD9D9A2"/>
    <w:rsid w:val="1DE6B407"/>
    <w:rsid w:val="1E043563"/>
    <w:rsid w:val="1E34479D"/>
    <w:rsid w:val="1E77373C"/>
    <w:rsid w:val="1F2024DC"/>
    <w:rsid w:val="20547E7F"/>
    <w:rsid w:val="206537D4"/>
    <w:rsid w:val="212A54D4"/>
    <w:rsid w:val="21A92843"/>
    <w:rsid w:val="21DA38AD"/>
    <w:rsid w:val="21F42BC1"/>
    <w:rsid w:val="221450F0"/>
    <w:rsid w:val="223905D4"/>
    <w:rsid w:val="23BA1BE8"/>
    <w:rsid w:val="23BF2D5B"/>
    <w:rsid w:val="245D10EE"/>
    <w:rsid w:val="26533110"/>
    <w:rsid w:val="26BE1005"/>
    <w:rsid w:val="27F136FF"/>
    <w:rsid w:val="28550131"/>
    <w:rsid w:val="28BF5464"/>
    <w:rsid w:val="29AB47D0"/>
    <w:rsid w:val="29B669AE"/>
    <w:rsid w:val="2A241B69"/>
    <w:rsid w:val="2A7A3E7F"/>
    <w:rsid w:val="2BB7710F"/>
    <w:rsid w:val="2CF72C8C"/>
    <w:rsid w:val="2D7352E2"/>
    <w:rsid w:val="2DDF2977"/>
    <w:rsid w:val="2F180A8D"/>
    <w:rsid w:val="301058F3"/>
    <w:rsid w:val="30105D05"/>
    <w:rsid w:val="302F43B0"/>
    <w:rsid w:val="30F72A28"/>
    <w:rsid w:val="318310FB"/>
    <w:rsid w:val="333D63EC"/>
    <w:rsid w:val="33B51A84"/>
    <w:rsid w:val="34141C73"/>
    <w:rsid w:val="343D21A6"/>
    <w:rsid w:val="35731BF7"/>
    <w:rsid w:val="36047F4E"/>
    <w:rsid w:val="36541FD5"/>
    <w:rsid w:val="365A0A03"/>
    <w:rsid w:val="36794FEB"/>
    <w:rsid w:val="368A476E"/>
    <w:rsid w:val="376712E7"/>
    <w:rsid w:val="37DC0016"/>
    <w:rsid w:val="386341A5"/>
    <w:rsid w:val="39094D4C"/>
    <w:rsid w:val="393618B9"/>
    <w:rsid w:val="39D72754"/>
    <w:rsid w:val="3A176E45"/>
    <w:rsid w:val="3C543605"/>
    <w:rsid w:val="3D4E02E3"/>
    <w:rsid w:val="3DBF4D31"/>
    <w:rsid w:val="3E526AD0"/>
    <w:rsid w:val="3F150099"/>
    <w:rsid w:val="402320AF"/>
    <w:rsid w:val="405704D9"/>
    <w:rsid w:val="40B27A77"/>
    <w:rsid w:val="42576B28"/>
    <w:rsid w:val="42D43204"/>
    <w:rsid w:val="42E23137"/>
    <w:rsid w:val="43C723D9"/>
    <w:rsid w:val="43E066A9"/>
    <w:rsid w:val="44913E48"/>
    <w:rsid w:val="456A4DC4"/>
    <w:rsid w:val="45E2495B"/>
    <w:rsid w:val="474F0FF2"/>
    <w:rsid w:val="47FE4CFC"/>
    <w:rsid w:val="49675177"/>
    <w:rsid w:val="4B007631"/>
    <w:rsid w:val="4B3D0885"/>
    <w:rsid w:val="4C181A71"/>
    <w:rsid w:val="4C6562E6"/>
    <w:rsid w:val="4CEC4311"/>
    <w:rsid w:val="4D0314E7"/>
    <w:rsid w:val="4DFA0CB0"/>
    <w:rsid w:val="4E9407BC"/>
    <w:rsid w:val="4F195165"/>
    <w:rsid w:val="50D70E34"/>
    <w:rsid w:val="51542485"/>
    <w:rsid w:val="51697F35"/>
    <w:rsid w:val="529A65BD"/>
    <w:rsid w:val="52E2243E"/>
    <w:rsid w:val="530530A2"/>
    <w:rsid w:val="53882D55"/>
    <w:rsid w:val="545E2034"/>
    <w:rsid w:val="54707886"/>
    <w:rsid w:val="54972DB4"/>
    <w:rsid w:val="54BA6AA3"/>
    <w:rsid w:val="553517CA"/>
    <w:rsid w:val="555E38D2"/>
    <w:rsid w:val="55886BA1"/>
    <w:rsid w:val="55EE62FF"/>
    <w:rsid w:val="576C6278"/>
    <w:rsid w:val="57A7A5ED"/>
    <w:rsid w:val="58760710"/>
    <w:rsid w:val="5A3966BC"/>
    <w:rsid w:val="5AA671AD"/>
    <w:rsid w:val="5BC243B4"/>
    <w:rsid w:val="5C3B496D"/>
    <w:rsid w:val="5C4E46A0"/>
    <w:rsid w:val="5C9D1184"/>
    <w:rsid w:val="5CAB38A1"/>
    <w:rsid w:val="5D755C5D"/>
    <w:rsid w:val="5DFB9F03"/>
    <w:rsid w:val="5E0A2849"/>
    <w:rsid w:val="5F15994E"/>
    <w:rsid w:val="5F463D55"/>
    <w:rsid w:val="5F5D7C08"/>
    <w:rsid w:val="5F903222"/>
    <w:rsid w:val="5FB55EA2"/>
    <w:rsid w:val="5FBC709B"/>
    <w:rsid w:val="5FC7E1F5"/>
    <w:rsid w:val="5FFF7FF6"/>
    <w:rsid w:val="600151EE"/>
    <w:rsid w:val="614F115E"/>
    <w:rsid w:val="62683175"/>
    <w:rsid w:val="6273553F"/>
    <w:rsid w:val="635F3E79"/>
    <w:rsid w:val="640576E8"/>
    <w:rsid w:val="64914D22"/>
    <w:rsid w:val="64EB581F"/>
    <w:rsid w:val="67FC72A4"/>
    <w:rsid w:val="680D57FD"/>
    <w:rsid w:val="682E35D8"/>
    <w:rsid w:val="685F1335"/>
    <w:rsid w:val="68F12158"/>
    <w:rsid w:val="6AAB5C41"/>
    <w:rsid w:val="6B0A21AC"/>
    <w:rsid w:val="6BB94019"/>
    <w:rsid w:val="6BBF1117"/>
    <w:rsid w:val="6BDA5459"/>
    <w:rsid w:val="6BF274A8"/>
    <w:rsid w:val="6BFFB35C"/>
    <w:rsid w:val="6D611D5A"/>
    <w:rsid w:val="6D7FD2EC"/>
    <w:rsid w:val="6E091096"/>
    <w:rsid w:val="6E3D7C21"/>
    <w:rsid w:val="6ECC312F"/>
    <w:rsid w:val="6EFF3093"/>
    <w:rsid w:val="6F230905"/>
    <w:rsid w:val="6F6EBB20"/>
    <w:rsid w:val="6FDFA7D2"/>
    <w:rsid w:val="7072715D"/>
    <w:rsid w:val="71545B2C"/>
    <w:rsid w:val="71F92EA9"/>
    <w:rsid w:val="720158B9"/>
    <w:rsid w:val="721D26F3"/>
    <w:rsid w:val="75564DCB"/>
    <w:rsid w:val="7577BC04"/>
    <w:rsid w:val="75ED185E"/>
    <w:rsid w:val="75F23149"/>
    <w:rsid w:val="76612A3A"/>
    <w:rsid w:val="7666605A"/>
    <w:rsid w:val="76DB0DCF"/>
    <w:rsid w:val="771B11CB"/>
    <w:rsid w:val="776E343B"/>
    <w:rsid w:val="780103C1"/>
    <w:rsid w:val="782860E3"/>
    <w:rsid w:val="78B90C9C"/>
    <w:rsid w:val="792E3438"/>
    <w:rsid w:val="79332E67"/>
    <w:rsid w:val="7AD85BCB"/>
    <w:rsid w:val="7AED7E4B"/>
    <w:rsid w:val="7B5B2B8B"/>
    <w:rsid w:val="7BC97448"/>
    <w:rsid w:val="7BE43234"/>
    <w:rsid w:val="7C122D83"/>
    <w:rsid w:val="7C5E4034"/>
    <w:rsid w:val="7C791690"/>
    <w:rsid w:val="7E6B5689"/>
    <w:rsid w:val="7E76DBF0"/>
    <w:rsid w:val="7EEB3B79"/>
    <w:rsid w:val="7EFE7A3F"/>
    <w:rsid w:val="7F6D02CD"/>
    <w:rsid w:val="7F730D48"/>
    <w:rsid w:val="7FCE952A"/>
    <w:rsid w:val="7FDFE07B"/>
    <w:rsid w:val="7FFDFE3F"/>
    <w:rsid w:val="7FFFFD54"/>
    <w:rsid w:val="95F639B1"/>
    <w:rsid w:val="9EFB4F12"/>
    <w:rsid w:val="9F7B0B15"/>
    <w:rsid w:val="AD4F8247"/>
    <w:rsid w:val="AEF74911"/>
    <w:rsid w:val="B3DDED0D"/>
    <w:rsid w:val="B7FEB175"/>
    <w:rsid w:val="BB177D4C"/>
    <w:rsid w:val="BDA7FDE2"/>
    <w:rsid w:val="BDD3ABA3"/>
    <w:rsid w:val="BDFE2CAA"/>
    <w:rsid w:val="DEFC8B87"/>
    <w:rsid w:val="DFF5865E"/>
    <w:rsid w:val="E7E76207"/>
    <w:rsid w:val="EAFFACBE"/>
    <w:rsid w:val="EDEFC12F"/>
    <w:rsid w:val="EE7FFD4C"/>
    <w:rsid w:val="EEEFE1EF"/>
    <w:rsid w:val="EFCF8D47"/>
    <w:rsid w:val="EFEFB063"/>
    <w:rsid w:val="FABF57B2"/>
    <w:rsid w:val="FBEFDA0C"/>
    <w:rsid w:val="FC5BE674"/>
    <w:rsid w:val="FEFDECB3"/>
    <w:rsid w:val="FF6793A6"/>
    <w:rsid w:val="FF6F2747"/>
    <w:rsid w:val="FFB722DC"/>
    <w:rsid w:val="FFDF8F7C"/>
    <w:rsid w:val="FFF7938C"/>
    <w:rsid w:val="FFF7ACCE"/>
    <w:rsid w:val="FFFE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630"/>
    </w:pPr>
    <w:rPr>
      <w:kern w:val="0"/>
    </w:rPr>
  </w:style>
  <w:style w:type="paragraph" w:styleId="5">
    <w:name w:val="annotation text"/>
    <w:basedOn w:val="1"/>
    <w:link w:val="15"/>
    <w:qFormat/>
    <w:uiPriority w:val="0"/>
    <w:pPr>
      <w:jc w:val="left"/>
    </w:pPr>
  </w:style>
  <w:style w:type="paragraph" w:styleId="6">
    <w:name w:val="Balloon Text"/>
    <w:basedOn w:val="1"/>
    <w:link w:val="17"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annotation subject"/>
    <w:basedOn w:val="5"/>
    <w:next w:val="5"/>
    <w:link w:val="16"/>
    <w:qFormat/>
    <w:uiPriority w:val="0"/>
    <w:rPr>
      <w:b/>
      <w:bCs/>
    </w:r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annotation reference"/>
    <w:basedOn w:val="11"/>
    <w:qFormat/>
    <w:uiPriority w:val="0"/>
    <w:rPr>
      <w:sz w:val="21"/>
      <w:szCs w:val="21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5">
    <w:name w:val="批注文字 字符"/>
    <w:basedOn w:val="11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6">
    <w:name w:val="批注主题 字符"/>
    <w:basedOn w:val="15"/>
    <w:link w:val="9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7">
    <w:name w:val="批注框文本 字符"/>
    <w:basedOn w:val="11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Version="2005" StyleName="GB7714" SelectedStyle="\GB.XSL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37196D1-98D5-404E-A90D-71204366C75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4739</Words>
  <Characters>4806</Characters>
  <Lines>27</Lines>
  <Paragraphs>7</Paragraphs>
  <TotalTime>70</TotalTime>
  <ScaleCrop>false</ScaleCrop>
  <LinksUpToDate>false</LinksUpToDate>
  <CharactersWithSpaces>4816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2023-03-11T23:54:00Z</dcterms:created>
  <dc:creator>dengfeng</dc:creator>
  <cp:lastModifiedBy>惟艾工作中</cp:lastModifiedBy>
  <cp:lastPrinted>2026-03-10T18:46:00Z</cp:lastPrinted>
  <dcterms:modified xsi:type="dcterms:W3CDTF">2026-03-10T11:56:55Z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ECF64F8424D04CAC9AC9D65376D7AADB_13</vt:lpwstr>
  </property>
  <property fmtid="{D5CDD505-2E9C-101B-9397-08002B2CF9AE}" pid="4" name="KSOTemplateDocerSaveRecord">
    <vt:lpwstr>eyJoZGlkIjoiZmM1NmViZTMwZmMzYmFmODY2ODI5NmI3NzlkNDljMzMiLCJ1c2VySWQiOiIxMTI1NDAzODc3In0=</vt:lpwstr>
  </property>
</Properties>
</file>