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088922">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武汉市教育大数据应用体系</w:t>
      </w:r>
      <w:r>
        <w:rPr>
          <w:rFonts w:hint="eastAsia" w:ascii="方正小标宋简体" w:hAnsi="方正小标宋简体" w:eastAsia="方正小标宋简体" w:cs="方正小标宋简体"/>
          <w:sz w:val="44"/>
          <w:szCs w:val="44"/>
          <w:lang w:val="en-US" w:eastAsia="zh-CN"/>
        </w:rPr>
        <w:t>三级</w:t>
      </w:r>
      <w:r>
        <w:rPr>
          <w:rFonts w:hint="eastAsia" w:ascii="方正小标宋简体" w:hAnsi="方正小标宋简体" w:eastAsia="方正小标宋简体" w:cs="方正小标宋简体"/>
          <w:sz w:val="44"/>
          <w:szCs w:val="44"/>
        </w:rPr>
        <w:t>等保密评服务采购需求</w:t>
      </w:r>
    </w:p>
    <w:p w14:paraId="04818E2C">
      <w:pPr>
        <w:keepNext w:val="0"/>
        <w:keepLines w:val="0"/>
        <w:pageBreakBefore w:val="0"/>
        <w:widowControl w:val="0"/>
        <w:kinsoku/>
        <w:wordWrap/>
        <w:overflowPunct/>
        <w:topLinePunct w:val="0"/>
        <w:autoSpaceDE/>
        <w:autoSpaceDN/>
        <w:bidi w:val="0"/>
        <w:adjustRightInd/>
        <w:snapToGrid/>
        <w:spacing w:before="313" w:beforeLines="100"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一、资格要求</w:t>
      </w:r>
      <w:r>
        <w:rPr>
          <w:rFonts w:hint="eastAsia" w:ascii="仿宋_GB2312" w:hAnsi="仿宋_GB2312" w:eastAsia="仿宋_GB2312" w:cs="仿宋_GB2312"/>
          <w:sz w:val="32"/>
          <w:szCs w:val="32"/>
        </w:rPr>
        <w:tab/>
      </w:r>
    </w:p>
    <w:p w14:paraId="7937DB46">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供应商应具备《政府采购法》第二十二条规定的相关条件；</w:t>
      </w:r>
    </w:p>
    <w:p w14:paraId="6EE41835">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投标人须具备由公安部第三研究所认证发放的有效《网络安全服务认证证书等级保护测评服务认证》。（提供证书复印件加盖公章）；</w:t>
      </w:r>
      <w:bookmarkStart w:id="4" w:name="_GoBack"/>
      <w:bookmarkEnd w:id="4"/>
    </w:p>
    <w:p w14:paraId="3F819095">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供应商需具有国家密码局颁发的《商用密码检测机构资质证书》；</w:t>
      </w:r>
    </w:p>
    <w:p w14:paraId="68946A2F">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供应商参加政府采购活动前三年内未被“信用中国”网站(www.creditchina.gov.cn)列入失信被执行人、重大税收违法案件当事人、政府采购严重违法失信行为记录名单和未被“中国政府采购”网站（www.ccgp.gov.cn）列入政府采购严重违法失信行为记录名单；</w:t>
      </w:r>
    </w:p>
    <w:p w14:paraId="20BA86E9">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本项目不接受联合体形式参与报价。</w:t>
      </w:r>
    </w:p>
    <w:p w14:paraId="2ED65975">
      <w:pPr>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640" w:firstLineChars="200"/>
        <w:textAlignment w:val="auto"/>
        <w:rPr>
          <w:rFonts w:hint="eastAsia" w:ascii="黑体" w:hAnsi="黑体" w:eastAsia="黑体" w:cs="黑体"/>
          <w:sz w:val="32"/>
          <w:szCs w:val="32"/>
        </w:rPr>
      </w:pPr>
      <w:bookmarkStart w:id="0" w:name="_Toc358372990"/>
      <w:bookmarkStart w:id="1" w:name="_Toc375126147"/>
      <w:r>
        <w:rPr>
          <w:rFonts w:hint="eastAsia" w:ascii="黑体" w:hAnsi="黑体" w:eastAsia="黑体" w:cs="黑体"/>
          <w:sz w:val="32"/>
          <w:szCs w:val="32"/>
        </w:rPr>
        <w:t>二、项目概况</w:t>
      </w:r>
      <w:bookmarkEnd w:id="0"/>
      <w:bookmarkEnd w:id="1"/>
    </w:p>
    <w:p w14:paraId="3304D5FA">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（一）</w:t>
      </w:r>
      <w:r>
        <w:rPr>
          <w:rFonts w:hint="eastAsia" w:ascii="楷体_GB2312" w:hAnsi="楷体_GB2312" w:eastAsia="楷体_GB2312" w:cs="楷体_GB2312"/>
          <w:sz w:val="32"/>
          <w:szCs w:val="32"/>
        </w:rPr>
        <w:t>项目名称</w:t>
      </w:r>
    </w:p>
    <w:p w14:paraId="7032BBE9">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武汉市教育大数据应用体系</w:t>
      </w:r>
      <w:r>
        <w:rPr>
          <w:rFonts w:hint="eastAsia" w:ascii="仿宋_GB2312" w:hAnsi="仿宋_GB2312" w:eastAsia="仿宋_GB2312" w:cs="仿宋_GB2312"/>
          <w:sz w:val="32"/>
          <w:szCs w:val="32"/>
          <w:lang w:val="en-US" w:eastAsia="zh-CN"/>
        </w:rPr>
        <w:t>2025年</w:t>
      </w:r>
      <w:r>
        <w:rPr>
          <w:rFonts w:hint="eastAsia" w:ascii="仿宋_GB2312" w:hAnsi="仿宋_GB2312" w:eastAsia="仿宋_GB2312" w:cs="仿宋_GB2312"/>
          <w:sz w:val="32"/>
          <w:szCs w:val="32"/>
        </w:rPr>
        <w:t>等保密评服务。</w:t>
      </w:r>
    </w:p>
    <w:p w14:paraId="01ED48DE">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（二）采购内容</w:t>
      </w:r>
    </w:p>
    <w:p w14:paraId="7E62A3D7">
      <w:pPr>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本次采购内容为针对我单位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武汉市教育大数据应用体系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信息系统，提供一次完整、合格的网络安全等级保护（第三级）测评服务，并提供一次密码应用安全性评估服务，最终协助我单位通过测评并获取相应报告。</w:t>
      </w:r>
    </w:p>
    <w:tbl>
      <w:tblPr>
        <w:tblStyle w:val="15"/>
        <w:tblW w:w="8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325"/>
        <w:gridCol w:w="2557"/>
        <w:gridCol w:w="1170"/>
        <w:gridCol w:w="1140"/>
      </w:tblGrid>
      <w:tr w14:paraId="01910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09" w:type="dxa"/>
            <w:shd w:val="clear" w:color="auto" w:fill="FFFFFF" w:themeFill="background1"/>
            <w:vAlign w:val="center"/>
          </w:tcPr>
          <w:p w14:paraId="65687443">
            <w:pPr>
              <w:keepNext w:val="0"/>
              <w:keepLines w:val="0"/>
              <w:pageBreakBefore w:val="0"/>
              <w:widowControl w:val="0"/>
              <w:kinsoku/>
              <w:wordWrap/>
              <w:overflowPunct/>
              <w:topLinePunct w:val="0"/>
              <w:autoSpaceDE/>
              <w:autoSpaceDN/>
              <w:bidi w:val="0"/>
              <w:adjustRightInd/>
              <w:snapToGrid/>
              <w:spacing w:line="240" w:lineRule="auto"/>
              <w:ind w:left="-80" w:leftChars="-38" w:right="-86" w:rightChars="-41" w:firstLine="0" w:firstLineChars="0"/>
              <w:jc w:val="center"/>
              <w:textAlignment w:val="auto"/>
              <w:rPr>
                <w:rFonts w:hint="eastAsia" w:ascii="仿宋_GB2312" w:hAnsi="仿宋_GB2312" w:eastAsia="仿宋_GB2312" w:cs="仿宋_GB2312"/>
                <w:sz w:val="32"/>
                <w:szCs w:val="32"/>
                <w:shd w:val="clear" w:color="auto" w:fill="auto"/>
              </w:rPr>
            </w:pPr>
            <w:r>
              <w:rPr>
                <w:rFonts w:hint="eastAsia" w:ascii="仿宋_GB2312" w:hAnsi="仿宋_GB2312" w:eastAsia="仿宋_GB2312" w:cs="仿宋_GB2312"/>
                <w:sz w:val="32"/>
                <w:szCs w:val="32"/>
                <w:shd w:val="clear" w:color="auto" w:fill="auto"/>
              </w:rPr>
              <w:t>序号</w:t>
            </w:r>
          </w:p>
        </w:tc>
        <w:tc>
          <w:tcPr>
            <w:tcW w:w="2325" w:type="dxa"/>
            <w:shd w:val="clear" w:color="auto" w:fill="FFFFFF" w:themeFill="background1"/>
            <w:vAlign w:val="center"/>
          </w:tcPr>
          <w:p w14:paraId="36BFD6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shd w:val="clear" w:color="auto" w:fill="auto"/>
              </w:rPr>
            </w:pPr>
            <w:r>
              <w:rPr>
                <w:rFonts w:hint="eastAsia" w:ascii="仿宋_GB2312" w:hAnsi="仿宋_GB2312" w:eastAsia="仿宋_GB2312" w:cs="仿宋_GB2312"/>
                <w:sz w:val="32"/>
                <w:szCs w:val="32"/>
                <w:shd w:val="clear" w:color="auto" w:fill="auto"/>
              </w:rPr>
              <w:t>服务类别</w:t>
            </w:r>
          </w:p>
        </w:tc>
        <w:tc>
          <w:tcPr>
            <w:tcW w:w="2557" w:type="dxa"/>
            <w:shd w:val="clear" w:color="auto" w:fill="FFFFFF" w:themeFill="background1"/>
            <w:vAlign w:val="center"/>
          </w:tcPr>
          <w:p w14:paraId="51000B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shd w:val="clear" w:color="auto" w:fill="auto"/>
              </w:rPr>
            </w:pPr>
            <w:r>
              <w:rPr>
                <w:rFonts w:hint="eastAsia" w:ascii="仿宋_GB2312" w:hAnsi="仿宋_GB2312" w:eastAsia="仿宋_GB2312" w:cs="仿宋_GB2312"/>
                <w:sz w:val="32"/>
                <w:szCs w:val="32"/>
                <w:shd w:val="clear" w:color="auto" w:fill="auto"/>
              </w:rPr>
              <w:t>系统名称</w:t>
            </w:r>
          </w:p>
        </w:tc>
        <w:tc>
          <w:tcPr>
            <w:tcW w:w="1170" w:type="dxa"/>
            <w:shd w:val="clear" w:color="auto" w:fill="FFFFFF" w:themeFill="background1"/>
            <w:vAlign w:val="center"/>
          </w:tcPr>
          <w:p w14:paraId="459BC1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shd w:val="clear" w:color="auto" w:fill="auto"/>
              </w:rPr>
            </w:pPr>
            <w:r>
              <w:rPr>
                <w:rFonts w:hint="eastAsia" w:ascii="仿宋_GB2312" w:hAnsi="仿宋_GB2312" w:eastAsia="仿宋_GB2312" w:cs="仿宋_GB2312"/>
                <w:sz w:val="32"/>
                <w:szCs w:val="32"/>
                <w:shd w:val="clear" w:color="auto" w:fill="auto"/>
              </w:rPr>
              <w:t>级别</w:t>
            </w:r>
          </w:p>
        </w:tc>
        <w:tc>
          <w:tcPr>
            <w:tcW w:w="1140" w:type="dxa"/>
            <w:shd w:val="clear" w:color="auto" w:fill="FFFFFF" w:themeFill="background1"/>
            <w:vAlign w:val="center"/>
          </w:tcPr>
          <w:p w14:paraId="4752E3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shd w:val="clear" w:color="auto" w:fill="auto"/>
              </w:rPr>
            </w:pPr>
            <w:r>
              <w:rPr>
                <w:rFonts w:hint="eastAsia" w:ascii="仿宋_GB2312" w:hAnsi="仿宋_GB2312" w:eastAsia="仿宋_GB2312" w:cs="仿宋_GB2312"/>
                <w:sz w:val="32"/>
                <w:szCs w:val="32"/>
                <w:shd w:val="clear" w:color="auto" w:fill="auto"/>
              </w:rPr>
              <w:t>数量</w:t>
            </w:r>
          </w:p>
        </w:tc>
      </w:tr>
      <w:tr w14:paraId="33F22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09" w:type="dxa"/>
            <w:vAlign w:val="center"/>
          </w:tcPr>
          <w:p w14:paraId="0177D0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p>
        </w:tc>
        <w:tc>
          <w:tcPr>
            <w:tcW w:w="2325" w:type="dxa"/>
            <w:vAlign w:val="center"/>
          </w:tcPr>
          <w:p w14:paraId="15599E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网络安全等级保护测评</w:t>
            </w:r>
          </w:p>
        </w:tc>
        <w:tc>
          <w:tcPr>
            <w:tcW w:w="2557" w:type="dxa"/>
            <w:vAlign w:val="center"/>
          </w:tcPr>
          <w:p w14:paraId="394C33F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武汉市教育大数据应用体系</w:t>
            </w:r>
          </w:p>
        </w:tc>
        <w:tc>
          <w:tcPr>
            <w:tcW w:w="1170" w:type="dxa"/>
            <w:vAlign w:val="center"/>
          </w:tcPr>
          <w:p w14:paraId="1B4463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三级</w:t>
            </w:r>
          </w:p>
        </w:tc>
        <w:tc>
          <w:tcPr>
            <w:tcW w:w="1140" w:type="dxa"/>
            <w:vAlign w:val="center"/>
          </w:tcPr>
          <w:p w14:paraId="118302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p>
        </w:tc>
      </w:tr>
      <w:tr w14:paraId="5AFA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09" w:type="dxa"/>
            <w:vAlign w:val="center"/>
          </w:tcPr>
          <w:p w14:paraId="5199D3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p>
        </w:tc>
        <w:tc>
          <w:tcPr>
            <w:tcW w:w="2325" w:type="dxa"/>
            <w:vAlign w:val="center"/>
          </w:tcPr>
          <w:p w14:paraId="6022B0F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商用密码应用安全性评估</w:t>
            </w:r>
          </w:p>
        </w:tc>
        <w:tc>
          <w:tcPr>
            <w:tcW w:w="2557" w:type="dxa"/>
            <w:vAlign w:val="center"/>
          </w:tcPr>
          <w:p w14:paraId="22E423A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武汉市教育大数据应用体系</w:t>
            </w:r>
          </w:p>
        </w:tc>
        <w:tc>
          <w:tcPr>
            <w:tcW w:w="1170" w:type="dxa"/>
            <w:vAlign w:val="center"/>
          </w:tcPr>
          <w:p w14:paraId="7007A7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三级</w:t>
            </w:r>
          </w:p>
        </w:tc>
        <w:tc>
          <w:tcPr>
            <w:tcW w:w="1140" w:type="dxa"/>
            <w:vAlign w:val="center"/>
          </w:tcPr>
          <w:p w14:paraId="401D54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p>
        </w:tc>
      </w:tr>
    </w:tbl>
    <w:p w14:paraId="36DB618D">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（三）项目预算</w:t>
      </w:r>
    </w:p>
    <w:p w14:paraId="6BB234B0">
      <w:pPr>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本项目预算控制价为人民币 </w:t>
      </w:r>
      <w:r>
        <w:rPr>
          <w:rFonts w:hint="eastAsia" w:ascii="仿宋_GB2312" w:hAnsi="仿宋_GB2312" w:eastAsia="仿宋_GB2312" w:cs="仿宋_GB2312"/>
          <w:sz w:val="32"/>
          <w:szCs w:val="32"/>
          <w:lang w:val="en-US" w:eastAsia="zh-CN"/>
        </w:rPr>
        <w:t>18</w:t>
      </w:r>
      <w:r>
        <w:rPr>
          <w:rFonts w:hint="eastAsia" w:ascii="仿宋_GB2312" w:hAnsi="仿宋_GB2312" w:eastAsia="仿宋_GB2312" w:cs="仿宋_GB2312"/>
          <w:sz w:val="32"/>
          <w:szCs w:val="32"/>
        </w:rPr>
        <w:t xml:space="preserve"> 万元（大写：</w:t>
      </w:r>
      <w:r>
        <w:rPr>
          <w:rFonts w:hint="eastAsia" w:ascii="仿宋_GB2312" w:hAnsi="仿宋_GB2312" w:eastAsia="仿宋_GB2312" w:cs="仿宋_GB2312"/>
          <w:sz w:val="32"/>
          <w:szCs w:val="32"/>
          <w:lang w:eastAsia="zh-CN"/>
        </w:rPr>
        <w:t>壹拾捌万元整</w:t>
      </w:r>
      <w:r>
        <w:rPr>
          <w:rFonts w:hint="eastAsia" w:ascii="仿宋_GB2312" w:hAnsi="仿宋_GB2312" w:eastAsia="仿宋_GB2312" w:cs="仿宋_GB2312"/>
          <w:sz w:val="32"/>
          <w:szCs w:val="32"/>
        </w:rPr>
        <w:t>）。投标报价超过预算控制价的将作为无效投标处理。</w:t>
      </w:r>
    </w:p>
    <w:p w14:paraId="4453AD4A">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（四） 服务周期</w:t>
      </w:r>
    </w:p>
    <w:p w14:paraId="75B61D32">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自合同签订之日起 </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0个日历日内，完成全部测评工作，并出具符合要求的正式测评报告和密评报告。</w:t>
      </w:r>
    </w:p>
    <w:p w14:paraId="1A1B18C0">
      <w:pPr>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三、项目需求</w:t>
      </w:r>
    </w:p>
    <w:p w14:paraId="71A93701">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（一）网络安全等级保护测评</w:t>
      </w:r>
    </w:p>
    <w:p w14:paraId="03B02252">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定级备案服务</w:t>
      </w:r>
    </w:p>
    <w:p w14:paraId="17214822">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协助需要进行测评的信息系统进行定级、备案材料的编写，协助采购方到公安监管等部门办理备案手续，确保信息系统安全保护等级定级准确、备案完整。</w:t>
      </w:r>
    </w:p>
    <w:p w14:paraId="72D8F77F">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信息系统安全等级保护测评服务 </w:t>
      </w:r>
    </w:p>
    <w:p w14:paraId="089BB75B">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依据《GB/T 22239-2019 信息安全技术信息系统安全等级保护基本要求》、《</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"http://www.baidu.com/link?url=mXgRblKIGLNk3k6UhKsFa_-6T1vQsBrKifbgzd1LtI4JXx5BRGffiSBkI_QepRsUF5AeucrF2fSo1nJ3VT3DFMXXpjVad_vwO2qPQqzDVaq" \t "_blank"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GB/T 28448-2019 信息安全技术信息系统安全等级保护测评要求</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》、《GB/T 25070-2019信息安全技术网络安全等级保护安全设计技术要求》、《GBT28449-2018信息安全技术 网络安全等级保护测评过程指南》、《GB/T 20984-2007 信息安全技术信息安全风险评估规范》、《GB/T 22080-2016 信息技术 安全技术 信息安全管理体系要求》、《GB/T 22081-2016 信息技术 安全技术 信息安全管理实用规则》等标准的要求，对需要进行测评的信息系统进行等级测评，出具符合国家网络安全等级保护格式要求的等级测评报告。测评范围为项目目标所涉及的机房基础设施、网络环境、主机层面、应用层、数据库层及相关安全辅助设备与管理制度。服务目标为系统最终通过公安部门及相关部门的等级保护检查要求。</w:t>
      </w:r>
    </w:p>
    <w:p w14:paraId="58D5C70B">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测评内容应包括但不限于以下内容：</w:t>
      </w:r>
    </w:p>
    <w:p w14:paraId="1C41D88D">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（1）安全技术测评：包括安全物理环境、安全通信网络、安全区域边界、安全计算环境和安全管理中心等五个方面的安全测评；</w:t>
      </w:r>
    </w:p>
    <w:p w14:paraId="251D4DC0">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（2）安全管理测评：安全管理制度、安全管理机构、安全管理人员、安全建设管理和安全运维管理等五个方面的安全测评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w:t>
      </w:r>
    </w:p>
    <w:p w14:paraId="703C7EE3">
      <w:pPr>
        <w:keepNext w:val="0"/>
        <w:keepLines w:val="0"/>
        <w:pageBreakBefore w:val="0"/>
        <w:widowControl w:val="0"/>
        <w:kinsoku/>
        <w:wordWrap/>
        <w:overflowPunct/>
        <w:topLinePunct w:val="0"/>
        <w:autoSpaceDE/>
        <w:autoSpaceDN/>
        <w:bidi w:val="0"/>
        <w:adjustRightInd/>
        <w:snapToGrid/>
        <w:spacing w:line="240" w:lineRule="auto"/>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交付物：《信息系统等级测评报告》</w:t>
      </w:r>
    </w:p>
    <w:p w14:paraId="3D60F603">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lang w:val="en-US"/>
        </w:rPr>
      </w:pP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val="en-US"/>
        </w:rPr>
        <w:t>商用密码应用安全性评估</w:t>
      </w:r>
    </w:p>
    <w:p w14:paraId="4BCA98DF">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商用密码应用安全性评估服务</w:t>
      </w:r>
    </w:p>
    <w:p w14:paraId="36577D4D">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根据《GB/T 39786-2021信息安全技术 信息系统密码应用基本要求》，对被测系统所涉及的物理和环境安全、网络和通信安全、设备和计算安全、应用和数据安全、密钥管理及安全管理等方面进行评估，出具密码应用安全性评估报告。</w:t>
      </w:r>
    </w:p>
    <w:p w14:paraId="556EC817">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物理和环境安全包括：身份鉴别、电子门禁记录数据完整性、视频记录数据完整性方面评估。</w:t>
      </w:r>
    </w:p>
    <w:p w14:paraId="15FF0162">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网络和通信安全包括：身份鉴别、通信数据完整性、网络边界访问控制信息的完整性、安全接入认证方面评估。</w:t>
      </w:r>
    </w:p>
    <w:p w14:paraId="72E4DD12">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设备和计算安全包括：身份鉴别、远程管理通道安全、系统资源访问控制信息完整性、重要信息资源安全标记完整性、日志记录完整性、重要可执行程序完整性、重要可执行程序来源真实性方面评估。</w:t>
      </w:r>
    </w:p>
    <w:p w14:paraId="5101FEE3">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应用和数据安全：身份鉴别、访问控制信息完整性、重要信息资源安全标记完整性、重要数据传输机密性、重要数据存储机密性、重要数据传输完整性、不可否认性方面评估。</w:t>
      </w:r>
    </w:p>
    <w:p w14:paraId="549C3456">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秘钥管理及安全管理：具备密码应用安全管理制度、秘钥管理规则、建立操作规程、定期修订安全管理制度、明确管理制度发布流程、制度执行过程记录留存方面评估。</w:t>
      </w:r>
    </w:p>
    <w:p w14:paraId="0790BA56">
      <w:pPr>
        <w:keepNext w:val="0"/>
        <w:keepLines w:val="0"/>
        <w:pageBreakBefore w:val="0"/>
        <w:widowControl w:val="0"/>
        <w:kinsoku/>
        <w:wordWrap/>
        <w:overflowPunct/>
        <w:topLinePunct w:val="0"/>
        <w:autoSpaceDE/>
        <w:autoSpaceDN/>
        <w:bidi w:val="0"/>
        <w:adjustRightInd/>
        <w:snapToGrid/>
        <w:spacing w:line="240" w:lineRule="auto"/>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测试人员需具备商用密码应用安全性评估人员测评能力考核证书或NSATP-A注册网络安全渗透评估专业人员证书。</w:t>
      </w:r>
    </w:p>
    <w:p w14:paraId="564928B8">
      <w:pPr>
        <w:keepNext w:val="0"/>
        <w:keepLines w:val="0"/>
        <w:pageBreakBefore w:val="0"/>
        <w:widowControl w:val="0"/>
        <w:kinsoku/>
        <w:wordWrap/>
        <w:overflowPunct/>
        <w:topLinePunct w:val="0"/>
        <w:autoSpaceDE/>
        <w:autoSpaceDN/>
        <w:bidi w:val="0"/>
        <w:adjustRightInd/>
        <w:snapToGrid/>
        <w:spacing w:line="240" w:lineRule="auto"/>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交付物：《信息系统密码应用安全性评估报告》</w:t>
      </w:r>
    </w:p>
    <w:p w14:paraId="4FABEC84">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整改咨询服务</w:t>
      </w:r>
    </w:p>
    <w:p w14:paraId="119D5D59">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对评估中检测出的问题针对性提出解决方案，协助采购方完善系统防护措施，达到对应标准，满足监督审核要求。</w:t>
      </w:r>
    </w:p>
    <w:p w14:paraId="5D12C731">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黑体" w:hAnsi="黑体" w:eastAsia="黑体" w:cs="黑体"/>
          <w:sz w:val="32"/>
          <w:szCs w:val="32"/>
        </w:rPr>
      </w:pPr>
      <w:bookmarkStart w:id="2" w:name="_Toc18492"/>
      <w:bookmarkStart w:id="3" w:name="_Toc9091"/>
      <w:r>
        <w:rPr>
          <w:rFonts w:hint="eastAsia" w:ascii="黑体" w:hAnsi="黑体" w:eastAsia="黑体" w:cs="黑体"/>
          <w:sz w:val="32"/>
          <w:szCs w:val="32"/>
        </w:rPr>
        <w:t>四、整体要求</w:t>
      </w:r>
    </w:p>
    <w:p w14:paraId="347094EB">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（一）项目实施原则</w:t>
      </w:r>
    </w:p>
    <w:p w14:paraId="5E0DC759">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在项目实施过程中必须满足以下原则：</w:t>
      </w:r>
    </w:p>
    <w:p w14:paraId="51A58237">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保密原则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对项目实施过程数据和结果数据严格保密，未经授权不得泄露给任何单位和个人，不得利用此数据进行任何侵害招标方的行为。</w:t>
      </w:r>
    </w:p>
    <w:p w14:paraId="55814C80">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标准性原则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实施方案的设计与实施应依据国家信息系统安全等级保护的相关标准进行。</w:t>
      </w:r>
    </w:p>
    <w:p w14:paraId="5C60A024">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规范性原则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投标方的工作中的过程和文档，具有很好的规范性，可以便于项目的跟踪和控制。</w:t>
      </w:r>
    </w:p>
    <w:p w14:paraId="01EC7686">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可控性原则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项目安排工作进度要跟上进度表的安排，保证工作的可控性。</w:t>
      </w:r>
    </w:p>
    <w:p w14:paraId="678BA64E">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最小影响原则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项目实施应尽可能小的影响系统和网络，并在可控范围内；测评工作不能对现有信息系统的正常运行、业务的正常开展产生任何影响。</w:t>
      </w:r>
    </w:p>
    <w:p w14:paraId="7377DDF2">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整体性原则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测评/评估的范围和内容应当整体全面。</w:t>
      </w:r>
    </w:p>
    <w:p w14:paraId="588A7510">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lang w:val="en-US"/>
        </w:rPr>
      </w:pP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val="en-US"/>
        </w:rPr>
        <w:t>专用工具要求</w:t>
      </w:r>
    </w:p>
    <w:p w14:paraId="52B9D33C">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涉及工程实施和验收测试所需的工具，由投标方负责提供。用于网络安全等级保护测评和风险评估的工具主要包括服务器安全测评工具、网络设备安全测评工具、终端计算机安全测评工具、网站等应用系统安全测评工具、端口扫描工具等。</w:t>
      </w:r>
    </w:p>
    <w:p w14:paraId="3DE97844">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商用密码应用安全性评估工具须包含算法验证工具、随机数检测工具、协议分析工具等。在使用前，应对工具进行测评，如果需要则对工具进行软件或代码升级。</w:t>
      </w:r>
    </w:p>
    <w:p w14:paraId="40B7AFE1">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（三）其他要求</w:t>
      </w:r>
    </w:p>
    <w:p w14:paraId="61E32925">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供应商应详细描述本次等级保护测评、商用密码应用安全性评估以及风险评估整体实施方案，包括项目概述、测试过程中需使用测试设备清单、时间安排、阶段性文档提交等。</w:t>
      </w:r>
    </w:p>
    <w:p w14:paraId="4DDF50AA">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供应商应详细描述测评人员的组成（包含项目负责人和技术负责人以及测试人员）、资质及各自职责的划分。其中参与项目的测试人员不少于6人，项目负责人需具备高级测评师和商用密码应用安全性评估人员认证；技术负责人需具备中级测评师和商用密码应用安全性评估人员认证；测试人员应具备等级测评师证书或商用密码应用安全性评估人员证书或注册网络安全渗透评估专业人员证书或信息安全工程师（高级）等相关的网络安全人员证书。</w:t>
      </w:r>
    </w:p>
    <w:p w14:paraId="0B26652D">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供应商应持有中国信息安全测评中心颁发的信息安全服务资质证书（安全工程类一级及以上）或质量管理体系认证证书(ISO9001)。</w:t>
      </w:r>
    </w:p>
    <w:p w14:paraId="3F500909">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4.供应商应严格履行保密义务，做好服务全过程的安全保密工作，确保采购方系统安全，敏感信息、数据无泄露。</w:t>
      </w:r>
      <w:bookmarkEnd w:id="2"/>
      <w:bookmarkEnd w:id="3"/>
    </w:p>
    <w:p w14:paraId="4A7F77E0">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仿宋_GB2312"/>
          <w:lang w:val="en-US"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本项目需要的运行环境（如场地、网络环境等）由招标人提供，供应商应详细描述需要的运行环境的具体要求。</w:t>
      </w:r>
    </w:p>
    <w:sectPr>
      <w:pgSz w:w="11906" w:h="16838"/>
      <w:pgMar w:top="2120" w:right="1800" w:bottom="2007"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altName w:val="FreeSerif"/>
    <w:panose1 w:val="02040503050406030204"/>
    <w:charset w:val="00"/>
    <w:family w:val="roman"/>
    <w:pitch w:val="default"/>
    <w:sig w:usb0="00000000" w:usb1="00000000" w:usb2="02000000" w:usb3="00000000" w:csb0="0000019F" w:csb1="00000000"/>
  </w:font>
  <w:font w:name="FreeSerif">
    <w:panose1 w:val="02020603050405020304"/>
    <w:charset w:val="00"/>
    <w:family w:val="auto"/>
    <w:pitch w:val="default"/>
    <w:sig w:usb0="E59FAFFF" w:usb1="C200FDFF" w:usb2="43501B29" w:usb3="04000043" w:csb0="600101FF" w:csb1="FFFF0000"/>
  </w:font>
  <w:font w:name="HiddenHorzOCR">
    <w:altName w:val="华文仿宋"/>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k1OGQ0M2UxYzZiNDFmN2NhN2RiNWFkZTExMTNiMDYifQ=="/>
  </w:docVars>
  <w:rsids>
    <w:rsidRoot w:val="00F845B1"/>
    <w:rsid w:val="000B2817"/>
    <w:rsid w:val="001210F0"/>
    <w:rsid w:val="00767C2F"/>
    <w:rsid w:val="00B73CA0"/>
    <w:rsid w:val="00C5628B"/>
    <w:rsid w:val="00E56AB5"/>
    <w:rsid w:val="00ED7781"/>
    <w:rsid w:val="00F845B1"/>
    <w:rsid w:val="022D1ED7"/>
    <w:rsid w:val="06F229CF"/>
    <w:rsid w:val="0D172115"/>
    <w:rsid w:val="2B7F1D88"/>
    <w:rsid w:val="2C6F32AC"/>
    <w:rsid w:val="323002BC"/>
    <w:rsid w:val="36D31229"/>
    <w:rsid w:val="3BFEBE1D"/>
    <w:rsid w:val="5F771694"/>
    <w:rsid w:val="5F7F9BCC"/>
    <w:rsid w:val="5F87CE50"/>
    <w:rsid w:val="6B8E3DCB"/>
    <w:rsid w:val="71603A80"/>
    <w:rsid w:val="77E6003D"/>
    <w:rsid w:val="DFA5FDE1"/>
    <w:rsid w:val="EB9AC89A"/>
    <w:rsid w:val="EFFEC5F7"/>
    <w:rsid w:val="F5EC8B49"/>
    <w:rsid w:val="FBFEF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qFormat/>
    <w:uiPriority w:val="9"/>
    <w:pPr>
      <w:keepNext/>
      <w:keepLines/>
      <w:spacing w:before="340" w:after="330" w:line="578" w:lineRule="auto"/>
      <w:outlineLvl w:val="0"/>
    </w:pPr>
    <w:rPr>
      <w:b/>
      <w:bCs/>
      <w:kern w:val="44"/>
      <w:sz w:val="44"/>
      <w:szCs w:val="44"/>
    </w:rPr>
  </w:style>
  <w:style w:type="paragraph" w:styleId="6">
    <w:name w:val="heading 2"/>
    <w:basedOn w:val="1"/>
    <w:next w:val="1"/>
    <w:qFormat/>
    <w:uiPriority w:val="0"/>
    <w:pPr>
      <w:keepNext/>
      <w:keepLines/>
      <w:widowControl/>
      <w:spacing w:before="260" w:after="260" w:line="413" w:lineRule="auto"/>
      <w:jc w:val="left"/>
      <w:outlineLvl w:val="1"/>
    </w:pPr>
    <w:rPr>
      <w:rFonts w:ascii="Arial" w:hAnsi="Arial" w:eastAsia="黑体"/>
      <w:b/>
      <w:bCs/>
      <w:kern w:val="0"/>
      <w:sz w:val="32"/>
      <w:szCs w:val="32"/>
      <w:lang w:val="zh-CN"/>
    </w:rPr>
  </w:style>
  <w:style w:type="paragraph" w:styleId="7">
    <w:name w:val="heading 3"/>
    <w:basedOn w:val="1"/>
    <w:next w:val="1"/>
    <w:qFormat/>
    <w:uiPriority w:val="9"/>
    <w:pPr>
      <w:keepNext/>
      <w:keepLines/>
      <w:spacing w:before="260" w:after="260" w:line="416" w:lineRule="auto"/>
      <w:outlineLvl w:val="2"/>
    </w:pPr>
    <w:rPr>
      <w:b/>
      <w:bCs/>
      <w:sz w:val="32"/>
      <w:szCs w:val="32"/>
    </w:rPr>
  </w:style>
  <w:style w:type="paragraph" w:styleId="8">
    <w:name w:val="heading 4"/>
    <w:basedOn w:val="1"/>
    <w:next w:val="1"/>
    <w:qFormat/>
    <w:uiPriority w:val="0"/>
    <w:pPr>
      <w:keepNext/>
      <w:keepLines/>
      <w:spacing w:before="280" w:after="290" w:line="376" w:lineRule="auto"/>
      <w:outlineLvl w:val="3"/>
    </w:pPr>
    <w:rPr>
      <w:rFonts w:ascii="Cambria" w:hAnsi="Cambria"/>
      <w:b/>
      <w:bCs/>
      <w:szCs w:val="28"/>
    </w:rPr>
  </w:style>
  <w:style w:type="paragraph" w:styleId="9">
    <w:name w:val="heading 5"/>
    <w:basedOn w:val="1"/>
    <w:next w:val="1"/>
    <w:unhideWhenUsed/>
    <w:qFormat/>
    <w:uiPriority w:val="0"/>
    <w:pPr>
      <w:keepNext/>
      <w:keepLines/>
      <w:spacing w:before="280" w:after="290" w:line="372" w:lineRule="auto"/>
      <w:outlineLvl w:val="4"/>
    </w:pPr>
    <w:rPr>
      <w:b/>
      <w:sz w:val="28"/>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pPr>
    <w:rPr>
      <w:sz w:val="24"/>
    </w:rPr>
  </w:style>
  <w:style w:type="paragraph" w:styleId="3">
    <w:name w:val="Body Text"/>
    <w:basedOn w:val="1"/>
    <w:next w:val="4"/>
    <w:qFormat/>
    <w:uiPriority w:val="0"/>
    <w:pPr>
      <w:adjustRightInd/>
      <w:spacing w:after="120" w:afterLines="0" w:line="240" w:lineRule="auto"/>
      <w:ind w:firstLine="0"/>
      <w:textAlignment w:val="auto"/>
    </w:pPr>
    <w:rPr>
      <w:rFonts w:ascii="宋体"/>
    </w:rPr>
  </w:style>
  <w:style w:type="paragraph" w:styleId="4">
    <w:name w:val="Body Text 2"/>
    <w:basedOn w:val="1"/>
    <w:semiHidden/>
    <w:qFormat/>
    <w:uiPriority w:val="0"/>
    <w:pPr>
      <w:widowControl/>
      <w:spacing w:after="120" w:line="480" w:lineRule="auto"/>
      <w:jc w:val="left"/>
    </w:pPr>
    <w:rPr>
      <w:rFonts w:ascii="Cambria" w:hAnsi="Cambria" w:cs="Times New Roman"/>
      <w:kern w:val="0"/>
      <w:sz w:val="22"/>
      <w:szCs w:val="22"/>
    </w:rPr>
  </w:style>
  <w:style w:type="paragraph" w:styleId="10">
    <w:name w:val="Normal Indent"/>
    <w:basedOn w:val="1"/>
    <w:qFormat/>
    <w:uiPriority w:val="0"/>
    <w:pPr>
      <w:spacing w:line="360" w:lineRule="auto"/>
      <w:ind w:firstLine="420"/>
    </w:pPr>
    <w:rPr>
      <w:kern w:val="0"/>
      <w:sz w:val="20"/>
      <w:szCs w:val="20"/>
    </w:rPr>
  </w:style>
  <w:style w:type="paragraph" w:styleId="11">
    <w:name w:val="Body Text Indent"/>
    <w:basedOn w:val="1"/>
    <w:qFormat/>
    <w:uiPriority w:val="0"/>
    <w:pPr>
      <w:adjustRightInd w:val="0"/>
      <w:snapToGrid w:val="0"/>
      <w:spacing w:line="460" w:lineRule="exact"/>
      <w:ind w:firstLine="480" w:firstLineChars="200"/>
    </w:pPr>
    <w:rPr>
      <w:rFonts w:ascii="宋体" w:hAnsi="宋体"/>
      <w:sz w:val="24"/>
    </w:rPr>
  </w:style>
  <w:style w:type="paragraph" w:styleId="12">
    <w:name w:val="header"/>
    <w:basedOn w:val="1"/>
    <w:next w:val="1"/>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Normal (Web)"/>
    <w:basedOn w:val="1"/>
    <w:qFormat/>
    <w:uiPriority w:val="0"/>
    <w:rPr>
      <w:sz w:val="24"/>
    </w:rPr>
  </w:style>
  <w:style w:type="paragraph" w:styleId="14">
    <w:name w:val="Body Text First Indent 2"/>
    <w:basedOn w:val="11"/>
    <w:qFormat/>
    <w:uiPriority w:val="0"/>
    <w:pPr>
      <w:ind w:firstLine="420"/>
    </w:pPr>
    <w:rPr>
      <w:sz w:val="21"/>
    </w:rPr>
  </w:style>
  <w:style w:type="character" w:styleId="17">
    <w:name w:val="Strong"/>
    <w:basedOn w:val="16"/>
    <w:qFormat/>
    <w:uiPriority w:val="0"/>
    <w:rPr>
      <w:b/>
    </w:rPr>
  </w:style>
  <w:style w:type="paragraph" w:styleId="18">
    <w:name w:val="List Paragraph"/>
    <w:basedOn w:val="1"/>
    <w:qFormat/>
    <w:uiPriority w:val="34"/>
    <w:pPr>
      <w:ind w:firstLine="420" w:firstLineChars="200"/>
    </w:pPr>
    <w:rPr>
      <w:kern w:val="0"/>
      <w:sz w:val="24"/>
      <w:szCs w:val="24"/>
    </w:rPr>
  </w:style>
  <w:style w:type="paragraph" w:customStyle="1" w:styleId="19">
    <w:name w:val="标题4"/>
    <w:basedOn w:val="8"/>
    <w:qFormat/>
    <w:uiPriority w:val="0"/>
    <w:rPr>
      <w:rFonts w:ascii="Arial" w:hAnsi="Arial" w:eastAsia="黑体"/>
      <w:bCs w:val="0"/>
      <w:szCs w:val="20"/>
    </w:rPr>
  </w:style>
  <w:style w:type="paragraph" w:customStyle="1" w:styleId="20">
    <w:name w:val="正文标准样式ty"/>
    <w:basedOn w:val="1"/>
    <w:qFormat/>
    <w:uiPriority w:val="0"/>
    <w:pPr>
      <w:spacing w:line="360" w:lineRule="auto"/>
      <w:ind w:firstLine="480" w:firstLineChars="200"/>
    </w:pPr>
    <w:rPr>
      <w:sz w:val="24"/>
      <w:szCs w:val="20"/>
    </w:rPr>
  </w:style>
  <w:style w:type="character" w:customStyle="1" w:styleId="21">
    <w:name w:val="font01"/>
    <w:qFormat/>
    <w:uiPriority w:val="0"/>
    <w:rPr>
      <w:rFonts w:ascii="HiddenHorzOCR" w:hAnsi="HiddenHorzOCR" w:eastAsia="HiddenHorzOCR" w:cs="HiddenHorzOCR"/>
      <w:color w:val="6E6E74"/>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1560</Words>
  <Characters>1623</Characters>
  <Lines>115</Lines>
  <Paragraphs>138</Paragraphs>
  <TotalTime>1</TotalTime>
  <ScaleCrop>false</ScaleCrop>
  <LinksUpToDate>false</LinksUpToDate>
  <CharactersWithSpaces>3045</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2025-09-26T06:10:00Z</dcterms:created>
  <dc:creator>GaGa</dc:creator>
  <cp:lastModifiedBy>shl</cp:lastModifiedBy>
  <cp:lastPrinted>2025-10-11T10:27:57Z</cp:lastPrinted>
  <dcterms:modified xsi:type="dcterms:W3CDTF">2025-10-11T16:21:44Z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D5E423315488D1B757BEE9689200B025_43</vt:lpwstr>
  </property>
</Properties>
</file>