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369541">
      <w:pPr>
        <w:keepNext w:val="0"/>
        <w:keepLines w:val="0"/>
        <w:pageBreakBefore w:val="0"/>
        <w:widowControl w:val="0"/>
        <w:numPr>
          <w:ilvl w:val="0"/>
          <w:numId w:val="0"/>
        </w:numPr>
        <w:shd w:val="clear"/>
        <w:kinsoku/>
        <w:wordWrap/>
        <w:overflowPunct/>
        <w:topLinePunct w:val="0"/>
        <w:autoSpaceDE/>
        <w:autoSpaceDN/>
        <w:bidi w:val="0"/>
        <w:adjustRightInd/>
        <w:snapToGrid/>
        <w:spacing w:line="700" w:lineRule="exact"/>
        <w:ind w:leftChars="0"/>
        <w:jc w:val="center"/>
        <w:textAlignment w:val="auto"/>
        <w:outlineLvl w:val="0"/>
        <w:rPr>
          <w:rFonts w:hint="eastAsia" w:ascii="方正小标宋简体" w:hAnsi="方正小标宋简体" w:eastAsia="方正小标宋简体" w:cs="方正小标宋简体"/>
          <w:b w:val="0"/>
          <w:bCs/>
          <w:color w:val="auto"/>
          <w:sz w:val="40"/>
          <w:szCs w:val="40"/>
          <w:highlight w:val="none"/>
          <w:lang w:val="en-US" w:eastAsia="zh-CN"/>
        </w:rPr>
      </w:pPr>
      <w:r>
        <w:rPr>
          <w:rFonts w:hint="eastAsia" w:ascii="方正小标宋简体" w:hAnsi="方正小标宋简体" w:eastAsia="方正小标宋简体" w:cs="方正小标宋简体"/>
          <w:b w:val="0"/>
          <w:bCs/>
          <w:color w:val="auto"/>
          <w:sz w:val="40"/>
          <w:szCs w:val="40"/>
          <w:highlight w:val="none"/>
          <w:lang w:val="en-US" w:eastAsia="zh-CN"/>
        </w:rPr>
        <w:t>武汉教育云平台和武汉教育大数据应用体系</w:t>
      </w:r>
    </w:p>
    <w:p w14:paraId="78724459">
      <w:pPr>
        <w:keepNext w:val="0"/>
        <w:keepLines w:val="0"/>
        <w:pageBreakBefore w:val="0"/>
        <w:widowControl w:val="0"/>
        <w:numPr>
          <w:ilvl w:val="0"/>
          <w:numId w:val="0"/>
        </w:numPr>
        <w:shd w:val="clear"/>
        <w:kinsoku/>
        <w:wordWrap/>
        <w:overflowPunct/>
        <w:topLinePunct w:val="0"/>
        <w:autoSpaceDE/>
        <w:autoSpaceDN/>
        <w:bidi w:val="0"/>
        <w:adjustRightInd/>
        <w:snapToGrid/>
        <w:spacing w:line="700" w:lineRule="exact"/>
        <w:ind w:leftChars="0"/>
        <w:jc w:val="center"/>
        <w:textAlignment w:val="auto"/>
        <w:outlineLvl w:val="0"/>
        <w:rPr>
          <w:rFonts w:hint="eastAsia" w:ascii="方正小标宋简体" w:hAnsi="方正小标宋简体" w:eastAsia="方正小标宋简体" w:cs="方正小标宋简体"/>
          <w:b w:val="0"/>
          <w:bCs/>
          <w:color w:val="auto"/>
          <w:sz w:val="40"/>
          <w:szCs w:val="40"/>
          <w:highlight w:val="none"/>
        </w:rPr>
      </w:pPr>
      <w:r>
        <w:rPr>
          <w:rFonts w:hint="eastAsia" w:ascii="方正小标宋简体" w:hAnsi="方正小标宋简体" w:eastAsia="方正小标宋简体" w:cs="方正小标宋简体"/>
          <w:b w:val="0"/>
          <w:bCs/>
          <w:color w:val="auto"/>
          <w:sz w:val="40"/>
          <w:szCs w:val="40"/>
          <w:highlight w:val="none"/>
          <w:lang w:val="en-US" w:eastAsia="zh-CN"/>
        </w:rPr>
        <w:t>运营方案评估咨询服务</w:t>
      </w:r>
      <w:r>
        <w:rPr>
          <w:rFonts w:hint="eastAsia" w:ascii="方正小标宋简体" w:hAnsi="方正小标宋简体" w:eastAsia="方正小标宋简体" w:cs="方正小标宋简体"/>
          <w:b w:val="0"/>
          <w:bCs/>
          <w:color w:val="auto"/>
          <w:sz w:val="40"/>
          <w:szCs w:val="40"/>
          <w:highlight w:val="none"/>
        </w:rPr>
        <w:t>采购需求</w:t>
      </w:r>
    </w:p>
    <w:p w14:paraId="78F8EE3A">
      <w:pPr>
        <w:pStyle w:val="2"/>
        <w:keepNext/>
        <w:keepLines/>
        <w:pageBreakBefore w:val="0"/>
        <w:widowControl w:val="0"/>
        <w:shd w:val="clear"/>
        <w:kinsoku/>
        <w:wordWrap/>
        <w:overflowPunct/>
        <w:topLinePunct w:val="0"/>
        <w:autoSpaceDE/>
        <w:autoSpaceDN/>
        <w:bidi w:val="0"/>
        <w:adjustRightInd/>
        <w:snapToGrid/>
        <w:spacing w:before="157" w:beforeLines="50" w:after="0" w:line="540" w:lineRule="exact"/>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项目基本情况</w:t>
      </w:r>
    </w:p>
    <w:p w14:paraId="1A0C06E5">
      <w:pPr>
        <w:pageBreakBefore w:val="0"/>
        <w:shd w:val="clear"/>
        <w:kinsoku/>
        <w:overflowPunct/>
        <w:topLinePunct w:val="0"/>
        <w:autoSpaceDE/>
        <w:autoSpaceDN/>
        <w:bidi w:val="0"/>
        <w:spacing w:line="54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1.项目名称：武汉教育云平台和武汉教育大数据应用体系运营方案评估咨询服务</w:t>
      </w:r>
    </w:p>
    <w:p w14:paraId="5DA70070">
      <w:pPr>
        <w:pageBreakBefore w:val="0"/>
        <w:shd w:val="clear"/>
        <w:kinsoku/>
        <w:overflowPunct/>
        <w:topLinePunct w:val="0"/>
        <w:autoSpaceDE/>
        <w:autoSpaceDN/>
        <w:bidi w:val="0"/>
        <w:spacing w:line="54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2.采购方式：网上竞价</w:t>
      </w:r>
    </w:p>
    <w:p w14:paraId="4191ADA3">
      <w:pPr>
        <w:pageBreakBefore w:val="0"/>
        <w:shd w:val="clear"/>
        <w:kinsoku/>
        <w:overflowPunct/>
        <w:topLinePunct w:val="0"/>
        <w:autoSpaceDE/>
        <w:autoSpaceDN/>
        <w:bidi w:val="0"/>
        <w:spacing w:line="54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3.预算金额：3.69万元</w:t>
      </w:r>
    </w:p>
    <w:p w14:paraId="30227F08">
      <w:pPr>
        <w:pageBreakBefore w:val="0"/>
        <w:shd w:val="clear"/>
        <w:kinsoku/>
        <w:overflowPunct/>
        <w:topLinePunct w:val="0"/>
        <w:autoSpaceDE/>
        <w:autoSpaceDN/>
        <w:bidi w:val="0"/>
        <w:spacing w:line="54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4.最高限价：3.69万元</w:t>
      </w:r>
    </w:p>
    <w:p w14:paraId="4AD76BFB">
      <w:pPr>
        <w:pageBreakBefore w:val="0"/>
        <w:shd w:val="clear"/>
        <w:kinsoku/>
        <w:overflowPunct/>
        <w:topLinePunct w:val="0"/>
        <w:autoSpaceDE/>
        <w:autoSpaceDN/>
        <w:bidi w:val="0"/>
        <w:spacing w:line="54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5.采购需求：武汉教育云平台和武汉教育大数据应用体系运营方案评估咨询服务</w:t>
      </w:r>
      <w:bookmarkStart w:id="5" w:name="_GoBack"/>
      <w:bookmarkEnd w:id="5"/>
    </w:p>
    <w:p w14:paraId="7154AC69">
      <w:pPr>
        <w:pageBreakBefore w:val="0"/>
        <w:shd w:val="clear"/>
        <w:kinsoku/>
        <w:overflowPunct/>
        <w:topLinePunct w:val="0"/>
        <w:autoSpaceDE/>
        <w:autoSpaceDN/>
        <w:bidi w:val="0"/>
        <w:spacing w:line="54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6.合同履行期限：自签订服务合同之日起至完成评估报告并通过甲方审核</w:t>
      </w:r>
    </w:p>
    <w:p w14:paraId="48B24B95">
      <w:pPr>
        <w:pageBreakBefore w:val="0"/>
        <w:shd w:val="clear"/>
        <w:kinsoku/>
        <w:overflowPunct/>
        <w:topLinePunct w:val="0"/>
        <w:autoSpaceDE/>
        <w:autoSpaceDN/>
        <w:bidi w:val="0"/>
        <w:spacing w:line="54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7.是否专门面向中小企业：是</w:t>
      </w:r>
    </w:p>
    <w:p w14:paraId="441B3557">
      <w:pPr>
        <w:pStyle w:val="2"/>
        <w:keepNext/>
        <w:keepLines/>
        <w:pageBreakBefore w:val="0"/>
        <w:widowControl w:val="0"/>
        <w:shd w:val="clear"/>
        <w:kinsoku/>
        <w:wordWrap/>
        <w:overflowPunct/>
        <w:topLinePunct w:val="0"/>
        <w:autoSpaceDE/>
        <w:autoSpaceDN/>
        <w:bidi w:val="0"/>
        <w:adjustRightInd/>
        <w:snapToGrid/>
        <w:spacing w:before="0" w:after="0" w:line="540" w:lineRule="exact"/>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申请人的资格要求</w:t>
      </w:r>
    </w:p>
    <w:p w14:paraId="764F8DC1">
      <w:pPr>
        <w:pageBreakBefore w:val="0"/>
        <w:widowControl/>
        <w:kinsoku/>
        <w:overflowPunct/>
        <w:topLinePunct w:val="0"/>
        <w:autoSpaceDE/>
        <w:autoSpaceDN/>
        <w:bidi w:val="0"/>
        <w:snapToGrid w:val="0"/>
        <w:spacing w:line="540" w:lineRule="exact"/>
        <w:ind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1.满足《中华人民共和国政府采购法》第二十二条规定，即：</w:t>
      </w:r>
    </w:p>
    <w:p w14:paraId="70DBF33C">
      <w:pPr>
        <w:pageBreakBefore w:val="0"/>
        <w:widowControl/>
        <w:kinsoku/>
        <w:overflowPunct/>
        <w:topLinePunct w:val="0"/>
        <w:autoSpaceDE/>
        <w:autoSpaceDN/>
        <w:bidi w:val="0"/>
        <w:snapToGrid w:val="0"/>
        <w:spacing w:line="540" w:lineRule="exact"/>
        <w:ind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（1）具有独立承担民事责任的能力；</w:t>
      </w:r>
    </w:p>
    <w:p w14:paraId="1F5B1E8A">
      <w:pPr>
        <w:pageBreakBefore w:val="0"/>
        <w:widowControl/>
        <w:kinsoku/>
        <w:overflowPunct/>
        <w:topLinePunct w:val="0"/>
        <w:autoSpaceDE/>
        <w:autoSpaceDN/>
        <w:bidi w:val="0"/>
        <w:snapToGrid w:val="0"/>
        <w:spacing w:line="540" w:lineRule="exact"/>
        <w:ind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（2）具有良好的商业信誉和健全的财务会计制度；</w:t>
      </w:r>
    </w:p>
    <w:p w14:paraId="2A993140">
      <w:pPr>
        <w:pageBreakBefore w:val="0"/>
        <w:widowControl/>
        <w:kinsoku/>
        <w:overflowPunct/>
        <w:topLinePunct w:val="0"/>
        <w:autoSpaceDE/>
        <w:autoSpaceDN/>
        <w:bidi w:val="0"/>
        <w:snapToGrid w:val="0"/>
        <w:spacing w:line="540" w:lineRule="exact"/>
        <w:ind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（3）具有履行合同所必需的设备和专业技术能力；</w:t>
      </w:r>
    </w:p>
    <w:p w14:paraId="41E7963D">
      <w:pPr>
        <w:pageBreakBefore w:val="0"/>
        <w:widowControl/>
        <w:kinsoku/>
        <w:overflowPunct/>
        <w:topLinePunct w:val="0"/>
        <w:autoSpaceDE/>
        <w:autoSpaceDN/>
        <w:bidi w:val="0"/>
        <w:snapToGrid w:val="0"/>
        <w:spacing w:line="540" w:lineRule="exact"/>
        <w:ind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（4）有依法缴纳税收和社会保障资金的良好记录；</w:t>
      </w:r>
    </w:p>
    <w:p w14:paraId="25ED43B4">
      <w:pPr>
        <w:pageBreakBefore w:val="0"/>
        <w:widowControl/>
        <w:kinsoku/>
        <w:overflowPunct/>
        <w:topLinePunct w:val="0"/>
        <w:autoSpaceDE/>
        <w:autoSpaceDN/>
        <w:bidi w:val="0"/>
        <w:snapToGrid w:val="0"/>
        <w:spacing w:line="540" w:lineRule="exact"/>
        <w:ind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（5）参加政府采购活动前三年内，在经营活动中没有重大违法记录；</w:t>
      </w:r>
    </w:p>
    <w:p w14:paraId="5281A7F7">
      <w:pPr>
        <w:pageBreakBefore w:val="0"/>
        <w:widowControl/>
        <w:kinsoku/>
        <w:overflowPunct/>
        <w:topLinePunct w:val="0"/>
        <w:autoSpaceDE/>
        <w:autoSpaceDN/>
        <w:bidi w:val="0"/>
        <w:snapToGrid w:val="0"/>
        <w:spacing w:line="540" w:lineRule="exact"/>
        <w:ind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（6）法律、行政法规规定的其他条件。</w:t>
      </w:r>
    </w:p>
    <w:p w14:paraId="05A33EE3">
      <w:pPr>
        <w:pageBreakBefore w:val="0"/>
        <w:widowControl/>
        <w:kinsoku/>
        <w:overflowPunct/>
        <w:topLinePunct w:val="0"/>
        <w:autoSpaceDE/>
        <w:autoSpaceDN/>
        <w:bidi w:val="0"/>
        <w:snapToGrid w:val="0"/>
        <w:spacing w:line="540" w:lineRule="exact"/>
        <w:ind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2.单位负责人为同一人或者存在直接控股、管理关系的不同投标人，不得参加本项目同一合同项下的政府采购活动。</w:t>
      </w:r>
    </w:p>
    <w:p w14:paraId="4CA7196E">
      <w:pPr>
        <w:pageBreakBefore w:val="0"/>
        <w:widowControl/>
        <w:kinsoku/>
        <w:overflowPunct/>
        <w:topLinePunct w:val="0"/>
        <w:autoSpaceDE/>
        <w:autoSpaceDN/>
        <w:bidi w:val="0"/>
        <w:snapToGrid w:val="0"/>
        <w:spacing w:line="540" w:lineRule="exact"/>
        <w:ind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3.为本采购项目提供整体设计、规范编制或者项目管理、监理、检测等服务的，不得再参加本项目的其他招标采购活动。</w:t>
      </w:r>
    </w:p>
    <w:p w14:paraId="5C69069D">
      <w:pPr>
        <w:pageBreakBefore w:val="0"/>
        <w:widowControl/>
        <w:kinsoku/>
        <w:overflowPunct/>
        <w:topLinePunct w:val="0"/>
        <w:autoSpaceDE/>
        <w:autoSpaceDN/>
        <w:bidi w:val="0"/>
        <w:snapToGrid w:val="0"/>
        <w:spacing w:line="540" w:lineRule="exact"/>
        <w:ind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4.未被列入失信被执行人、重大税收违法案件当事人名单，未被列入政府采购严重违法失信行为记录名单。</w:t>
      </w:r>
    </w:p>
    <w:p w14:paraId="132FE811">
      <w:pPr>
        <w:pageBreakBefore w:val="0"/>
        <w:widowControl/>
        <w:kinsoku/>
        <w:overflowPunct/>
        <w:topLinePunct w:val="0"/>
        <w:autoSpaceDE/>
        <w:autoSpaceDN/>
        <w:bidi w:val="0"/>
        <w:snapToGrid w:val="0"/>
        <w:spacing w:line="540" w:lineRule="exact"/>
        <w:ind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5.落实政府采购政策需满足的资格要求：专门面向</w:t>
      </w:r>
      <w:r>
        <w:rPr>
          <w:rFonts w:hint="eastAsia" w:ascii="仿宋" w:hAnsi="仿宋" w:eastAsia="仿宋" w:cs="仿宋"/>
          <w:bCs/>
          <w:color w:val="auto"/>
          <w:sz w:val="28"/>
          <w:szCs w:val="28"/>
          <w:lang w:val="en-US" w:eastAsia="zh-CN"/>
        </w:rPr>
        <w:t>中小微企业</w:t>
      </w:r>
    </w:p>
    <w:p w14:paraId="1D94873A">
      <w:pPr>
        <w:pageBreakBefore w:val="0"/>
        <w:widowControl/>
        <w:kinsoku/>
        <w:overflowPunct/>
        <w:topLinePunct w:val="0"/>
        <w:autoSpaceDE/>
        <w:autoSpaceDN/>
        <w:bidi w:val="0"/>
        <w:snapToGrid w:val="0"/>
        <w:spacing w:line="540" w:lineRule="exact"/>
        <w:ind w:firstLine="560" w:firstLineChars="200"/>
        <w:jc w:val="left"/>
        <w:textAlignment w:val="auto"/>
        <w:rPr>
          <w:rFonts w:hint="eastAsia" w:ascii="仿宋" w:hAnsi="仿宋" w:eastAsia="仿宋" w:cs="仿宋"/>
          <w:b/>
          <w:color w:val="auto"/>
          <w:sz w:val="28"/>
          <w:szCs w:val="28"/>
          <w:highlight w:val="none"/>
        </w:rPr>
      </w:pPr>
      <w:r>
        <w:rPr>
          <w:rFonts w:hint="eastAsia" w:ascii="仿宋" w:hAnsi="仿宋" w:eastAsia="仿宋" w:cs="仿宋"/>
          <w:bCs/>
          <w:color w:val="auto"/>
          <w:sz w:val="28"/>
          <w:szCs w:val="28"/>
          <w:highlight w:val="none"/>
        </w:rPr>
        <w:t>6.本项目的特定资格要求：</w:t>
      </w:r>
      <w:r>
        <w:rPr>
          <w:rFonts w:hint="eastAsia" w:ascii="仿宋" w:hAnsi="仿宋" w:eastAsia="仿宋" w:cs="仿宋"/>
          <w:color w:val="auto"/>
          <w:sz w:val="28"/>
          <w:szCs w:val="28"/>
          <w:highlight w:val="none"/>
        </w:rPr>
        <w:t>供应商</w:t>
      </w:r>
      <w:r>
        <w:rPr>
          <w:rFonts w:hint="eastAsia" w:ascii="仿宋" w:hAnsi="仿宋" w:eastAsia="仿宋" w:cs="仿宋"/>
          <w:bCs/>
          <w:color w:val="auto"/>
          <w:sz w:val="28"/>
          <w:szCs w:val="28"/>
          <w:highlight w:val="none"/>
        </w:rPr>
        <w:t>须在全国投资项目在线审批监管平台备案，且备案专业至少包含电子、信息工程（含通信、广电、信息化）；服务范围至少包含评估咨询。</w:t>
      </w:r>
    </w:p>
    <w:p w14:paraId="51528853">
      <w:pPr>
        <w:pStyle w:val="2"/>
        <w:keepNext/>
        <w:keepLines/>
        <w:pageBreakBefore w:val="0"/>
        <w:widowControl w:val="0"/>
        <w:shd w:val="clear"/>
        <w:kinsoku/>
        <w:wordWrap/>
        <w:overflowPunct/>
        <w:topLinePunct w:val="0"/>
        <w:autoSpaceDE/>
        <w:autoSpaceDN/>
        <w:bidi w:val="0"/>
        <w:adjustRightInd/>
        <w:snapToGrid/>
        <w:spacing w:before="0" w:after="0" w:line="540" w:lineRule="exact"/>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项目概况</w:t>
      </w:r>
    </w:p>
    <w:p w14:paraId="2771D28F">
      <w:pPr>
        <w:keepNext w:val="0"/>
        <w:keepLines w:val="0"/>
        <w:pageBreakBefore w:val="0"/>
        <w:widowControl w:val="0"/>
        <w:shd w:val="clear"/>
        <w:kinsoku/>
        <w:wordWrap w:val="0"/>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为有力评估武汉市教育云平台和武汉教育大数据应用体系运营购买服务方案技术可行、内容适度、投资合理，提高财政资金投资效益，武汉市教育局拟委托第三方机构负责武汉教育云平台和武汉教育大数据应用体系运营购买服务方案的立项评估咨询，并组织专家评审会出具评审报告等工作。</w:t>
      </w:r>
    </w:p>
    <w:p w14:paraId="769D1C8C">
      <w:pPr>
        <w:pStyle w:val="2"/>
        <w:keepNext/>
        <w:keepLines/>
        <w:pageBreakBefore w:val="0"/>
        <w:widowControl w:val="0"/>
        <w:shd w:val="clear"/>
        <w:kinsoku/>
        <w:wordWrap/>
        <w:overflowPunct/>
        <w:topLinePunct w:val="0"/>
        <w:autoSpaceDE/>
        <w:autoSpaceDN/>
        <w:bidi w:val="0"/>
        <w:adjustRightInd/>
        <w:snapToGrid/>
        <w:spacing w:before="0" w:after="0" w:line="540" w:lineRule="exact"/>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服务内容</w:t>
      </w:r>
    </w:p>
    <w:p w14:paraId="4EC09EF3">
      <w:pPr>
        <w:pageBreakBefore w:val="0"/>
        <w:kinsoku/>
        <w:overflowPunct/>
        <w:topLinePunct w:val="0"/>
        <w:autoSpaceDE/>
        <w:autoSpaceDN/>
        <w:bidi w:val="0"/>
        <w:spacing w:line="54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1.根据信息化项目相关要求，指导编制单位完善项目立项文件，并组织专家评审；</w:t>
      </w:r>
    </w:p>
    <w:p w14:paraId="36831C6F">
      <w:pPr>
        <w:pageBreakBefore w:val="0"/>
        <w:kinsoku/>
        <w:overflowPunct/>
        <w:topLinePunct w:val="0"/>
        <w:autoSpaceDE/>
        <w:autoSpaceDN/>
        <w:bidi w:val="0"/>
        <w:spacing w:line="54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2.主要对武汉市教育局教育云平台和教育大数据应用体系运营购买服务方案进行以下内容审查，并编制咨询评估报告：</w:t>
      </w:r>
    </w:p>
    <w:p w14:paraId="4934F55A">
      <w:pPr>
        <w:pageBreakBefore w:val="0"/>
        <w:numPr>
          <w:numId w:val="0"/>
        </w:numPr>
        <w:kinsoku/>
        <w:overflowPunct/>
        <w:topLinePunct w:val="0"/>
        <w:autoSpaceDE/>
        <w:autoSpaceDN/>
        <w:bidi w:val="0"/>
        <w:spacing w:line="540" w:lineRule="exact"/>
        <w:ind w:left="0" w:leftChars="0" w:firstLine="537" w:firstLineChars="192"/>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（1）项目建设是否必要，是否符合省、市、区和市教育局业务需求；</w:t>
      </w:r>
    </w:p>
    <w:p w14:paraId="55D27313">
      <w:pPr>
        <w:pageBreakBefore w:val="0"/>
        <w:numPr>
          <w:numId w:val="0"/>
        </w:numPr>
        <w:kinsoku/>
        <w:overflowPunct/>
        <w:topLinePunct w:val="0"/>
        <w:autoSpaceDE/>
        <w:autoSpaceDN/>
        <w:bidi w:val="0"/>
        <w:spacing w:line="540" w:lineRule="exact"/>
        <w:ind w:left="0" w:leftChars="0" w:firstLine="537" w:firstLineChars="192"/>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（2）是否符合国家及地方有关技术标准、规范、流程及规定的要求；</w:t>
      </w:r>
    </w:p>
    <w:p w14:paraId="14D13379">
      <w:pPr>
        <w:pageBreakBefore w:val="0"/>
        <w:numPr>
          <w:numId w:val="0"/>
        </w:numPr>
        <w:kinsoku/>
        <w:overflowPunct/>
        <w:topLinePunct w:val="0"/>
        <w:autoSpaceDE/>
        <w:autoSpaceDN/>
        <w:bidi w:val="0"/>
        <w:spacing w:line="540" w:lineRule="exact"/>
        <w:ind w:left="0" w:leftChars="0" w:firstLine="537" w:firstLineChars="192"/>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（3）是否达到国家规定的深度要求；</w:t>
      </w:r>
    </w:p>
    <w:p w14:paraId="63FEE1DA">
      <w:pPr>
        <w:pageBreakBefore w:val="0"/>
        <w:numPr>
          <w:numId w:val="0"/>
        </w:numPr>
        <w:kinsoku/>
        <w:overflowPunct/>
        <w:topLinePunct w:val="0"/>
        <w:autoSpaceDE/>
        <w:autoSpaceDN/>
        <w:bidi w:val="0"/>
        <w:spacing w:line="540" w:lineRule="exact"/>
        <w:ind w:left="0" w:leftChars="0" w:firstLine="537" w:firstLineChars="192"/>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（4）项目建设内容和建设规模是否合理；</w:t>
      </w:r>
    </w:p>
    <w:p w14:paraId="2E6832D9">
      <w:pPr>
        <w:pageBreakBefore w:val="0"/>
        <w:numPr>
          <w:numId w:val="0"/>
        </w:numPr>
        <w:kinsoku/>
        <w:overflowPunct/>
        <w:topLinePunct w:val="0"/>
        <w:autoSpaceDE/>
        <w:autoSpaceDN/>
        <w:bidi w:val="0"/>
        <w:spacing w:line="540" w:lineRule="exact"/>
        <w:ind w:left="0" w:leftChars="0" w:firstLine="537" w:firstLineChars="192"/>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（5）主要技术方案是否合理可行；</w:t>
      </w:r>
    </w:p>
    <w:p w14:paraId="359E5ED4">
      <w:pPr>
        <w:pageBreakBefore w:val="0"/>
        <w:numPr>
          <w:numId w:val="0"/>
        </w:numPr>
        <w:kinsoku/>
        <w:overflowPunct/>
        <w:topLinePunct w:val="0"/>
        <w:autoSpaceDE/>
        <w:autoSpaceDN/>
        <w:bidi w:val="0"/>
        <w:spacing w:line="540" w:lineRule="exact"/>
        <w:ind w:left="0" w:leftChars="0" w:firstLine="537" w:firstLineChars="192"/>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（6）项目投资概算是否完整、合理，采用指标是否合适；</w:t>
      </w:r>
    </w:p>
    <w:p w14:paraId="6BDBFEF2">
      <w:pPr>
        <w:pageBreakBefore w:val="0"/>
        <w:numPr>
          <w:numId w:val="0"/>
        </w:numPr>
        <w:kinsoku/>
        <w:overflowPunct/>
        <w:topLinePunct w:val="0"/>
        <w:autoSpaceDE/>
        <w:autoSpaceDN/>
        <w:bidi w:val="0"/>
        <w:spacing w:line="540" w:lineRule="exact"/>
        <w:ind w:left="0" w:leftChars="0" w:firstLine="537" w:firstLineChars="192"/>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（7）其他要求评估的内容。</w:t>
      </w:r>
    </w:p>
    <w:p w14:paraId="69D8FD40">
      <w:pPr>
        <w:pStyle w:val="2"/>
        <w:keepNext/>
        <w:keepLines/>
        <w:pageBreakBefore w:val="0"/>
        <w:widowControl w:val="0"/>
        <w:shd w:val="clear"/>
        <w:kinsoku/>
        <w:wordWrap/>
        <w:overflowPunct/>
        <w:topLinePunct w:val="0"/>
        <w:autoSpaceDE/>
        <w:autoSpaceDN/>
        <w:bidi w:val="0"/>
        <w:adjustRightInd/>
        <w:snapToGrid/>
        <w:spacing w:before="0" w:after="0" w:line="540" w:lineRule="exact"/>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服务要求</w:t>
      </w:r>
    </w:p>
    <w:p w14:paraId="6FE009E4">
      <w:pPr>
        <w:pageBreakBefore w:val="0"/>
        <w:kinsoku/>
        <w:wordWrap/>
        <w:overflowPunct/>
        <w:topLinePunct w:val="0"/>
        <w:autoSpaceDE/>
        <w:autoSpaceDN/>
        <w:bidi w:val="0"/>
        <w:spacing w:line="540" w:lineRule="exact"/>
        <w:ind w:firstLine="560" w:firstLineChars="200"/>
        <w:jc w:val="left"/>
        <w:textAlignment w:val="auto"/>
        <w:rPr>
          <w:rFonts w:hint="eastAsia" w:ascii="方正仿宋_GBK" w:hAnsi="方正仿宋_GBK" w:eastAsia="方正仿宋_GBK" w:cs="方正仿宋_GBK"/>
          <w:bCs/>
          <w:color w:val="auto"/>
          <w:kern w:val="0"/>
          <w:sz w:val="28"/>
          <w:szCs w:val="28"/>
          <w:highlight w:val="none"/>
        </w:rPr>
      </w:pPr>
      <w:r>
        <w:rPr>
          <w:rFonts w:hint="eastAsia" w:ascii="方正仿宋_GBK" w:hAnsi="方正仿宋_GBK" w:eastAsia="方正仿宋_GBK" w:cs="方正仿宋_GBK"/>
          <w:b w:val="0"/>
          <w:bCs w:val="0"/>
          <w:color w:val="auto"/>
          <w:sz w:val="28"/>
          <w:szCs w:val="28"/>
          <w:highlight w:val="none"/>
          <w:lang w:val="en-US" w:eastAsia="zh-CN"/>
        </w:rPr>
        <w:t>1、评估要求。</w:t>
      </w:r>
      <w:r>
        <w:rPr>
          <w:rFonts w:hint="eastAsia" w:ascii="方正仿宋_GBK" w:hAnsi="方正仿宋_GBK" w:eastAsia="方正仿宋_GBK" w:cs="方正仿宋_GBK"/>
          <w:bCs/>
          <w:color w:val="auto"/>
          <w:kern w:val="0"/>
          <w:sz w:val="28"/>
          <w:szCs w:val="28"/>
          <w:highlight w:val="none"/>
        </w:rPr>
        <w:t>在接受委托任务后，供应商应在2个工作日内形成预审意见，并在方案修改完善后2个工作日内拟订评估方案，明确选用专家、评审会时间地点等内容，立项评审及评估报告应在5个工作日内完成。客观原因确实难以在规定时限内完成的，在向采购人报告有关情况并征得同意后，可以适当延期。</w:t>
      </w:r>
    </w:p>
    <w:p w14:paraId="49F55535">
      <w:pPr>
        <w:pageBreakBefore w:val="0"/>
        <w:kinsoku/>
        <w:wordWrap/>
        <w:overflowPunct/>
        <w:topLinePunct w:val="0"/>
        <w:autoSpaceDE/>
        <w:autoSpaceDN/>
        <w:bidi w:val="0"/>
        <w:spacing w:line="540" w:lineRule="exact"/>
        <w:ind w:firstLine="560" w:firstLineChars="200"/>
        <w:jc w:val="left"/>
        <w:textAlignment w:val="auto"/>
        <w:rPr>
          <w:rFonts w:hint="eastAsia" w:ascii="方正仿宋_GBK" w:hAnsi="方正仿宋_GBK" w:eastAsia="方正仿宋_GBK" w:cs="方正仿宋_GBK"/>
          <w:bCs/>
          <w:color w:val="auto"/>
          <w:kern w:val="0"/>
          <w:sz w:val="28"/>
          <w:szCs w:val="28"/>
          <w:highlight w:val="none"/>
        </w:rPr>
      </w:pPr>
      <w:r>
        <w:rPr>
          <w:rFonts w:hint="eastAsia" w:ascii="方正仿宋_GBK" w:hAnsi="方正仿宋_GBK" w:eastAsia="方正仿宋_GBK" w:cs="方正仿宋_GBK"/>
          <w:b w:val="0"/>
          <w:bCs w:val="0"/>
          <w:color w:val="auto"/>
          <w:sz w:val="28"/>
          <w:szCs w:val="28"/>
          <w:highlight w:val="none"/>
          <w:lang w:val="en-US" w:eastAsia="zh-CN"/>
        </w:rPr>
        <w:t>2、评估方案需经采购人同意后实施。</w:t>
      </w:r>
      <w:r>
        <w:rPr>
          <w:rFonts w:hint="eastAsia" w:ascii="方正仿宋_GBK" w:hAnsi="方正仿宋_GBK" w:eastAsia="方正仿宋_GBK" w:cs="方正仿宋_GBK"/>
          <w:bCs/>
          <w:color w:val="auto"/>
          <w:kern w:val="0"/>
          <w:sz w:val="28"/>
          <w:szCs w:val="28"/>
          <w:highlight w:val="none"/>
        </w:rPr>
        <w:t>评估机构应严格按照评估方案开展评估工作，广泛听取各方面意见，形成客观、公正的咨询评估报告，对重大分歧意见提出倾向性意见，在咨询评估报告中全面、如实反映，按规定时限报送采购人。</w:t>
      </w:r>
    </w:p>
    <w:p w14:paraId="03142B9E">
      <w:pPr>
        <w:pageBreakBefore w:val="0"/>
        <w:kinsoku/>
        <w:wordWrap/>
        <w:overflowPunct/>
        <w:topLinePunct w:val="0"/>
        <w:autoSpaceDE/>
        <w:autoSpaceDN/>
        <w:bidi w:val="0"/>
        <w:spacing w:line="540" w:lineRule="exact"/>
        <w:ind w:firstLine="560" w:firstLineChars="200"/>
        <w:jc w:val="left"/>
        <w:textAlignment w:val="auto"/>
        <w:rPr>
          <w:rFonts w:hint="eastAsia" w:ascii="方正仿宋_GBK" w:hAnsi="方正仿宋_GBK" w:eastAsia="方正仿宋_GBK" w:cs="方正仿宋_GBK"/>
          <w:bCs/>
          <w:color w:val="auto"/>
          <w:kern w:val="0"/>
          <w:sz w:val="28"/>
          <w:szCs w:val="28"/>
          <w:highlight w:val="none"/>
        </w:rPr>
      </w:pPr>
      <w:r>
        <w:rPr>
          <w:rFonts w:hint="eastAsia" w:ascii="方正仿宋_GBK" w:hAnsi="方正仿宋_GBK" w:eastAsia="方正仿宋_GBK" w:cs="方正仿宋_GBK"/>
          <w:b w:val="0"/>
          <w:bCs w:val="0"/>
          <w:color w:val="auto"/>
          <w:sz w:val="28"/>
          <w:szCs w:val="28"/>
          <w:highlight w:val="none"/>
          <w:lang w:val="en-US" w:eastAsia="zh-CN"/>
        </w:rPr>
        <w:t>3、人员。</w:t>
      </w:r>
      <w:r>
        <w:rPr>
          <w:rFonts w:hint="eastAsia" w:ascii="方正仿宋_GBK" w:hAnsi="方正仿宋_GBK" w:eastAsia="方正仿宋_GBK" w:cs="方正仿宋_GBK"/>
          <w:bCs/>
          <w:color w:val="auto"/>
          <w:kern w:val="0"/>
          <w:sz w:val="28"/>
          <w:szCs w:val="28"/>
          <w:highlight w:val="none"/>
          <w:lang w:val="en-US" w:eastAsia="zh-CN"/>
        </w:rPr>
        <w:t>供应商应提供专业咨询评估人员和团队</w:t>
      </w:r>
      <w:r>
        <w:rPr>
          <w:rFonts w:hint="eastAsia" w:ascii="方正仿宋_GBK" w:hAnsi="方正仿宋_GBK" w:eastAsia="方正仿宋_GBK" w:cs="方正仿宋_GBK"/>
          <w:bCs/>
          <w:color w:val="auto"/>
          <w:kern w:val="0"/>
          <w:sz w:val="28"/>
          <w:szCs w:val="28"/>
          <w:highlight w:val="none"/>
        </w:rPr>
        <w:t>。</w:t>
      </w:r>
    </w:p>
    <w:p w14:paraId="6580B798">
      <w:pPr>
        <w:pageBreakBefore w:val="0"/>
        <w:kinsoku/>
        <w:overflowPunct/>
        <w:topLinePunct w:val="0"/>
        <w:autoSpaceDE/>
        <w:autoSpaceDN/>
        <w:bidi w:val="0"/>
        <w:spacing w:line="540" w:lineRule="exact"/>
        <w:ind w:firstLine="562" w:firstLineChars="200"/>
        <w:textAlignment w:val="auto"/>
        <w:rPr>
          <w:rFonts w:hint="eastAsia" w:ascii="仿宋" w:hAnsi="仿宋" w:eastAsia="仿宋" w:cs="仿宋"/>
          <w:bCs/>
          <w:color w:val="auto"/>
          <w:kern w:val="0"/>
          <w:sz w:val="28"/>
          <w:szCs w:val="28"/>
        </w:rPr>
      </w:pPr>
      <w:r>
        <w:rPr>
          <w:rFonts w:hint="eastAsia" w:ascii="仿宋" w:hAnsi="仿宋" w:eastAsia="仿宋" w:cs="仿宋"/>
          <w:b/>
          <w:bCs w:val="0"/>
          <w:color w:val="auto"/>
          <w:kern w:val="0"/>
          <w:sz w:val="28"/>
          <w:szCs w:val="28"/>
        </w:rPr>
        <w:t>拟投入人员按下表执行，下表要求为最低要求：</w:t>
      </w:r>
    </w:p>
    <w:tbl>
      <w:tblPr>
        <w:tblStyle w:val="19"/>
        <w:tblW w:w="49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2538"/>
        <w:gridCol w:w="5010"/>
      </w:tblGrid>
      <w:tr w14:paraId="66C4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484" w:type="pct"/>
            <w:vAlign w:val="center"/>
          </w:tcPr>
          <w:p w14:paraId="7DA5F474">
            <w:pPr>
              <w:pageBreakBefore w:val="0"/>
              <w:kinsoku/>
              <w:overflowPunct/>
              <w:topLinePunct w:val="0"/>
              <w:autoSpaceDE/>
              <w:autoSpaceDN/>
              <w:bidi w:val="0"/>
              <w:adjustRightInd w:val="0"/>
              <w:spacing w:line="540" w:lineRule="exact"/>
              <w:jc w:val="center"/>
              <w:textAlignment w:val="auto"/>
              <w:rPr>
                <w:rFonts w:hint="eastAsia" w:ascii="仿宋" w:hAnsi="仿宋" w:eastAsia="仿宋" w:cs="仿宋"/>
                <w:b/>
                <w:bCs/>
                <w:color w:val="auto"/>
                <w:sz w:val="28"/>
                <w:szCs w:val="28"/>
              </w:rPr>
            </w:pPr>
            <w:r>
              <w:rPr>
                <w:rFonts w:hint="eastAsia" w:ascii="仿宋" w:hAnsi="仿宋" w:eastAsia="仿宋" w:cs="仿宋"/>
                <w:b/>
                <w:bCs/>
                <w:color w:val="auto"/>
                <w:kern w:val="0"/>
                <w:sz w:val="28"/>
                <w:szCs w:val="28"/>
              </w:rPr>
              <w:t>序号</w:t>
            </w:r>
          </w:p>
        </w:tc>
        <w:tc>
          <w:tcPr>
            <w:tcW w:w="1518" w:type="pct"/>
            <w:vAlign w:val="center"/>
          </w:tcPr>
          <w:p w14:paraId="6A91CBA1">
            <w:pPr>
              <w:pageBreakBefore w:val="0"/>
              <w:kinsoku/>
              <w:overflowPunct/>
              <w:topLinePunct w:val="0"/>
              <w:autoSpaceDE/>
              <w:autoSpaceDN/>
              <w:bidi w:val="0"/>
              <w:adjustRightInd w:val="0"/>
              <w:spacing w:line="540" w:lineRule="exact"/>
              <w:jc w:val="center"/>
              <w:textAlignment w:val="auto"/>
              <w:rPr>
                <w:rFonts w:hint="eastAsia" w:ascii="仿宋" w:hAnsi="仿宋" w:eastAsia="仿宋" w:cs="仿宋"/>
                <w:b/>
                <w:bCs/>
                <w:color w:val="auto"/>
                <w:sz w:val="28"/>
                <w:szCs w:val="28"/>
              </w:rPr>
            </w:pPr>
            <w:r>
              <w:rPr>
                <w:rFonts w:hint="eastAsia" w:ascii="仿宋" w:hAnsi="仿宋" w:eastAsia="仿宋" w:cs="仿宋"/>
                <w:b/>
                <w:bCs/>
                <w:color w:val="auto"/>
                <w:kern w:val="0"/>
                <w:sz w:val="28"/>
                <w:szCs w:val="28"/>
              </w:rPr>
              <w:t>人员职位</w:t>
            </w:r>
          </w:p>
        </w:tc>
        <w:tc>
          <w:tcPr>
            <w:tcW w:w="2997" w:type="pct"/>
            <w:vAlign w:val="center"/>
          </w:tcPr>
          <w:p w14:paraId="4F565467">
            <w:pPr>
              <w:pageBreakBefore w:val="0"/>
              <w:kinsoku/>
              <w:overflowPunct/>
              <w:topLinePunct w:val="0"/>
              <w:autoSpaceDE/>
              <w:autoSpaceDN/>
              <w:bidi w:val="0"/>
              <w:adjustRightInd w:val="0"/>
              <w:spacing w:line="540" w:lineRule="exact"/>
              <w:jc w:val="center"/>
              <w:textAlignment w:val="auto"/>
              <w:rPr>
                <w:rFonts w:hint="eastAsia" w:ascii="仿宋" w:hAnsi="仿宋" w:eastAsia="仿宋" w:cs="仿宋"/>
                <w:b/>
                <w:bCs/>
                <w:color w:val="auto"/>
                <w:sz w:val="28"/>
                <w:szCs w:val="28"/>
              </w:rPr>
            </w:pPr>
            <w:r>
              <w:rPr>
                <w:rFonts w:hint="eastAsia" w:ascii="仿宋" w:hAnsi="仿宋" w:eastAsia="仿宋" w:cs="仿宋"/>
                <w:b/>
                <w:bCs/>
                <w:color w:val="auto"/>
                <w:kern w:val="0"/>
                <w:sz w:val="28"/>
                <w:szCs w:val="28"/>
              </w:rPr>
              <w:t>配置要求</w:t>
            </w:r>
          </w:p>
        </w:tc>
      </w:tr>
      <w:tr w14:paraId="62893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jc w:val="center"/>
        </w:trPr>
        <w:tc>
          <w:tcPr>
            <w:tcW w:w="484" w:type="pct"/>
            <w:vAlign w:val="center"/>
          </w:tcPr>
          <w:p w14:paraId="64E2747D">
            <w:pPr>
              <w:pageBreakBefore w:val="0"/>
              <w:kinsoku/>
              <w:overflowPunct/>
              <w:topLinePunct w:val="0"/>
              <w:autoSpaceDE/>
              <w:autoSpaceDN/>
              <w:bidi w:val="0"/>
              <w:adjustRightInd w:val="0"/>
              <w:spacing w:line="540" w:lineRule="exact"/>
              <w:jc w:val="center"/>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1518" w:type="pct"/>
            <w:vAlign w:val="center"/>
          </w:tcPr>
          <w:p w14:paraId="04A7A98D">
            <w:pPr>
              <w:pageBreakBefore w:val="0"/>
              <w:kinsoku/>
              <w:overflowPunct/>
              <w:topLinePunct w:val="0"/>
              <w:autoSpaceDE/>
              <w:autoSpaceDN/>
              <w:bidi w:val="0"/>
              <w:adjustRightInd w:val="0"/>
              <w:spacing w:line="540" w:lineRule="exact"/>
              <w:jc w:val="center"/>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kern w:val="0"/>
                <w:sz w:val="28"/>
                <w:szCs w:val="28"/>
              </w:rPr>
              <w:t>项目负责人</w:t>
            </w:r>
          </w:p>
        </w:tc>
        <w:tc>
          <w:tcPr>
            <w:tcW w:w="2997" w:type="pct"/>
            <w:vAlign w:val="center"/>
          </w:tcPr>
          <w:p w14:paraId="7074C5F4">
            <w:pPr>
              <w:keepNext w:val="0"/>
              <w:keepLines w:val="0"/>
              <w:pageBreakBefore w:val="0"/>
              <w:widowControl w:val="0"/>
              <w:kinsoku/>
              <w:wordWrap/>
              <w:overflowPunct/>
              <w:topLinePunct w:val="0"/>
              <w:autoSpaceDE/>
              <w:autoSpaceDN/>
              <w:bidi w:val="0"/>
              <w:adjustRightInd w:val="0"/>
              <w:snapToGrid/>
              <w:spacing w:line="460" w:lineRule="exact"/>
              <w:textAlignment w:val="auto"/>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1、数量：1名</w:t>
            </w:r>
          </w:p>
          <w:p w14:paraId="594D3374">
            <w:pPr>
              <w:keepNext w:val="0"/>
              <w:keepLines w:val="0"/>
              <w:pageBreakBefore w:val="0"/>
              <w:widowControl w:val="0"/>
              <w:kinsoku/>
              <w:wordWrap/>
              <w:overflowPunct/>
              <w:topLinePunct w:val="0"/>
              <w:autoSpaceDE/>
              <w:autoSpaceDN/>
              <w:bidi w:val="0"/>
              <w:adjustRightInd w:val="0"/>
              <w:snapToGrid/>
              <w:spacing w:line="460" w:lineRule="exact"/>
              <w:textAlignment w:val="auto"/>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2、要求：咨询工程师（投资）执业证书；</w:t>
            </w:r>
          </w:p>
          <w:p w14:paraId="78165DB6">
            <w:pPr>
              <w:keepNext w:val="0"/>
              <w:keepLines w:val="0"/>
              <w:pageBreakBefore w:val="0"/>
              <w:widowControl w:val="0"/>
              <w:kinsoku/>
              <w:wordWrap/>
              <w:overflowPunct/>
              <w:topLinePunct w:val="0"/>
              <w:autoSpaceDE/>
              <w:autoSpaceDN/>
              <w:bidi w:val="0"/>
              <w:adjustRightInd w:val="0"/>
              <w:snapToGrid/>
              <w:spacing w:line="460" w:lineRule="exact"/>
              <w:textAlignment w:val="auto"/>
              <w:rPr>
                <w:rFonts w:hint="eastAsia" w:ascii="仿宋" w:hAnsi="仿宋" w:eastAsia="仿宋" w:cs="仿宋"/>
                <w:color w:val="auto"/>
                <w:sz w:val="28"/>
                <w:szCs w:val="28"/>
              </w:rPr>
            </w:pPr>
            <w:r>
              <w:rPr>
                <w:rFonts w:hint="eastAsia" w:ascii="仿宋" w:hAnsi="仿宋" w:eastAsia="仿宋" w:cs="仿宋"/>
                <w:color w:val="auto"/>
                <w:kern w:val="0"/>
                <w:sz w:val="28"/>
                <w:szCs w:val="28"/>
                <w:lang w:val="en-US" w:eastAsia="zh-CN"/>
              </w:rPr>
              <w:t>3</w:t>
            </w:r>
            <w:r>
              <w:rPr>
                <w:rFonts w:hint="eastAsia" w:ascii="仿宋" w:hAnsi="仿宋" w:eastAsia="仿宋" w:cs="仿宋"/>
                <w:color w:val="auto"/>
                <w:kern w:val="0"/>
                <w:sz w:val="28"/>
                <w:szCs w:val="28"/>
              </w:rPr>
              <w:t>、职称：</w:t>
            </w:r>
            <w:r>
              <w:rPr>
                <w:rFonts w:hint="eastAsia" w:ascii="仿宋" w:hAnsi="仿宋" w:eastAsia="仿宋" w:cs="仿宋"/>
                <w:color w:val="auto"/>
                <w:kern w:val="0"/>
                <w:sz w:val="28"/>
                <w:szCs w:val="28"/>
                <w:lang w:val="en-US" w:eastAsia="zh-CN"/>
              </w:rPr>
              <w:t>高级</w:t>
            </w:r>
            <w:r>
              <w:rPr>
                <w:rFonts w:hint="eastAsia" w:ascii="仿宋" w:hAnsi="仿宋" w:eastAsia="仿宋" w:cs="仿宋"/>
                <w:color w:val="auto"/>
                <w:kern w:val="0"/>
                <w:sz w:val="28"/>
                <w:szCs w:val="28"/>
              </w:rPr>
              <w:t>及以上职称；</w:t>
            </w:r>
          </w:p>
        </w:tc>
      </w:tr>
      <w:tr w14:paraId="33A46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484" w:type="pct"/>
            <w:vAlign w:val="center"/>
          </w:tcPr>
          <w:p w14:paraId="30046DF1">
            <w:pPr>
              <w:pageBreakBefore w:val="0"/>
              <w:kinsoku/>
              <w:overflowPunct/>
              <w:topLinePunct w:val="0"/>
              <w:autoSpaceDE/>
              <w:autoSpaceDN/>
              <w:bidi w:val="0"/>
              <w:adjustRightInd w:val="0"/>
              <w:spacing w:line="540" w:lineRule="exact"/>
              <w:jc w:val="center"/>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2</w:t>
            </w:r>
          </w:p>
        </w:tc>
        <w:tc>
          <w:tcPr>
            <w:tcW w:w="1518" w:type="pct"/>
            <w:vAlign w:val="center"/>
          </w:tcPr>
          <w:p w14:paraId="6161B008">
            <w:pPr>
              <w:pageBreakBefore w:val="0"/>
              <w:kinsoku/>
              <w:overflowPunct/>
              <w:topLinePunct w:val="0"/>
              <w:autoSpaceDE/>
              <w:autoSpaceDN/>
              <w:bidi w:val="0"/>
              <w:adjustRightInd w:val="0"/>
              <w:spacing w:line="540" w:lineRule="exact"/>
              <w:jc w:val="center"/>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团队成员</w:t>
            </w:r>
          </w:p>
          <w:p w14:paraId="314C3113">
            <w:pPr>
              <w:pageBreakBefore w:val="0"/>
              <w:kinsoku/>
              <w:overflowPunct/>
              <w:topLinePunct w:val="0"/>
              <w:autoSpaceDE/>
              <w:autoSpaceDN/>
              <w:bidi w:val="0"/>
              <w:adjustRightInd w:val="0"/>
              <w:spacing w:line="540" w:lineRule="exact"/>
              <w:ind w:left="-59" w:leftChars="-28" w:right="-90" w:rightChars="-43" w:firstLine="0" w:firstLineChars="0"/>
              <w:jc w:val="center"/>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kern w:val="0"/>
                <w:sz w:val="28"/>
                <w:szCs w:val="28"/>
                <w:lang w:val="en-US" w:eastAsia="zh-CN"/>
              </w:rPr>
              <w:t>（不含项目负责人）</w:t>
            </w:r>
          </w:p>
        </w:tc>
        <w:tc>
          <w:tcPr>
            <w:tcW w:w="2997" w:type="pct"/>
            <w:vAlign w:val="center"/>
          </w:tcPr>
          <w:p w14:paraId="4E00D0CC">
            <w:pPr>
              <w:keepNext w:val="0"/>
              <w:keepLines w:val="0"/>
              <w:pageBreakBefore w:val="0"/>
              <w:widowControl w:val="0"/>
              <w:kinsoku/>
              <w:wordWrap/>
              <w:overflowPunct/>
              <w:topLinePunct w:val="0"/>
              <w:autoSpaceDE/>
              <w:autoSpaceDN/>
              <w:bidi w:val="0"/>
              <w:adjustRightInd w:val="0"/>
              <w:snapToGrid/>
              <w:spacing w:line="460" w:lineRule="exac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kern w:val="0"/>
                <w:sz w:val="28"/>
                <w:szCs w:val="28"/>
              </w:rPr>
              <w:t>数量：不少于</w:t>
            </w:r>
            <w:r>
              <w:rPr>
                <w:rFonts w:hint="eastAsia" w:ascii="仿宋" w:hAnsi="仿宋" w:eastAsia="仿宋" w:cs="仿宋"/>
                <w:color w:val="auto"/>
                <w:kern w:val="0"/>
                <w:sz w:val="28"/>
                <w:szCs w:val="28"/>
                <w:lang w:val="en-US" w:eastAsia="zh-CN"/>
              </w:rPr>
              <w:t>2</w:t>
            </w:r>
            <w:r>
              <w:rPr>
                <w:rFonts w:hint="eastAsia" w:ascii="仿宋" w:hAnsi="仿宋" w:eastAsia="仿宋" w:cs="仿宋"/>
                <w:color w:val="auto"/>
                <w:kern w:val="0"/>
                <w:sz w:val="28"/>
                <w:szCs w:val="28"/>
              </w:rPr>
              <w:t>名</w:t>
            </w:r>
            <w:r>
              <w:rPr>
                <w:rFonts w:hint="eastAsia" w:ascii="仿宋" w:hAnsi="仿宋" w:eastAsia="仿宋" w:cs="仿宋"/>
                <w:color w:val="auto"/>
                <w:kern w:val="0"/>
                <w:sz w:val="28"/>
                <w:szCs w:val="28"/>
                <w:lang w:eastAsia="zh-CN"/>
              </w:rPr>
              <w:t>，</w:t>
            </w:r>
            <w:r>
              <w:rPr>
                <w:rFonts w:hint="eastAsia" w:ascii="仿宋" w:hAnsi="仿宋" w:eastAsia="仿宋" w:cs="仿宋"/>
                <w:color w:val="auto"/>
                <w:kern w:val="0"/>
                <w:sz w:val="28"/>
                <w:szCs w:val="28"/>
                <w:lang w:val="en-US" w:eastAsia="zh-CN"/>
              </w:rPr>
              <w:t>需要具备</w:t>
            </w:r>
            <w:r>
              <w:rPr>
                <w:rFonts w:hint="eastAsia" w:ascii="仿宋" w:hAnsi="仿宋" w:eastAsia="仿宋" w:cs="仿宋"/>
                <w:color w:val="auto"/>
                <w:kern w:val="0"/>
                <w:sz w:val="28"/>
                <w:szCs w:val="28"/>
              </w:rPr>
              <w:t>咨询工程师（投资）执业证书</w:t>
            </w:r>
            <w:r>
              <w:rPr>
                <w:rFonts w:hint="eastAsia" w:ascii="仿宋" w:hAnsi="仿宋" w:eastAsia="仿宋" w:cs="仿宋"/>
                <w:color w:val="auto"/>
                <w:kern w:val="0"/>
                <w:sz w:val="28"/>
                <w:szCs w:val="28"/>
                <w:lang w:eastAsia="zh-CN"/>
              </w:rPr>
              <w:t>。</w:t>
            </w:r>
          </w:p>
        </w:tc>
      </w:tr>
    </w:tbl>
    <w:p w14:paraId="2A4B3056">
      <w:pPr>
        <w:pStyle w:val="2"/>
        <w:keepNext/>
        <w:keepLines/>
        <w:pageBreakBefore w:val="0"/>
        <w:widowControl w:val="0"/>
        <w:shd w:val="clear"/>
        <w:kinsoku/>
        <w:wordWrap/>
        <w:overflowPunct/>
        <w:topLinePunct w:val="0"/>
        <w:autoSpaceDE/>
        <w:autoSpaceDN/>
        <w:bidi w:val="0"/>
        <w:adjustRightInd/>
        <w:snapToGrid/>
        <w:spacing w:before="0" w:after="0" w:line="540" w:lineRule="exact"/>
        <w:ind w:firstLine="560" w:firstLineChars="200"/>
        <w:textAlignment w:val="auto"/>
        <w:rPr>
          <w:rFonts w:hint="eastAsia" w:ascii="黑体" w:hAnsi="黑体" w:eastAsia="黑体" w:cs="黑体"/>
          <w:b w:val="0"/>
          <w:bCs/>
          <w:color w:val="auto"/>
          <w:sz w:val="28"/>
          <w:szCs w:val="28"/>
          <w:highlight w:val="none"/>
          <w:lang w:val="zh-CN" w:eastAsia="zh-CN"/>
        </w:rPr>
      </w:pPr>
      <w:bookmarkStart w:id="0" w:name="_Toc133369265"/>
      <w:r>
        <w:rPr>
          <w:rFonts w:hint="eastAsia" w:ascii="黑体" w:hAnsi="黑体" w:eastAsia="黑体" w:cs="黑体"/>
          <w:b w:val="0"/>
          <w:bCs/>
          <w:color w:val="auto"/>
          <w:sz w:val="28"/>
          <w:szCs w:val="28"/>
          <w:highlight w:val="none"/>
          <w:lang w:val="zh-CN" w:eastAsia="zh-CN"/>
        </w:rPr>
        <w:t>商务要求</w:t>
      </w:r>
      <w:bookmarkEnd w:id="0"/>
    </w:p>
    <w:p w14:paraId="1A08329E">
      <w:pPr>
        <w:pageBreakBefore w:val="0"/>
        <w:widowControl w:val="0"/>
        <w:shd w:val="clear"/>
        <w:kinsoku/>
        <w:wordWrap/>
        <w:overflowPunct/>
        <w:topLinePunct w:val="0"/>
        <w:autoSpaceDE/>
        <w:autoSpaceDN/>
        <w:bidi w:val="0"/>
        <w:adjustRightInd/>
        <w:spacing w:line="540" w:lineRule="exact"/>
        <w:ind w:firstLine="560" w:firstLineChars="200"/>
        <w:jc w:val="both"/>
        <w:textAlignment w:val="auto"/>
        <w:rPr>
          <w:rFonts w:hint="eastAsia" w:ascii="仿宋" w:hAnsi="仿宋" w:eastAsia="仿宋" w:cs="仿宋"/>
          <w:b w:val="0"/>
          <w:bCs w:val="0"/>
          <w:color w:val="auto"/>
          <w:kern w:val="0"/>
          <w:sz w:val="28"/>
          <w:szCs w:val="28"/>
        </w:rPr>
      </w:pPr>
      <w:bookmarkStart w:id="1" w:name="_Toc1711793034"/>
      <w:bookmarkStart w:id="2" w:name="_Toc48641790"/>
      <w:bookmarkStart w:id="3" w:name="_Toc2101"/>
      <w:bookmarkStart w:id="4" w:name="_Toc8792"/>
      <w:r>
        <w:rPr>
          <w:rFonts w:hint="eastAsia" w:ascii="仿宋" w:hAnsi="仿宋" w:eastAsia="仿宋" w:cs="仿宋"/>
          <w:b w:val="0"/>
          <w:bCs w:val="0"/>
          <w:color w:val="auto"/>
          <w:kern w:val="0"/>
          <w:sz w:val="28"/>
          <w:szCs w:val="28"/>
          <w:lang w:eastAsia="zh-CN"/>
        </w:rPr>
        <w:t>（一）</w:t>
      </w:r>
      <w:r>
        <w:rPr>
          <w:rFonts w:hint="eastAsia" w:ascii="仿宋" w:hAnsi="仿宋" w:eastAsia="仿宋" w:cs="仿宋"/>
          <w:b w:val="0"/>
          <w:bCs w:val="0"/>
          <w:color w:val="auto"/>
          <w:kern w:val="0"/>
          <w:sz w:val="28"/>
          <w:szCs w:val="28"/>
        </w:rPr>
        <w:t>报价要求</w:t>
      </w:r>
      <w:bookmarkEnd w:id="1"/>
      <w:bookmarkEnd w:id="2"/>
      <w:bookmarkEnd w:id="3"/>
      <w:bookmarkEnd w:id="4"/>
    </w:p>
    <w:p w14:paraId="0B4510AE">
      <w:pPr>
        <w:pageBreakBefore w:val="0"/>
        <w:widowControl w:val="0"/>
        <w:shd w:val="clear"/>
        <w:kinsoku/>
        <w:wordWrap/>
        <w:overflowPunct/>
        <w:topLinePunct w:val="0"/>
        <w:autoSpaceDE/>
        <w:autoSpaceDN/>
        <w:bidi w:val="0"/>
        <w:adjustRightInd/>
        <w:spacing w:line="540" w:lineRule="exact"/>
        <w:ind w:firstLine="560" w:firstLineChars="200"/>
        <w:jc w:val="both"/>
        <w:textAlignment w:val="auto"/>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rPr>
        <w:t>本项目经费均实行包干制，</w:t>
      </w:r>
      <w:r>
        <w:rPr>
          <w:rFonts w:hint="eastAsia" w:ascii="仿宋" w:hAnsi="仿宋" w:eastAsia="仿宋" w:cs="仿宋"/>
          <w:b w:val="0"/>
          <w:bCs w:val="0"/>
          <w:color w:val="auto"/>
          <w:kern w:val="0"/>
          <w:sz w:val="28"/>
          <w:szCs w:val="28"/>
          <w:lang w:val="en-US" w:eastAsia="zh-CN"/>
        </w:rPr>
        <w:t>投标人的投标报价为承接具体项目所有工作内容的价格，投标报价超过预算金额的按无效投标处理。</w:t>
      </w:r>
    </w:p>
    <w:p w14:paraId="0780666E">
      <w:pPr>
        <w:pageBreakBefore w:val="0"/>
        <w:widowControl w:val="0"/>
        <w:shd w:val="clear"/>
        <w:kinsoku/>
        <w:wordWrap/>
        <w:overflowPunct/>
        <w:topLinePunct w:val="0"/>
        <w:autoSpaceDE/>
        <w:autoSpaceDN/>
        <w:bidi w:val="0"/>
        <w:adjustRightInd/>
        <w:spacing w:line="540" w:lineRule="exact"/>
        <w:ind w:firstLine="560" w:firstLineChars="200"/>
        <w:jc w:val="both"/>
        <w:textAlignment w:val="auto"/>
        <w:rPr>
          <w:rFonts w:hint="eastAsia" w:ascii="仿宋" w:hAnsi="仿宋" w:eastAsia="仿宋" w:cs="仿宋"/>
          <w:b w:val="0"/>
          <w:bCs w:val="0"/>
          <w:color w:val="auto"/>
          <w:kern w:val="0"/>
          <w:sz w:val="28"/>
          <w:szCs w:val="28"/>
        </w:rPr>
      </w:pPr>
      <w:r>
        <w:rPr>
          <w:rFonts w:hint="eastAsia" w:ascii="仿宋" w:hAnsi="仿宋" w:eastAsia="仿宋" w:cs="仿宋"/>
          <w:b w:val="0"/>
          <w:bCs w:val="0"/>
          <w:color w:val="auto"/>
          <w:kern w:val="0"/>
          <w:sz w:val="28"/>
          <w:szCs w:val="28"/>
          <w:lang w:eastAsia="zh-CN"/>
        </w:rPr>
        <w:t>（二）</w:t>
      </w:r>
      <w:r>
        <w:rPr>
          <w:rFonts w:hint="eastAsia" w:ascii="仿宋" w:hAnsi="仿宋" w:eastAsia="仿宋" w:cs="仿宋"/>
          <w:b w:val="0"/>
          <w:bCs w:val="0"/>
          <w:color w:val="auto"/>
          <w:kern w:val="0"/>
          <w:sz w:val="28"/>
          <w:szCs w:val="28"/>
        </w:rPr>
        <w:t>服务期限</w:t>
      </w:r>
    </w:p>
    <w:p w14:paraId="6EEE985C">
      <w:pPr>
        <w:pStyle w:val="16"/>
        <w:pageBreakBefore w:val="0"/>
        <w:kinsoku/>
        <w:overflowPunct/>
        <w:topLinePunct w:val="0"/>
        <w:autoSpaceDE/>
        <w:autoSpaceDN/>
        <w:bidi w:val="0"/>
        <w:spacing w:line="540" w:lineRule="exact"/>
        <w:ind w:firstLine="560" w:firstLineChars="200"/>
        <w:textAlignment w:val="auto"/>
        <w:outlineLvl w:val="1"/>
        <w:rPr>
          <w:rFonts w:hint="eastAsia" w:ascii="仿宋" w:hAnsi="仿宋" w:eastAsia="仿宋" w:cs="仿宋"/>
          <w:b w:val="0"/>
          <w:bCs w:val="0"/>
          <w:color w:val="auto"/>
          <w:sz w:val="28"/>
          <w:szCs w:val="28"/>
          <w:lang w:eastAsia="zh-CN"/>
        </w:rPr>
      </w:pPr>
      <w:r>
        <w:rPr>
          <w:rFonts w:hint="eastAsia" w:ascii="仿宋" w:hAnsi="仿宋" w:eastAsia="仿宋" w:cs="仿宋"/>
          <w:b w:val="0"/>
          <w:bCs w:val="0"/>
          <w:color w:val="auto"/>
          <w:sz w:val="28"/>
          <w:szCs w:val="28"/>
        </w:rPr>
        <w:t>自签订服务合同之日起至完成评估报告并通过甲方审核</w:t>
      </w:r>
      <w:r>
        <w:rPr>
          <w:rFonts w:hint="eastAsia" w:ascii="仿宋" w:hAnsi="仿宋" w:eastAsia="仿宋" w:cs="仿宋"/>
          <w:b w:val="0"/>
          <w:bCs w:val="0"/>
          <w:color w:val="auto"/>
          <w:sz w:val="28"/>
          <w:szCs w:val="28"/>
          <w:lang w:eastAsia="zh-CN"/>
        </w:rPr>
        <w:t>。</w:t>
      </w:r>
    </w:p>
    <w:p w14:paraId="020A2E37">
      <w:pPr>
        <w:pageBreakBefore w:val="0"/>
        <w:widowControl w:val="0"/>
        <w:shd w:val="clear"/>
        <w:kinsoku/>
        <w:wordWrap/>
        <w:overflowPunct/>
        <w:topLinePunct w:val="0"/>
        <w:autoSpaceDE/>
        <w:autoSpaceDN/>
        <w:bidi w:val="0"/>
        <w:adjustRightInd/>
        <w:spacing w:line="540" w:lineRule="exact"/>
        <w:ind w:firstLine="560" w:firstLineChars="200"/>
        <w:jc w:val="both"/>
        <w:textAlignment w:val="auto"/>
        <w:rPr>
          <w:rFonts w:hint="eastAsia" w:ascii="仿宋" w:hAnsi="仿宋" w:eastAsia="仿宋" w:cs="仿宋"/>
          <w:b w:val="0"/>
          <w:bCs w:val="0"/>
          <w:color w:val="auto"/>
          <w:kern w:val="0"/>
          <w:sz w:val="28"/>
          <w:szCs w:val="28"/>
        </w:rPr>
      </w:pPr>
      <w:r>
        <w:rPr>
          <w:rFonts w:hint="eastAsia" w:ascii="仿宋" w:hAnsi="仿宋" w:eastAsia="仿宋" w:cs="仿宋"/>
          <w:b w:val="0"/>
          <w:bCs w:val="0"/>
          <w:color w:val="auto"/>
          <w:kern w:val="0"/>
          <w:sz w:val="28"/>
          <w:szCs w:val="28"/>
          <w:lang w:eastAsia="zh-CN"/>
        </w:rPr>
        <w:t>（三）</w:t>
      </w:r>
      <w:r>
        <w:rPr>
          <w:rFonts w:hint="eastAsia" w:ascii="仿宋" w:hAnsi="仿宋" w:eastAsia="仿宋" w:cs="仿宋"/>
          <w:b w:val="0"/>
          <w:bCs w:val="0"/>
          <w:color w:val="auto"/>
          <w:kern w:val="0"/>
          <w:sz w:val="28"/>
          <w:szCs w:val="28"/>
          <w:lang w:val="en-US" w:eastAsia="zh-CN"/>
        </w:rPr>
        <w:t>服务</w:t>
      </w:r>
      <w:r>
        <w:rPr>
          <w:rFonts w:hint="eastAsia" w:ascii="仿宋" w:hAnsi="仿宋" w:eastAsia="仿宋" w:cs="仿宋"/>
          <w:b w:val="0"/>
          <w:bCs w:val="0"/>
          <w:color w:val="auto"/>
          <w:kern w:val="0"/>
          <w:sz w:val="28"/>
          <w:szCs w:val="28"/>
        </w:rPr>
        <w:t>地点</w:t>
      </w:r>
    </w:p>
    <w:p w14:paraId="52A1436C">
      <w:pPr>
        <w:pageBreakBefore w:val="0"/>
        <w:kinsoku/>
        <w:overflowPunct/>
        <w:topLinePunct w:val="0"/>
        <w:autoSpaceDE/>
        <w:autoSpaceDN/>
        <w:bidi w:val="0"/>
        <w:spacing w:line="540" w:lineRule="exact"/>
        <w:ind w:firstLine="560" w:firstLineChars="200"/>
        <w:textAlignment w:val="auto"/>
        <w:rPr>
          <w:rFonts w:hint="default"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武汉市教育局</w:t>
      </w:r>
    </w:p>
    <w:p w14:paraId="43824580">
      <w:pPr>
        <w:pageBreakBefore w:val="0"/>
        <w:widowControl w:val="0"/>
        <w:shd w:val="clear"/>
        <w:kinsoku/>
        <w:wordWrap/>
        <w:overflowPunct/>
        <w:topLinePunct w:val="0"/>
        <w:autoSpaceDE/>
        <w:autoSpaceDN/>
        <w:bidi w:val="0"/>
        <w:adjustRightInd/>
        <w:spacing w:line="540" w:lineRule="exact"/>
        <w:ind w:firstLine="560" w:firstLineChars="200"/>
        <w:jc w:val="both"/>
        <w:textAlignment w:val="auto"/>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eastAsia="zh-CN"/>
        </w:rPr>
        <w:t>（四）</w:t>
      </w:r>
      <w:r>
        <w:rPr>
          <w:rFonts w:hint="eastAsia" w:ascii="仿宋" w:hAnsi="仿宋" w:eastAsia="仿宋" w:cs="仿宋"/>
          <w:b w:val="0"/>
          <w:bCs w:val="0"/>
          <w:color w:val="auto"/>
          <w:kern w:val="0"/>
          <w:sz w:val="28"/>
          <w:szCs w:val="28"/>
          <w:lang w:val="en-US" w:eastAsia="zh-CN"/>
        </w:rPr>
        <w:t>项目费用安排原则及程序</w:t>
      </w:r>
    </w:p>
    <w:p w14:paraId="31768AD3">
      <w:pPr>
        <w:pStyle w:val="16"/>
        <w:pageBreakBefore w:val="0"/>
        <w:numPr>
          <w:ilvl w:val="255"/>
          <w:numId w:val="0"/>
        </w:numPr>
        <w:kinsoku/>
        <w:overflowPunct/>
        <w:topLinePunct w:val="0"/>
        <w:autoSpaceDE/>
        <w:autoSpaceDN/>
        <w:bidi w:val="0"/>
        <w:spacing w:line="540" w:lineRule="exact"/>
        <w:ind w:firstLine="560" w:firstLineChars="200"/>
        <w:textAlignment w:val="auto"/>
        <w:rPr>
          <w:rFonts w:hint="default"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本次评估咨询共包含两个项目，供应商每完成一个项目的评估咨询服务可按标准结算。其中武汉教育云平台信息化购买服务评估咨询预算2.11万元，武汉市教育大数据应用体系运营购买服务评估咨询预算1.58万元。供应商应提供两个评估咨询服务价格清单。</w:t>
      </w:r>
    </w:p>
    <w:p w14:paraId="38BB2395">
      <w:pPr>
        <w:pageBreakBefore w:val="0"/>
        <w:numPr>
          <w:numId w:val="0"/>
        </w:numPr>
        <w:kinsoku/>
        <w:overflowPunct/>
        <w:topLinePunct w:val="0"/>
        <w:autoSpaceDE/>
        <w:autoSpaceDN/>
        <w:bidi w:val="0"/>
        <w:snapToGrid w:val="0"/>
        <w:spacing w:before="0" w:after="0" w:line="540" w:lineRule="exact"/>
        <w:ind w:left="420" w:leftChars="0"/>
        <w:textAlignment w:val="auto"/>
        <w:outlineLvl w:val="1"/>
        <w:rPr>
          <w:rFonts w:hint="eastAsia" w:ascii="仿宋" w:hAnsi="仿宋" w:eastAsia="仿宋" w:cs="仿宋"/>
          <w:b w:val="0"/>
          <w:bCs w:val="0"/>
          <w:color w:val="auto"/>
          <w:sz w:val="28"/>
          <w:szCs w:val="28"/>
        </w:rPr>
      </w:pPr>
      <w:r>
        <w:rPr>
          <w:rFonts w:hint="eastAsia" w:ascii="仿宋" w:hAnsi="仿宋" w:eastAsia="仿宋" w:cs="仿宋"/>
          <w:b w:val="0"/>
          <w:bCs w:val="0"/>
          <w:color w:val="auto"/>
          <w:kern w:val="0"/>
          <w:sz w:val="28"/>
          <w:szCs w:val="28"/>
          <w:lang w:eastAsia="zh-CN"/>
        </w:rPr>
        <w:t>（五）</w:t>
      </w:r>
      <w:r>
        <w:rPr>
          <w:rFonts w:hint="eastAsia" w:ascii="仿宋" w:hAnsi="仿宋" w:eastAsia="仿宋" w:cs="仿宋"/>
          <w:b w:val="0"/>
          <w:bCs w:val="0"/>
          <w:color w:val="auto"/>
          <w:kern w:val="0"/>
          <w:sz w:val="28"/>
          <w:szCs w:val="28"/>
          <w:lang w:val="en-US" w:eastAsia="zh-CN"/>
        </w:rPr>
        <w:t>供应商有下列情形之一的，委托方有权终止合同。</w:t>
      </w:r>
      <w:r>
        <w:rPr>
          <w:rFonts w:hint="eastAsia" w:ascii="仿宋" w:hAnsi="仿宋" w:eastAsia="仿宋" w:cs="仿宋"/>
          <w:b w:val="0"/>
          <w:bCs w:val="0"/>
          <w:color w:val="auto"/>
          <w:sz w:val="28"/>
          <w:szCs w:val="28"/>
        </w:rPr>
        <w:t xml:space="preserve"> </w:t>
      </w:r>
    </w:p>
    <w:p w14:paraId="65535B87">
      <w:pPr>
        <w:pStyle w:val="16"/>
        <w:pageBreakBefore w:val="0"/>
        <w:kinsoku/>
        <w:overflowPunct/>
        <w:topLinePunct w:val="0"/>
        <w:autoSpaceDE/>
        <w:autoSpaceDN/>
        <w:bidi w:val="0"/>
        <w:spacing w:line="540" w:lineRule="exact"/>
        <w:ind w:firstLine="560" w:firstLineChars="200"/>
        <w:textAlignment w:val="auto"/>
        <w:outlineLvl w:val="2"/>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1.咨询评估内容有重大失误、质量低劣或弄虚作假； </w:t>
      </w:r>
    </w:p>
    <w:p w14:paraId="5CADD4F7">
      <w:pPr>
        <w:pStyle w:val="16"/>
        <w:pageBreakBefore w:val="0"/>
        <w:kinsoku/>
        <w:overflowPunct/>
        <w:topLinePunct w:val="0"/>
        <w:autoSpaceDE/>
        <w:autoSpaceDN/>
        <w:bidi w:val="0"/>
        <w:spacing w:line="540" w:lineRule="exact"/>
        <w:ind w:firstLine="560" w:firstLineChars="200"/>
        <w:textAlignment w:val="auto"/>
        <w:outlineLvl w:val="2"/>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2.无故拒绝接受委托咨询评估任务或未按时完成委托任务； </w:t>
      </w:r>
    </w:p>
    <w:p w14:paraId="73C45D01">
      <w:pPr>
        <w:pStyle w:val="16"/>
        <w:pageBreakBefore w:val="0"/>
        <w:kinsoku/>
        <w:overflowPunct/>
        <w:topLinePunct w:val="0"/>
        <w:autoSpaceDE/>
        <w:autoSpaceDN/>
        <w:bidi w:val="0"/>
        <w:spacing w:line="540" w:lineRule="exact"/>
        <w:ind w:firstLine="560" w:firstLineChars="200"/>
        <w:textAlignment w:val="auto"/>
        <w:outlineLvl w:val="2"/>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3.未按采购人要求开展评估工作；</w:t>
      </w:r>
    </w:p>
    <w:p w14:paraId="31544784">
      <w:pPr>
        <w:pStyle w:val="16"/>
        <w:pageBreakBefore w:val="0"/>
        <w:kinsoku/>
        <w:overflowPunct/>
        <w:topLinePunct w:val="0"/>
        <w:autoSpaceDE/>
        <w:autoSpaceDN/>
        <w:bidi w:val="0"/>
        <w:spacing w:line="540" w:lineRule="exact"/>
        <w:ind w:firstLine="560" w:firstLineChars="200"/>
        <w:textAlignment w:val="auto"/>
        <w:outlineLvl w:val="2"/>
        <w:rPr>
          <w:rFonts w:hint="eastAsia" w:ascii="仿宋" w:hAnsi="仿宋" w:eastAsia="仿宋" w:cs="仿宋"/>
          <w:color w:val="auto"/>
          <w:sz w:val="28"/>
          <w:szCs w:val="28"/>
          <w:lang w:val="en-US" w:eastAsia="zh-CN"/>
        </w:rPr>
      </w:pPr>
      <w:r>
        <w:rPr>
          <w:rFonts w:hint="eastAsia" w:ascii="仿宋" w:hAnsi="仿宋" w:eastAsia="仿宋" w:cs="仿宋"/>
          <w:b w:val="0"/>
          <w:bCs/>
          <w:color w:val="auto"/>
          <w:sz w:val="28"/>
          <w:szCs w:val="28"/>
        </w:rPr>
        <w:t>4.其他违反法律法规规定的行为。</w:t>
      </w:r>
    </w:p>
    <w:sectPr>
      <w:headerReference r:id="rId3" w:type="default"/>
      <w:footerReference r:id="rId4" w:type="default"/>
      <w:pgSz w:w="11906" w:h="16838"/>
      <w:pgMar w:top="2120" w:right="1800" w:bottom="200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方正小标宋简体">
    <w:panose1 w:val="02000000000000000000"/>
    <w:charset w:val="86"/>
    <w:family w:val="auto"/>
    <w:pitch w:val="default"/>
    <w:sig w:usb0="A00002BF" w:usb1="184F6CFA" w:usb2="00000012" w:usb3="00000000" w:csb0="00040001" w:csb1="00000000"/>
  </w:font>
  <w:font w:name="方正楷体_GBK">
    <w:panose1 w:val="02000000000000000000"/>
    <w:charset w:val="86"/>
    <w:family w:val="auto"/>
    <w:pitch w:val="default"/>
    <w:sig w:usb0="00000001" w:usb1="0800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华文彩云">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CD428">
    <w:pPr>
      <w:pStyle w:val="14"/>
      <w:ind w:left="3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E6963D6">
                          <w:pPr>
                            <w:pStyle w:val="14"/>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4E6963D6">
                    <w:pPr>
                      <w:pStyle w:val="14"/>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v:shape>
          </w:pict>
        </mc:Fallback>
      </mc:AlternateContent>
    </w:r>
  </w:p>
  <w:p w14:paraId="4F670F56">
    <w:pPr>
      <w:pStyle w:val="1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16373">
    <w:pPr>
      <w:pStyle w:val="15"/>
      <w:pBdr>
        <w:bottom w:val="none" w:color="auto" w:sz="0" w:space="1"/>
      </w:pBdr>
      <w:tabs>
        <w:tab w:val="clear" w:pos="4153"/>
      </w:tabs>
      <w:jc w:val="left"/>
      <w:rPr>
        <w:rFonts w:ascii="仿宋" w:hAnsi="仿宋" w:eastAsia="仿宋" w:cs="仿宋"/>
        <w:b/>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5B3F24"/>
    <w:multiLevelType w:val="multilevel"/>
    <w:tmpl w:val="575B3F24"/>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ascii="黑体" w:hAnsi="黑体" w:eastAsia="黑体" w:cs="黑体"/>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4YWQ1ZWRkYTgzZGZjMTkzN2I4OWM2MWNkY2E3ZDgifQ=="/>
  </w:docVars>
  <w:rsids>
    <w:rsidRoot w:val="00000000"/>
    <w:rsid w:val="00F86378"/>
    <w:rsid w:val="015705F9"/>
    <w:rsid w:val="017D48D2"/>
    <w:rsid w:val="03A5079A"/>
    <w:rsid w:val="04DA0918"/>
    <w:rsid w:val="05CF1260"/>
    <w:rsid w:val="05FD5454"/>
    <w:rsid w:val="061614DB"/>
    <w:rsid w:val="08630C76"/>
    <w:rsid w:val="08E91129"/>
    <w:rsid w:val="09547AF8"/>
    <w:rsid w:val="0A2638C7"/>
    <w:rsid w:val="0C61547A"/>
    <w:rsid w:val="0CCE17EE"/>
    <w:rsid w:val="0EBB4288"/>
    <w:rsid w:val="0F096081"/>
    <w:rsid w:val="11C646FD"/>
    <w:rsid w:val="128A6237"/>
    <w:rsid w:val="12CE5D53"/>
    <w:rsid w:val="14856472"/>
    <w:rsid w:val="14B31CD0"/>
    <w:rsid w:val="158F1A82"/>
    <w:rsid w:val="15EF3AF7"/>
    <w:rsid w:val="165026D7"/>
    <w:rsid w:val="174D6D27"/>
    <w:rsid w:val="17FF2CE5"/>
    <w:rsid w:val="18822A00"/>
    <w:rsid w:val="19E00326"/>
    <w:rsid w:val="1ADF413A"/>
    <w:rsid w:val="1D787DBE"/>
    <w:rsid w:val="1E6D7CAF"/>
    <w:rsid w:val="20C62F5F"/>
    <w:rsid w:val="20FC3233"/>
    <w:rsid w:val="219961AD"/>
    <w:rsid w:val="222A0391"/>
    <w:rsid w:val="225E7376"/>
    <w:rsid w:val="238039AA"/>
    <w:rsid w:val="2395779C"/>
    <w:rsid w:val="239F2DFE"/>
    <w:rsid w:val="23EA195E"/>
    <w:rsid w:val="275D0E1D"/>
    <w:rsid w:val="286C58BE"/>
    <w:rsid w:val="290257A9"/>
    <w:rsid w:val="2911226F"/>
    <w:rsid w:val="29683605"/>
    <w:rsid w:val="2C167BD8"/>
    <w:rsid w:val="2CAC418E"/>
    <w:rsid w:val="2CB36040"/>
    <w:rsid w:val="2CD31625"/>
    <w:rsid w:val="2D10717E"/>
    <w:rsid w:val="2F286D2B"/>
    <w:rsid w:val="2F2B74F6"/>
    <w:rsid w:val="2F803CE6"/>
    <w:rsid w:val="2FA46D9F"/>
    <w:rsid w:val="2FB13E9F"/>
    <w:rsid w:val="31A76518"/>
    <w:rsid w:val="31AE5F62"/>
    <w:rsid w:val="31DB753E"/>
    <w:rsid w:val="325F4087"/>
    <w:rsid w:val="327D62BB"/>
    <w:rsid w:val="33AD497E"/>
    <w:rsid w:val="34425A0E"/>
    <w:rsid w:val="36397704"/>
    <w:rsid w:val="36872565"/>
    <w:rsid w:val="37C4673A"/>
    <w:rsid w:val="392456E2"/>
    <w:rsid w:val="39352928"/>
    <w:rsid w:val="3940537B"/>
    <w:rsid w:val="3A2E16F4"/>
    <w:rsid w:val="3A5D6844"/>
    <w:rsid w:val="3B2C2DC4"/>
    <w:rsid w:val="3B646B74"/>
    <w:rsid w:val="3C0A11D2"/>
    <w:rsid w:val="3C7F1883"/>
    <w:rsid w:val="3D75A576"/>
    <w:rsid w:val="3E2148E6"/>
    <w:rsid w:val="3E2A1E58"/>
    <w:rsid w:val="3F6BDC8A"/>
    <w:rsid w:val="40B732E0"/>
    <w:rsid w:val="41C34504"/>
    <w:rsid w:val="42D77C69"/>
    <w:rsid w:val="43AE4775"/>
    <w:rsid w:val="43D969CA"/>
    <w:rsid w:val="44B02520"/>
    <w:rsid w:val="45835E86"/>
    <w:rsid w:val="46584C1D"/>
    <w:rsid w:val="468C3C26"/>
    <w:rsid w:val="48775B70"/>
    <w:rsid w:val="498E3E46"/>
    <w:rsid w:val="4A851D59"/>
    <w:rsid w:val="4BBA0128"/>
    <w:rsid w:val="4CE8279A"/>
    <w:rsid w:val="4D227D33"/>
    <w:rsid w:val="4DAB1AD6"/>
    <w:rsid w:val="4DAD3AA0"/>
    <w:rsid w:val="4FE237A9"/>
    <w:rsid w:val="4FFB4A07"/>
    <w:rsid w:val="50131BB5"/>
    <w:rsid w:val="5029521E"/>
    <w:rsid w:val="5304402B"/>
    <w:rsid w:val="531A785F"/>
    <w:rsid w:val="54FE2E33"/>
    <w:rsid w:val="55C6021F"/>
    <w:rsid w:val="56FF50AE"/>
    <w:rsid w:val="57CA44D7"/>
    <w:rsid w:val="585F008D"/>
    <w:rsid w:val="59741916"/>
    <w:rsid w:val="59B31EF7"/>
    <w:rsid w:val="59FE5393"/>
    <w:rsid w:val="5A3A10D3"/>
    <w:rsid w:val="5C682092"/>
    <w:rsid w:val="5D610403"/>
    <w:rsid w:val="5DAD530E"/>
    <w:rsid w:val="60103727"/>
    <w:rsid w:val="61331DF4"/>
    <w:rsid w:val="613A0D91"/>
    <w:rsid w:val="62276D56"/>
    <w:rsid w:val="628023B1"/>
    <w:rsid w:val="62C35015"/>
    <w:rsid w:val="635527B8"/>
    <w:rsid w:val="64FE1F12"/>
    <w:rsid w:val="65412871"/>
    <w:rsid w:val="67A27F96"/>
    <w:rsid w:val="67D673B8"/>
    <w:rsid w:val="69790883"/>
    <w:rsid w:val="6A466703"/>
    <w:rsid w:val="6B657A8E"/>
    <w:rsid w:val="6C0C3C30"/>
    <w:rsid w:val="6C950AE3"/>
    <w:rsid w:val="6CDC1854"/>
    <w:rsid w:val="6E01724F"/>
    <w:rsid w:val="6F887A72"/>
    <w:rsid w:val="6F8D36E9"/>
    <w:rsid w:val="702747B0"/>
    <w:rsid w:val="705D2CAC"/>
    <w:rsid w:val="71560D31"/>
    <w:rsid w:val="744F6DB0"/>
    <w:rsid w:val="75F714AD"/>
    <w:rsid w:val="765608C9"/>
    <w:rsid w:val="768A08C8"/>
    <w:rsid w:val="76C45A36"/>
    <w:rsid w:val="784400DC"/>
    <w:rsid w:val="78BD078C"/>
    <w:rsid w:val="792F4BE1"/>
    <w:rsid w:val="7A38281E"/>
    <w:rsid w:val="7A8E7F30"/>
    <w:rsid w:val="7BCB7A29"/>
    <w:rsid w:val="7D2D5568"/>
    <w:rsid w:val="7E1D2AA6"/>
    <w:rsid w:val="7F34107C"/>
    <w:rsid w:val="7FF64583"/>
    <w:rsid w:val="7FFB7C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outlineLvl w:val="0"/>
    </w:pPr>
    <w:rPr>
      <w:rFonts w:eastAsia="黑体" w:asciiTheme="minorAscii" w:hAnsiTheme="minorAscii"/>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11">
    <w:name w:val="Normal Indent"/>
    <w:basedOn w:val="1"/>
    <w:qFormat/>
    <w:uiPriority w:val="99"/>
    <w:pPr>
      <w:ind w:firstLine="420"/>
    </w:pPr>
    <w:rPr>
      <w:sz w:val="21"/>
      <w:szCs w:val="20"/>
    </w:rPr>
  </w:style>
  <w:style w:type="paragraph" w:styleId="12">
    <w:name w:val="annotation text"/>
    <w:basedOn w:val="1"/>
    <w:qFormat/>
    <w:uiPriority w:val="0"/>
    <w:pPr>
      <w:jc w:val="left"/>
    </w:pPr>
  </w:style>
  <w:style w:type="paragraph" w:styleId="13">
    <w:name w:val="Body Text"/>
    <w:basedOn w:val="1"/>
    <w:next w:val="1"/>
    <w:qFormat/>
    <w:uiPriority w:val="0"/>
    <w:pPr>
      <w:spacing w:after="120"/>
    </w:p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header"/>
    <w:basedOn w:val="1"/>
    <w:next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widowControl/>
      <w:spacing w:line="440" w:lineRule="exact"/>
      <w:jc w:val="left"/>
    </w:pPr>
    <w:rPr>
      <w:rFonts w:eastAsia="黑体"/>
      <w:b/>
      <w:kern w:val="0"/>
      <w:sz w:val="28"/>
    </w:rPr>
  </w:style>
  <w:style w:type="paragraph" w:styleId="17">
    <w:name w:val="Body Text Indent 3"/>
    <w:basedOn w:val="1"/>
    <w:qFormat/>
    <w:uiPriority w:val="0"/>
    <w:pPr>
      <w:ind w:left="899" w:leftChars="428" w:firstLine="458" w:firstLineChars="218"/>
    </w:pPr>
  </w:style>
  <w:style w:type="paragraph" w:styleId="18">
    <w:name w:val="Body Text First Indent"/>
    <w:basedOn w:val="13"/>
    <w:qFormat/>
    <w:uiPriority w:val="99"/>
    <w:pPr>
      <w:ind w:firstLine="420" w:firstLineChars="100"/>
    </w:pPr>
  </w:style>
  <w:style w:type="paragraph" w:styleId="21">
    <w:name w:val="List Paragraph"/>
    <w:basedOn w:val="1"/>
    <w:qFormat/>
    <w:uiPriority w:val="1"/>
    <w:pPr>
      <w:ind w:left="1407" w:hanging="368"/>
    </w:pPr>
    <w:rPr>
      <w:rFonts w:ascii="仿宋" w:hAnsi="仿宋" w:eastAsia="仿宋" w:cs="仿宋"/>
      <w:lang w:val="zh-CN" w:bidi="zh-CN"/>
    </w:rPr>
  </w:style>
  <w:style w:type="character" w:customStyle="1" w:styleId="22">
    <w:name w:val="font11"/>
    <w:basedOn w:val="20"/>
    <w:qFormat/>
    <w:uiPriority w:val="0"/>
    <w:rPr>
      <w:rFonts w:hint="eastAsia" w:ascii="宋体" w:hAnsi="宋体" w:eastAsia="宋体" w:cs="宋体"/>
      <w:color w:val="000000"/>
      <w:sz w:val="24"/>
      <w:szCs w:val="24"/>
      <w:u w:val="none"/>
    </w:rPr>
  </w:style>
  <w:style w:type="character" w:customStyle="1" w:styleId="23">
    <w:name w:val="font51"/>
    <w:basedOn w:val="20"/>
    <w:qFormat/>
    <w:uiPriority w:val="0"/>
    <w:rPr>
      <w:rFonts w:ascii="Calibri" w:hAnsi="Calibri" w:cs="Calibri"/>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2770</Words>
  <Characters>2815</Characters>
  <Lines>0</Lines>
  <Paragraphs>0</Paragraphs>
  <TotalTime>11</TotalTime>
  <ScaleCrop>false</ScaleCrop>
  <LinksUpToDate>false</LinksUpToDate>
  <CharactersWithSpaces>2825</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2023-08-29T16:20:00Z</dcterms:created>
  <dc:creator>鲍辉</dc:creator>
  <cp:lastModifiedBy>shl</cp:lastModifiedBy>
  <cp:lastPrinted>2023-09-01T00:26:00Z</cp:lastPrinted>
  <dcterms:modified xsi:type="dcterms:W3CDTF">2025-11-14T12:43:30Z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E4A704A68B4E43B1A7CA816439852A2A_13</vt:lpwstr>
  </property>
  <property fmtid="{D5CDD505-2E9C-101B-9397-08002B2CF9AE}" pid="4" name="KSOTemplateDocerSaveRecord">
    <vt:lpwstr>eyJoZGlkIjoiMzEwNTM5NzYwMDRjMzkwZTVkZjY2ODkwMGIxNGU0OTUiLCJ1c2VySWQiOiIyOTg3MTkzNjgifQ==</vt:lpwstr>
  </property>
</Properties>
</file>