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adjustRightInd w:val="0"/>
        <w:snapToGrid w:val="0"/>
        <w:spacing w:line="360" w:lineRule="auto"/>
        <w:jc w:val="center"/>
        <w:rPr>
          <w:rFonts w:hint="default" w:eastAsiaTheme="minorEastAsia"/>
          <w:lang w:val="en-US" w:eastAsia="zh-CN"/>
        </w:rPr>
      </w:pPr>
      <w:r>
        <w:rPr>
          <w:rFonts w:hint="eastAsia" w:asciiTheme="minorEastAsia" w:hAnsiTheme="minorEastAsia" w:eastAsiaTheme="minorEastAsia" w:cstheme="minorEastAsia"/>
          <w:b/>
          <w:bCs/>
          <w:color w:val="auto"/>
          <w:sz w:val="28"/>
          <w:szCs w:val="28"/>
        </w:rPr>
        <w:t>202</w:t>
      </w:r>
      <w:r>
        <w:rPr>
          <w:rFonts w:hint="eastAsia" w:asciiTheme="minorEastAsia" w:hAnsiTheme="minorEastAsia" w:eastAsiaTheme="minorEastAsia" w:cstheme="minorEastAsia"/>
          <w:b/>
          <w:bCs/>
          <w:color w:val="auto"/>
          <w:sz w:val="28"/>
          <w:szCs w:val="28"/>
          <w:lang w:val="en-US" w:eastAsia="zh-CN"/>
        </w:rPr>
        <w:t>6</w:t>
      </w:r>
      <w:r>
        <w:rPr>
          <w:rFonts w:hint="eastAsia" w:asciiTheme="minorEastAsia" w:hAnsiTheme="minorEastAsia" w:eastAsiaTheme="minorEastAsia" w:cstheme="minorEastAsia"/>
          <w:b/>
          <w:bCs/>
          <w:color w:val="auto"/>
          <w:sz w:val="28"/>
          <w:szCs w:val="28"/>
        </w:rPr>
        <w:t>-202</w:t>
      </w:r>
      <w:r>
        <w:rPr>
          <w:rFonts w:hint="eastAsia" w:asciiTheme="minorEastAsia" w:hAnsiTheme="minorEastAsia" w:eastAsiaTheme="minorEastAsia" w:cstheme="minorEastAsia"/>
          <w:b/>
          <w:bCs/>
          <w:color w:val="auto"/>
          <w:sz w:val="28"/>
          <w:szCs w:val="28"/>
          <w:lang w:val="en-US" w:eastAsia="zh-CN"/>
        </w:rPr>
        <w:t>7</w:t>
      </w:r>
      <w:bookmarkStart w:id="0" w:name="_GoBack"/>
      <w:bookmarkEnd w:id="0"/>
      <w:r>
        <w:rPr>
          <w:rFonts w:hint="eastAsia" w:asciiTheme="minorEastAsia" w:hAnsiTheme="minorEastAsia" w:eastAsiaTheme="minorEastAsia" w:cstheme="minorEastAsia"/>
          <w:b/>
          <w:bCs/>
          <w:color w:val="auto"/>
          <w:sz w:val="28"/>
          <w:szCs w:val="28"/>
        </w:rPr>
        <w:t>年IT运维服务项目</w:t>
      </w:r>
      <w:r>
        <w:rPr>
          <w:rFonts w:hint="eastAsia" w:asciiTheme="minorEastAsia" w:hAnsiTheme="minorEastAsia" w:eastAsiaTheme="minorEastAsia" w:cstheme="minorEastAsia"/>
          <w:b/>
          <w:bCs/>
          <w:color w:val="auto"/>
          <w:sz w:val="28"/>
          <w:szCs w:val="28"/>
          <w:lang w:val="en-US" w:eastAsia="zh-CN"/>
        </w:rPr>
        <w:t>采购需求</w:t>
      </w:r>
    </w:p>
    <w:p>
      <w:pPr>
        <w:pStyle w:val="2"/>
        <w:adjustRightInd w:val="0"/>
        <w:snapToGrid w:val="0"/>
        <w:spacing w:line="360" w:lineRule="auto"/>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val="en-US" w:eastAsia="zh-CN"/>
        </w:rPr>
        <w:t>一</w:t>
      </w:r>
      <w:r>
        <w:rPr>
          <w:rFonts w:hint="eastAsia" w:asciiTheme="minorEastAsia" w:hAnsiTheme="minorEastAsia" w:eastAsiaTheme="minorEastAsia" w:cstheme="minorEastAsia"/>
          <w:b/>
          <w:bCs/>
          <w:color w:val="auto"/>
          <w:sz w:val="21"/>
          <w:szCs w:val="21"/>
        </w:rPr>
        <w:t>、服务内容和标准</w:t>
      </w:r>
    </w:p>
    <w:p>
      <w:pPr>
        <w:adjustRightInd w:val="0"/>
        <w:snapToGrid w:val="0"/>
        <w:spacing w:line="360" w:lineRule="auto"/>
        <w:ind w:firstLine="421" w:firstLineChars="200"/>
        <w:rPr>
          <w:rFonts w:asciiTheme="minorEastAsia" w:hAnsiTheme="minorEastAsia" w:cstheme="minorEastAsia"/>
          <w:color w:val="000000"/>
          <w:sz w:val="21"/>
          <w:szCs w:val="21"/>
        </w:rPr>
      </w:pPr>
      <w:r>
        <w:rPr>
          <w:rFonts w:hint="eastAsia" w:asciiTheme="minorEastAsia" w:hAnsiTheme="minorEastAsia" w:cstheme="minorEastAsia"/>
          <w:b/>
          <w:bCs/>
          <w:color w:val="000000"/>
          <w:sz w:val="21"/>
          <w:szCs w:val="21"/>
        </w:rPr>
        <w:t>服务</w:t>
      </w:r>
      <w:r>
        <w:rPr>
          <w:rFonts w:hint="eastAsia" w:asciiTheme="minorEastAsia" w:hAnsiTheme="minorEastAsia" w:cstheme="minorEastAsia"/>
          <w:color w:val="000000"/>
          <w:sz w:val="21"/>
          <w:szCs w:val="21"/>
        </w:rPr>
        <w:t>主要内容包括</w:t>
      </w:r>
      <w:r>
        <w:rPr>
          <w:rFonts w:hint="eastAsia" w:asciiTheme="minorEastAsia" w:hAnsiTheme="minorEastAsia" w:cstheme="minorEastAsia"/>
          <w:b/>
          <w:bCs/>
          <w:color w:val="000000"/>
          <w:sz w:val="21"/>
          <w:szCs w:val="21"/>
        </w:rPr>
        <w:t>但不限于</w:t>
      </w:r>
      <w:r>
        <w:rPr>
          <w:rFonts w:hint="eastAsia" w:asciiTheme="minorEastAsia" w:hAnsiTheme="minorEastAsia" w:cstheme="minorEastAsia"/>
          <w:color w:val="000000"/>
          <w:sz w:val="21"/>
          <w:szCs w:val="21"/>
        </w:rPr>
        <w:t>：市招考办机房运维管理、常规巡检维护、设备维修服务；信息系统安全监测服务；运行在超融合架构上所有招考业务系统的运行维护及升级管理相关工作；其他信息技术处指定工作。</w:t>
      </w:r>
    </w:p>
    <w:p>
      <w:pPr>
        <w:pStyle w:val="3"/>
        <w:adjustRightInd w:val="0"/>
        <w:snapToGrid w:val="0"/>
        <w:spacing w:line="360" w:lineRule="auto"/>
        <w:ind w:firstLine="240" w:firstLineChars="100"/>
        <w:jc w:val="left"/>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1.1机房基础设施及网络信息系统运维服务</w:t>
      </w:r>
    </w:p>
    <w:p>
      <w:pPr>
        <w:pStyle w:val="4"/>
        <w:adjustRightInd w:val="0"/>
        <w:snapToGrid w:val="0"/>
        <w:spacing w:line="360" w:lineRule="auto"/>
        <w:ind w:firstLine="420" w:firstLineChars="200"/>
        <w:jc w:val="lef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1.1.1服务内容</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（1）乙方定期开展机房环境巡检，并按周、月、季、年向甲方提交系统及设备运行巡检报告。 </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2）乙方应结合机房安全和超融合系统，配套专业的巡检工具，每周提供机房内网络安全设备及超融合一体化设施等硬软件系统的全面巡检服务，巡检完毕后，按照系统类别对所有设备和软件系统向甲方提交详细的《巡检报告》，具体巡检文件由服务单位结合实际情况完成规范设计，并履行有效管理。</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（3）应急处置：乙方制定切实可行的应急处置方案并与甲方在设施设备供应商或厂商建立有效的沟通协调机制，并制定应急响应技术支持方案，出现问题及时响应解决。</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4）安全应急演练服务：乙方在保障机房互联网应用的使用不受影响的前提下，搭建模拟环境，充分利用甲方现有资源，提供一年不少于一次的安全应急演练服务，演练场景为宕机、消防演练场景，出具应急演练服务报告，应包括事件发现、故障和漏洞识别、人员组织、问题处理、流程上报机制、工作总结和预防纠正措施等。</w:t>
      </w:r>
    </w:p>
    <w:p>
      <w:pPr>
        <w:pStyle w:val="7"/>
        <w:adjustRightInd w:val="0"/>
        <w:snapToGrid w:val="0"/>
        <w:spacing w:line="360" w:lineRule="auto"/>
        <w:ind w:firstLine="627"/>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caps/>
          <w:kern w:val="0"/>
          <w:sz w:val="21"/>
          <w:szCs w:val="21"/>
        </w:rPr>
        <w:t>（5）</w:t>
      </w:r>
      <w:r>
        <w:rPr>
          <w:rFonts w:hint="eastAsia" w:asciiTheme="minorEastAsia" w:hAnsiTheme="minorEastAsia" w:eastAsiaTheme="minorEastAsia" w:cstheme="minorEastAsia"/>
          <w:kern w:val="0"/>
          <w:sz w:val="21"/>
          <w:szCs w:val="21"/>
        </w:rPr>
        <w:t>完成甲方交办的其他任务。</w:t>
      </w:r>
    </w:p>
    <w:p>
      <w:pPr>
        <w:pStyle w:val="4"/>
        <w:adjustRightInd w:val="0"/>
        <w:snapToGrid w:val="0"/>
        <w:spacing w:line="360" w:lineRule="auto"/>
        <w:ind w:firstLine="420" w:firstLineChars="200"/>
        <w:jc w:val="lef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1.1.2服务响应时间</w:t>
      </w:r>
    </w:p>
    <w:p>
      <w:pPr>
        <w:adjustRightInd w:val="0"/>
        <w:snapToGrid w:val="0"/>
        <w:spacing w:line="360" w:lineRule="auto"/>
        <w:ind w:firstLine="420" w:firstLineChars="200"/>
        <w:rPr>
          <w:rFonts w:asciiTheme="minorEastAsia" w:hAnsiTheme="minorEastAsia" w:cstheme="minorEastAsia"/>
          <w:color w:val="000000"/>
          <w:sz w:val="21"/>
          <w:szCs w:val="21"/>
          <w:lang w:val="zh-CN"/>
        </w:rPr>
      </w:pPr>
      <w:r>
        <w:rPr>
          <w:rFonts w:hint="eastAsia" w:asciiTheme="minorEastAsia" w:hAnsiTheme="minorEastAsia" w:cstheme="minorEastAsia"/>
          <w:color w:val="000000"/>
          <w:sz w:val="21"/>
          <w:szCs w:val="21"/>
          <w:lang w:val="zh-CN"/>
        </w:rPr>
        <w:t>（1）重大故障事件：甲方现有设施故障导致机房网络或系统大面积关停，严重影响平台服务的情况。对于重大故障事件，乙方驻场人员应在故障发生后的</w:t>
      </w:r>
      <w:r>
        <w:rPr>
          <w:rFonts w:hint="eastAsia" w:asciiTheme="minorEastAsia" w:hAnsiTheme="minorEastAsia" w:cstheme="minorEastAsia"/>
          <w:color w:val="000000"/>
          <w:sz w:val="21"/>
          <w:szCs w:val="21"/>
          <w:u w:val="single"/>
          <w:lang w:val="zh-CN"/>
        </w:rPr>
        <w:t xml:space="preserve"> 15 </w:t>
      </w:r>
      <w:r>
        <w:rPr>
          <w:rFonts w:hint="eastAsia" w:asciiTheme="minorEastAsia" w:hAnsiTheme="minorEastAsia" w:cstheme="minorEastAsia"/>
          <w:color w:val="000000"/>
          <w:sz w:val="21"/>
          <w:szCs w:val="21"/>
          <w:lang w:val="zh-CN"/>
        </w:rPr>
        <w:t>分钟内向采购人报告，并通知相关技术人员立即赶赴事故现场响应，原则上</w:t>
      </w:r>
      <w:r>
        <w:rPr>
          <w:rFonts w:hint="eastAsia" w:asciiTheme="minorEastAsia" w:hAnsiTheme="minorEastAsia" w:cstheme="minorEastAsia"/>
          <w:color w:val="000000"/>
          <w:sz w:val="21"/>
          <w:szCs w:val="21"/>
          <w:u w:val="single"/>
          <w:lang w:val="zh-CN"/>
        </w:rPr>
        <w:t xml:space="preserve"> 1 </w:t>
      </w:r>
      <w:r>
        <w:rPr>
          <w:rFonts w:hint="eastAsia" w:asciiTheme="minorEastAsia" w:hAnsiTheme="minorEastAsia" w:cstheme="minorEastAsia"/>
          <w:color w:val="000000"/>
          <w:sz w:val="21"/>
          <w:szCs w:val="21"/>
          <w:lang w:val="zh-CN"/>
        </w:rPr>
        <w:t>小时内定位故障，</w:t>
      </w:r>
      <w:r>
        <w:rPr>
          <w:rFonts w:hint="eastAsia" w:asciiTheme="minorEastAsia" w:hAnsiTheme="minorEastAsia" w:cstheme="minorEastAsia"/>
          <w:color w:val="000000"/>
          <w:sz w:val="21"/>
          <w:szCs w:val="21"/>
          <w:u w:val="single"/>
          <w:lang w:val="zh-CN"/>
        </w:rPr>
        <w:t xml:space="preserve"> 4 </w:t>
      </w:r>
      <w:r>
        <w:rPr>
          <w:rFonts w:hint="eastAsia" w:asciiTheme="minorEastAsia" w:hAnsiTheme="minorEastAsia" w:cstheme="minorEastAsia"/>
          <w:color w:val="000000"/>
          <w:sz w:val="21"/>
          <w:szCs w:val="21"/>
          <w:lang w:val="zh-CN"/>
        </w:rPr>
        <w:t>小时内排除故障；</w:t>
      </w:r>
    </w:p>
    <w:p>
      <w:pPr>
        <w:adjustRightInd w:val="0"/>
        <w:snapToGrid w:val="0"/>
        <w:spacing w:line="360" w:lineRule="auto"/>
        <w:ind w:firstLine="420" w:firstLineChars="200"/>
        <w:rPr>
          <w:rFonts w:asciiTheme="minorEastAsia" w:hAnsiTheme="minorEastAsia" w:cstheme="minorEastAsia"/>
          <w:color w:val="000000"/>
          <w:sz w:val="21"/>
          <w:szCs w:val="21"/>
          <w:lang w:val="zh-CN"/>
        </w:rPr>
      </w:pPr>
      <w:r>
        <w:rPr>
          <w:rFonts w:hint="eastAsia" w:asciiTheme="minorEastAsia" w:hAnsiTheme="minorEastAsia" w:cstheme="minorEastAsia"/>
          <w:color w:val="000000"/>
          <w:sz w:val="21"/>
          <w:szCs w:val="21"/>
          <w:lang w:val="zh-CN"/>
        </w:rPr>
        <w:t>（2）紧急故障事件指甲方设施故障导致机房网络或系统部分关停，影响平台服务情况。对于紧急故障，乙方驻场人员应在故障发生后的</w:t>
      </w:r>
      <w:r>
        <w:rPr>
          <w:rFonts w:hint="eastAsia" w:asciiTheme="minorEastAsia" w:hAnsiTheme="minorEastAsia" w:cstheme="minorEastAsia"/>
          <w:color w:val="000000"/>
          <w:sz w:val="21"/>
          <w:szCs w:val="21"/>
          <w:u w:val="single"/>
          <w:lang w:val="zh-CN"/>
        </w:rPr>
        <w:t xml:space="preserve"> 30 </w:t>
      </w:r>
      <w:r>
        <w:rPr>
          <w:rFonts w:hint="eastAsia" w:asciiTheme="minorEastAsia" w:hAnsiTheme="minorEastAsia" w:cstheme="minorEastAsia"/>
          <w:color w:val="000000"/>
          <w:sz w:val="21"/>
          <w:szCs w:val="21"/>
          <w:lang w:val="zh-CN"/>
        </w:rPr>
        <w:t>分钟内向采购人报告，并立即响应，原则上</w:t>
      </w:r>
      <w:r>
        <w:rPr>
          <w:rFonts w:hint="eastAsia" w:asciiTheme="minorEastAsia" w:hAnsiTheme="minorEastAsia" w:cstheme="minorEastAsia"/>
          <w:color w:val="000000"/>
          <w:sz w:val="21"/>
          <w:szCs w:val="21"/>
          <w:u w:val="single"/>
          <w:lang w:val="zh-CN"/>
        </w:rPr>
        <w:t xml:space="preserve"> 2 </w:t>
      </w:r>
      <w:r>
        <w:rPr>
          <w:rFonts w:hint="eastAsia" w:asciiTheme="minorEastAsia" w:hAnsiTheme="minorEastAsia" w:cstheme="minorEastAsia"/>
          <w:color w:val="000000"/>
          <w:sz w:val="21"/>
          <w:szCs w:val="21"/>
          <w:lang w:val="zh-CN"/>
        </w:rPr>
        <w:t>小时内定位故障，</w:t>
      </w:r>
      <w:r>
        <w:rPr>
          <w:rFonts w:hint="eastAsia" w:asciiTheme="minorEastAsia" w:hAnsiTheme="minorEastAsia" w:cstheme="minorEastAsia"/>
          <w:color w:val="000000"/>
          <w:sz w:val="21"/>
          <w:szCs w:val="21"/>
          <w:u w:val="single"/>
          <w:lang w:val="zh-CN"/>
        </w:rPr>
        <w:t xml:space="preserve"> 8 </w:t>
      </w:r>
      <w:r>
        <w:rPr>
          <w:rFonts w:hint="eastAsia" w:asciiTheme="minorEastAsia" w:hAnsiTheme="minorEastAsia" w:cstheme="minorEastAsia"/>
          <w:color w:val="000000"/>
          <w:sz w:val="21"/>
          <w:szCs w:val="21"/>
          <w:lang w:val="zh-CN"/>
        </w:rPr>
        <w:t>小时内排除故障。乙方需按照采购人要求，视具体情况合理通知相关支持人员至现场进行处理；</w:t>
      </w:r>
    </w:p>
    <w:p>
      <w:pPr>
        <w:adjustRightInd w:val="0"/>
        <w:snapToGrid w:val="0"/>
        <w:spacing w:line="360" w:lineRule="auto"/>
        <w:ind w:firstLine="420" w:firstLineChars="200"/>
        <w:rPr>
          <w:rFonts w:asciiTheme="minorEastAsia" w:hAnsiTheme="minorEastAsia" w:cstheme="minorEastAsia"/>
          <w:color w:val="000000"/>
          <w:sz w:val="21"/>
          <w:szCs w:val="21"/>
          <w:lang w:val="zh-CN"/>
        </w:rPr>
      </w:pPr>
      <w:r>
        <w:rPr>
          <w:rFonts w:hint="eastAsia" w:asciiTheme="minorEastAsia" w:hAnsiTheme="minorEastAsia" w:cstheme="minorEastAsia"/>
          <w:color w:val="000000"/>
          <w:sz w:val="21"/>
          <w:szCs w:val="21"/>
          <w:lang w:val="zh-CN"/>
        </w:rPr>
        <w:t>（3）甲方一般故障事件指除重大故障和紧急故障之外的其他故障。对于一般故障，乙方一线驻场人员应在故障发生后的</w:t>
      </w:r>
      <w:r>
        <w:rPr>
          <w:rFonts w:hint="eastAsia" w:asciiTheme="minorEastAsia" w:hAnsiTheme="minorEastAsia" w:cstheme="minorEastAsia"/>
          <w:color w:val="000000"/>
          <w:sz w:val="21"/>
          <w:szCs w:val="21"/>
          <w:u w:val="single"/>
          <w:lang w:val="zh-CN"/>
        </w:rPr>
        <w:t xml:space="preserve"> 30 </w:t>
      </w:r>
      <w:r>
        <w:rPr>
          <w:rFonts w:hint="eastAsia" w:asciiTheme="minorEastAsia" w:hAnsiTheme="minorEastAsia" w:cstheme="minorEastAsia"/>
          <w:color w:val="000000"/>
          <w:sz w:val="21"/>
          <w:szCs w:val="21"/>
          <w:lang w:val="zh-CN"/>
        </w:rPr>
        <w:t>分钟内向采购人报告，并立即响应，原则上</w:t>
      </w:r>
      <w:r>
        <w:rPr>
          <w:rFonts w:hint="eastAsia" w:asciiTheme="minorEastAsia" w:hAnsiTheme="minorEastAsia" w:cstheme="minorEastAsia"/>
          <w:color w:val="000000"/>
          <w:sz w:val="21"/>
          <w:szCs w:val="21"/>
          <w:u w:val="single"/>
          <w:lang w:val="zh-CN"/>
        </w:rPr>
        <w:t xml:space="preserve"> 4 </w:t>
      </w:r>
      <w:r>
        <w:rPr>
          <w:rFonts w:hint="eastAsia" w:asciiTheme="minorEastAsia" w:hAnsiTheme="minorEastAsia" w:cstheme="minorEastAsia"/>
          <w:color w:val="000000"/>
          <w:sz w:val="21"/>
          <w:szCs w:val="21"/>
          <w:lang w:val="zh-CN"/>
        </w:rPr>
        <w:t>小时内定位故障，</w:t>
      </w:r>
      <w:r>
        <w:rPr>
          <w:rFonts w:hint="eastAsia" w:asciiTheme="minorEastAsia" w:hAnsiTheme="minorEastAsia" w:cstheme="minorEastAsia"/>
          <w:color w:val="000000"/>
          <w:sz w:val="21"/>
          <w:szCs w:val="21"/>
          <w:u w:val="single"/>
          <w:lang w:val="zh-CN"/>
        </w:rPr>
        <w:t xml:space="preserve"> 24 </w:t>
      </w:r>
      <w:r>
        <w:rPr>
          <w:rFonts w:hint="eastAsia" w:asciiTheme="minorEastAsia" w:hAnsiTheme="minorEastAsia" w:cstheme="minorEastAsia"/>
          <w:color w:val="000000"/>
          <w:sz w:val="21"/>
          <w:szCs w:val="21"/>
          <w:lang w:val="zh-CN"/>
        </w:rPr>
        <w:t>小时内排除故障。乙方需按照采购人要求，视具体情况合理通知相关支持人员至现场进行处理。</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lang w:val="zh-CN"/>
        </w:rPr>
        <w:t>（4）在重大故障事件和紧急故障事件应急处理过程第三档，乙方要及时考虑替代恢复方案，</w:t>
      </w:r>
      <w:r>
        <w:rPr>
          <w:rFonts w:hint="eastAsia" w:asciiTheme="minorEastAsia" w:hAnsiTheme="minorEastAsia" w:cstheme="minorEastAsia"/>
          <w:color w:val="000000"/>
          <w:sz w:val="21"/>
          <w:szCs w:val="21"/>
        </w:rPr>
        <w:t>尽可能在最短的时间内恢复业务系统。在重大和紧急故障事件判断第三档，乙方服务人员在监控中发现问题，一方面应迅速将问题向</w:t>
      </w:r>
      <w:r>
        <w:rPr>
          <w:rFonts w:hint="eastAsia" w:asciiTheme="minorEastAsia" w:hAnsiTheme="minorEastAsia" w:cstheme="minorEastAsia"/>
          <w:color w:val="000000"/>
          <w:sz w:val="21"/>
          <w:szCs w:val="21"/>
          <w:lang w:val="zh-CN"/>
        </w:rPr>
        <w:t>采购人</w:t>
      </w:r>
      <w:r>
        <w:rPr>
          <w:rFonts w:hint="eastAsia" w:asciiTheme="minorEastAsia" w:hAnsiTheme="minorEastAsia" w:cstheme="minorEastAsia"/>
          <w:color w:val="000000"/>
          <w:sz w:val="21"/>
          <w:szCs w:val="21"/>
        </w:rPr>
        <w:t>管理部门进行反应，另一方面须快速判断问题和收集事故信息，涉及到具体产品提供商，及时协调相关厂商现场支持。为保障甲方网络系统的正常运行，乙方除对突发故障的应急支持外，要充分保障日常对业务系统软硬件的应急灾备恢复预案，并通过定期的演练加强应对突发事故的意识和流程。</w:t>
      </w:r>
    </w:p>
    <w:p>
      <w:pPr>
        <w:pStyle w:val="4"/>
        <w:adjustRightInd w:val="0"/>
        <w:snapToGrid w:val="0"/>
        <w:spacing w:line="360" w:lineRule="auto"/>
        <w:ind w:firstLine="420" w:firstLineChars="200"/>
        <w:jc w:val="lef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1.1.3设备故障处理</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甲方设备或系统出现故障后，乙方驻场服务人员应及时报告，同时应及时与设备维保服务供应商沟通，要求设备维保服务供应商进行维修。乙方在运维服务中需要对故障设备和模块进行离线维修时，应先提供备机或备件，对故障设备或模块进行临时更换，以保证系统可靠稳定运行。替换下的故障部件进行维修后需经测试确认其稳定、可靠，并经甲方认可后方可部署回原设备。</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（2）对于无法修复的模块或者设备，乙方应及时告知甲方负责人员并与设备厂商进行沟通，要求设备厂商进行更换，为确保该模块或者设备能够稳定工作，</w:t>
      </w:r>
      <w:r>
        <w:rPr>
          <w:rFonts w:hint="eastAsia" w:asciiTheme="minorEastAsia" w:hAnsiTheme="minorEastAsia" w:cstheme="minorEastAsia"/>
          <w:b/>
          <w:bCs/>
          <w:color w:val="000000"/>
          <w:sz w:val="21"/>
          <w:szCs w:val="21"/>
        </w:rPr>
        <w:t>所提供的主要设备更换模块或者设备须为原品牌或者兼容型号，</w:t>
      </w:r>
      <w:r>
        <w:rPr>
          <w:rFonts w:hint="eastAsia" w:asciiTheme="minorEastAsia" w:hAnsiTheme="minorEastAsia" w:cstheme="minorEastAsia"/>
          <w:color w:val="000000"/>
          <w:sz w:val="21"/>
          <w:szCs w:val="21"/>
        </w:rPr>
        <w:t>涉及过保或者新增的相关软硬件产品、配件的维修或者更换，由乙方完成技术鉴定，并提供推荐意见，报甲方审批。</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（3）乙方每次运维服务在处理故障完成后，在</w:t>
      </w:r>
      <w:r>
        <w:rPr>
          <w:rFonts w:hint="eastAsia" w:asciiTheme="minorEastAsia" w:hAnsiTheme="minorEastAsia" w:cstheme="minorEastAsia"/>
          <w:color w:val="000000"/>
          <w:sz w:val="21"/>
          <w:szCs w:val="21"/>
          <w:u w:val="single"/>
        </w:rPr>
        <w:t xml:space="preserve"> 2 </w:t>
      </w:r>
      <w:r>
        <w:rPr>
          <w:rFonts w:hint="eastAsia" w:asciiTheme="minorEastAsia" w:hAnsiTheme="minorEastAsia" w:cstheme="minorEastAsia"/>
          <w:color w:val="000000"/>
          <w:sz w:val="21"/>
          <w:szCs w:val="21"/>
        </w:rPr>
        <w:t>个工作日内向甲方提交《故障处理报告》，包括故障原因分析、处理过程、维护建议等，需由乙方运维人员完成相关内容的填写后，由乙方技术部门的管理负责人审核后，并提供审批意见向甲方提交。</w:t>
      </w:r>
    </w:p>
    <w:p>
      <w:pPr>
        <w:pStyle w:val="3"/>
        <w:keepNext/>
        <w:keepLines/>
        <w:widowControl w:val="0"/>
        <w:pBdr>
          <w:bottom w:val="none" w:color="auto" w:sz="0" w:space="0"/>
        </w:pBdr>
        <w:adjustRightInd w:val="0"/>
        <w:snapToGrid w:val="0"/>
        <w:spacing w:line="360" w:lineRule="auto"/>
        <w:ind w:left="420"/>
        <w:jc w:val="both"/>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1.2武汉市招生考试相关信息系统安全监测服务</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通过统一的网络信息安全监测通报服务云平台实现对武汉市招生考试相关重要网站和信息系统安全的集中管理、批量处理、自动化安全监测，全面汇总重要信息系统的安全风险。通过对其不间断监测服务，实行网站漏洞监测、网页木马监测、篡改检测、与关键字等监测，提供详尽的数据与分析报告，从而全面掌握网站的安全态势，可有助于提升网站的安全防护能力和网站服务质量，并通过安全监测平台的事件跟踪功能建立起一种长效的安全保障机制。</w:t>
      </w:r>
    </w:p>
    <w:p>
      <w:pPr>
        <w:pStyle w:val="4"/>
        <w:adjustRightInd w:val="0"/>
        <w:snapToGrid w:val="0"/>
        <w:spacing w:line="360" w:lineRule="auto"/>
        <w:ind w:firstLine="420" w:firstLineChars="200"/>
        <w:jc w:val="lef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1.2.1系统漏洞扫描包括但不限于：</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3"/>
        <w:gridCol w:w="5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86" w:type="pct"/>
            <w:shd w:val="clear" w:color="000000" w:fill="8DB4E3"/>
            <w:vAlign w:val="center"/>
          </w:tcPr>
          <w:p>
            <w:pPr>
              <w:adjustRightInd w:val="0"/>
              <w:snapToGrid w:val="0"/>
              <w:spacing w:line="360" w:lineRule="auto"/>
              <w:jc w:val="center"/>
              <w:rPr>
                <w:rFonts w:asciiTheme="minorEastAsia" w:hAnsiTheme="minorEastAsia" w:cstheme="minorEastAsia"/>
                <w:b/>
                <w:bCs/>
                <w:color w:val="000000"/>
                <w:sz w:val="21"/>
                <w:szCs w:val="21"/>
              </w:rPr>
            </w:pPr>
            <w:r>
              <w:rPr>
                <w:rFonts w:hint="eastAsia" w:asciiTheme="minorEastAsia" w:hAnsiTheme="minorEastAsia" w:cstheme="minorEastAsia"/>
                <w:b/>
                <w:bCs/>
                <w:color w:val="000000"/>
                <w:sz w:val="21"/>
                <w:szCs w:val="21"/>
              </w:rPr>
              <w:t>扫描范围</w:t>
            </w:r>
          </w:p>
        </w:tc>
        <w:tc>
          <w:tcPr>
            <w:tcW w:w="3414" w:type="pct"/>
            <w:shd w:val="clear" w:color="000000" w:fill="8DB4E3"/>
            <w:vAlign w:val="center"/>
          </w:tcPr>
          <w:p>
            <w:pPr>
              <w:adjustRightInd w:val="0"/>
              <w:snapToGrid w:val="0"/>
              <w:spacing w:line="360" w:lineRule="auto"/>
              <w:jc w:val="center"/>
              <w:rPr>
                <w:rFonts w:asciiTheme="minorEastAsia" w:hAnsiTheme="minorEastAsia" w:cstheme="minorEastAsia"/>
                <w:b/>
                <w:bCs/>
                <w:color w:val="000000"/>
                <w:sz w:val="21"/>
                <w:szCs w:val="21"/>
              </w:rPr>
            </w:pPr>
            <w:r>
              <w:rPr>
                <w:rFonts w:hint="eastAsia" w:asciiTheme="minorEastAsia" w:hAnsiTheme="minorEastAsia" w:cstheme="minorEastAsia"/>
                <w:b/>
                <w:bCs/>
                <w:color w:val="000000"/>
                <w:sz w:val="21"/>
                <w:szCs w:val="21"/>
              </w:rPr>
              <w:t>支持扫描漏洞类型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1586" w:type="pct"/>
            <w:vMerge w:val="restar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Web应用漏洞</w:t>
            </w: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命令执行类型：SQL注入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命令执行类型：XPATH注入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命令执行类型：LDAP注入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命令执行类型：SSI注入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命令执行类型：系统命令执行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命令执行类型：缓冲区溢出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命令执行类型：格式化字符串攻击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客户端攻击类型：跨站脚本攻击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客户端攻击类型：内容欺骗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逻辑攻击类型：反自动化不充分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逻辑攻击类型：过程验证不充分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逻辑攻击类型：功能滥用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逻辑攻击类型：拒绝服务攻击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授权类型：凭据/会话预测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授权类型：授权不充分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授权类型：会话期限不足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授权类型：会话固定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认证类型：弱口令验证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认证类型：暴力猜测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认证类型：认证不充分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信息泄露：资源定位可预测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信息泄露：目录遍历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信息泄露：目录索引信息泄露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信息泄露：信息泄露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未分类漏洞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586" w:type="pct"/>
            <w:vMerge w:val="restar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远程系统漏洞</w:t>
            </w: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本地权限提升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远程执行命令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远程数据修改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远程拒绝服务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远程信息泄露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1586" w:type="pct"/>
            <w:vMerge w:val="continue"/>
            <w:vAlign w:val="center"/>
          </w:tcPr>
          <w:p>
            <w:pPr>
              <w:adjustRightInd w:val="0"/>
              <w:snapToGrid w:val="0"/>
              <w:spacing w:line="360" w:lineRule="auto"/>
              <w:jc w:val="center"/>
              <w:rPr>
                <w:rFonts w:asciiTheme="minorEastAsia" w:hAnsiTheme="minorEastAsia" w:cstheme="minorEastAsia"/>
                <w:color w:val="000000"/>
                <w:sz w:val="21"/>
                <w:szCs w:val="21"/>
              </w:rPr>
            </w:pPr>
          </w:p>
        </w:tc>
        <w:tc>
          <w:tcPr>
            <w:tcW w:w="3414" w:type="pct"/>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不必要的服务</w:t>
            </w:r>
          </w:p>
        </w:tc>
      </w:tr>
    </w:tbl>
    <w:p>
      <w:pPr>
        <w:pStyle w:val="4"/>
        <w:adjustRightInd w:val="0"/>
        <w:snapToGrid w:val="0"/>
        <w:spacing w:line="360" w:lineRule="auto"/>
        <w:ind w:firstLine="420" w:firstLineChars="200"/>
        <w:jc w:val="lef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1.2.2 网页篡改监测：</w:t>
      </w:r>
    </w:p>
    <w:tbl>
      <w:tblPr>
        <w:tblStyle w:val="5"/>
        <w:tblW w:w="5000" w:type="pct"/>
        <w:jc w:val="center"/>
        <w:tblLayout w:type="autofit"/>
        <w:tblCellMar>
          <w:top w:w="0" w:type="dxa"/>
          <w:left w:w="108" w:type="dxa"/>
          <w:bottom w:w="0" w:type="dxa"/>
          <w:right w:w="108" w:type="dxa"/>
        </w:tblCellMar>
      </w:tblPr>
      <w:tblGrid>
        <w:gridCol w:w="1598"/>
        <w:gridCol w:w="2891"/>
        <w:gridCol w:w="4033"/>
      </w:tblGrid>
      <w:tr>
        <w:tblPrEx>
          <w:tblCellMar>
            <w:top w:w="0" w:type="dxa"/>
            <w:left w:w="108" w:type="dxa"/>
            <w:bottom w:w="0" w:type="dxa"/>
            <w:right w:w="108" w:type="dxa"/>
          </w:tblCellMar>
        </w:tblPrEx>
        <w:trPr>
          <w:trHeight w:val="567" w:hRule="atLeast"/>
          <w:jc w:val="center"/>
        </w:trPr>
        <w:tc>
          <w:tcPr>
            <w:tcW w:w="938" w:type="pct"/>
            <w:tcBorders>
              <w:top w:val="single" w:color="auto" w:sz="4" w:space="0"/>
              <w:left w:val="single" w:color="auto" w:sz="4" w:space="0"/>
              <w:bottom w:val="single" w:color="auto" w:sz="4" w:space="0"/>
              <w:right w:val="single" w:color="auto" w:sz="4" w:space="0"/>
            </w:tcBorders>
            <w:shd w:val="clear" w:color="000000" w:fill="8DB4E3"/>
            <w:vAlign w:val="center"/>
          </w:tcPr>
          <w:p>
            <w:pPr>
              <w:adjustRightInd w:val="0"/>
              <w:snapToGrid w:val="0"/>
              <w:spacing w:line="360" w:lineRule="auto"/>
              <w:jc w:val="center"/>
              <w:rPr>
                <w:rFonts w:asciiTheme="minorEastAsia" w:hAnsiTheme="minorEastAsia" w:cstheme="minorEastAsia"/>
                <w:b/>
                <w:bCs/>
                <w:color w:val="000000"/>
                <w:sz w:val="21"/>
                <w:szCs w:val="21"/>
              </w:rPr>
            </w:pPr>
            <w:r>
              <w:rPr>
                <w:rFonts w:hint="eastAsia" w:asciiTheme="minorEastAsia" w:hAnsiTheme="minorEastAsia" w:cstheme="minorEastAsia"/>
                <w:b/>
                <w:bCs/>
                <w:color w:val="000000"/>
                <w:sz w:val="21"/>
                <w:szCs w:val="21"/>
              </w:rPr>
              <w:t>执行内容</w:t>
            </w:r>
          </w:p>
        </w:tc>
        <w:tc>
          <w:tcPr>
            <w:tcW w:w="1696" w:type="pct"/>
            <w:tcBorders>
              <w:top w:val="single" w:color="auto" w:sz="4" w:space="0"/>
              <w:left w:val="single" w:color="auto" w:sz="4" w:space="0"/>
              <w:bottom w:val="single" w:color="auto" w:sz="4" w:space="0"/>
              <w:right w:val="single" w:color="auto" w:sz="4" w:space="0"/>
            </w:tcBorders>
            <w:shd w:val="clear" w:color="000000" w:fill="8DB4E3"/>
            <w:vAlign w:val="center"/>
          </w:tcPr>
          <w:p>
            <w:pPr>
              <w:adjustRightInd w:val="0"/>
              <w:snapToGrid w:val="0"/>
              <w:spacing w:line="360" w:lineRule="auto"/>
              <w:jc w:val="center"/>
              <w:rPr>
                <w:rFonts w:asciiTheme="minorEastAsia" w:hAnsiTheme="minorEastAsia" w:cstheme="minorEastAsia"/>
                <w:b/>
                <w:bCs/>
                <w:color w:val="000000"/>
                <w:sz w:val="21"/>
                <w:szCs w:val="21"/>
              </w:rPr>
            </w:pPr>
            <w:r>
              <w:rPr>
                <w:rFonts w:hint="eastAsia" w:asciiTheme="minorEastAsia" w:hAnsiTheme="minorEastAsia" w:cstheme="minorEastAsia"/>
                <w:b/>
                <w:bCs/>
                <w:color w:val="000000"/>
                <w:sz w:val="21"/>
                <w:szCs w:val="21"/>
              </w:rPr>
              <w:t>执行细节</w:t>
            </w:r>
          </w:p>
        </w:tc>
        <w:tc>
          <w:tcPr>
            <w:tcW w:w="2366" w:type="pct"/>
            <w:tcBorders>
              <w:top w:val="single" w:color="auto" w:sz="4" w:space="0"/>
              <w:left w:val="single" w:color="auto" w:sz="4" w:space="0"/>
              <w:bottom w:val="single" w:color="auto" w:sz="4" w:space="0"/>
              <w:right w:val="single" w:color="auto" w:sz="4" w:space="0"/>
            </w:tcBorders>
            <w:shd w:val="clear" w:color="000000" w:fill="8DB4E3"/>
            <w:vAlign w:val="center"/>
          </w:tcPr>
          <w:p>
            <w:pPr>
              <w:adjustRightInd w:val="0"/>
              <w:snapToGrid w:val="0"/>
              <w:spacing w:line="360" w:lineRule="auto"/>
              <w:jc w:val="center"/>
              <w:rPr>
                <w:rFonts w:asciiTheme="minorEastAsia" w:hAnsiTheme="minorEastAsia" w:cstheme="minorEastAsia"/>
                <w:b/>
                <w:bCs/>
                <w:color w:val="000000"/>
                <w:sz w:val="21"/>
                <w:szCs w:val="21"/>
              </w:rPr>
            </w:pPr>
            <w:r>
              <w:rPr>
                <w:rFonts w:hint="eastAsia" w:asciiTheme="minorEastAsia" w:hAnsiTheme="minorEastAsia" w:cstheme="minorEastAsia"/>
                <w:b/>
                <w:bCs/>
                <w:color w:val="000000"/>
                <w:sz w:val="21"/>
                <w:szCs w:val="21"/>
              </w:rPr>
              <w:t>响应方式</w:t>
            </w:r>
          </w:p>
        </w:tc>
      </w:tr>
      <w:tr>
        <w:tblPrEx>
          <w:tblCellMar>
            <w:top w:w="0" w:type="dxa"/>
            <w:left w:w="108" w:type="dxa"/>
            <w:bottom w:w="0" w:type="dxa"/>
            <w:right w:w="108" w:type="dxa"/>
          </w:tblCellMar>
        </w:tblPrEx>
        <w:trPr>
          <w:trHeight w:val="1326" w:hRule="atLeast"/>
          <w:jc w:val="center"/>
        </w:trPr>
        <w:tc>
          <w:tcPr>
            <w:tcW w:w="938"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关键页面篡改监测</w:t>
            </w:r>
          </w:p>
        </w:tc>
        <w:tc>
          <w:tcPr>
            <w:tcW w:w="169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对保护站点的约定数量关键页面进行实时篡改监测。</w:t>
            </w:r>
          </w:p>
        </w:tc>
        <w:tc>
          <w:tcPr>
            <w:tcW w:w="236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1、对首页及一级链接页面被恶意篡改30分钟以内以多种方式发通知</w:t>
            </w:r>
          </w:p>
          <w:p>
            <w:pPr>
              <w:adjustRightInd w:val="0"/>
              <w:snapToGrid w:val="0"/>
              <w:spacing w:line="360" w:lineRule="auto"/>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2、在监测报告中体现监测结果</w:t>
            </w:r>
          </w:p>
        </w:tc>
      </w:tr>
      <w:tr>
        <w:tblPrEx>
          <w:tblCellMar>
            <w:top w:w="0" w:type="dxa"/>
            <w:left w:w="108" w:type="dxa"/>
            <w:bottom w:w="0" w:type="dxa"/>
            <w:right w:w="108" w:type="dxa"/>
          </w:tblCellMar>
        </w:tblPrEx>
        <w:trPr>
          <w:jc w:val="center"/>
        </w:trPr>
        <w:tc>
          <w:tcPr>
            <w:tcW w:w="938"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篡改内容全面展示</w:t>
            </w:r>
          </w:p>
        </w:tc>
        <w:tc>
          <w:tcPr>
            <w:tcW w:w="169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展示篡改内容出现的具体场景截图。</w:t>
            </w:r>
          </w:p>
        </w:tc>
        <w:tc>
          <w:tcPr>
            <w:tcW w:w="236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即时响应，同时在监测周报中体现监测结果</w:t>
            </w:r>
          </w:p>
        </w:tc>
      </w:tr>
    </w:tbl>
    <w:p>
      <w:pPr>
        <w:pStyle w:val="4"/>
        <w:adjustRightInd w:val="0"/>
        <w:snapToGrid w:val="0"/>
        <w:spacing w:line="360" w:lineRule="auto"/>
        <w:ind w:firstLine="420" w:firstLineChars="200"/>
        <w:jc w:val="lef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1.2.3服务要求</w:t>
      </w:r>
    </w:p>
    <w:p>
      <w:pPr>
        <w:adjustRightInd w:val="0"/>
        <w:snapToGrid w:val="0"/>
        <w:spacing w:line="360" w:lineRule="auto"/>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（1）</w:t>
      </w:r>
      <w:r>
        <w:rPr>
          <w:rFonts w:hint="eastAsia" w:asciiTheme="minorEastAsia" w:hAnsiTheme="minorEastAsia" w:cstheme="minorEastAsia"/>
          <w:caps/>
          <w:sz w:val="21"/>
          <w:szCs w:val="21"/>
        </w:rPr>
        <w:t>能够按照要求生成周、月、季度监测报表，并按时提交给甲方。</w:t>
      </w:r>
    </w:p>
    <w:p>
      <w:pPr>
        <w:adjustRightInd w:val="0"/>
        <w:snapToGrid w:val="0"/>
        <w:spacing w:line="360" w:lineRule="auto"/>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（2）对于发现的问题能够自行处置的及时进行处置，不能解决的及时通知相应系统开发商进行处置。</w:t>
      </w:r>
    </w:p>
    <w:p>
      <w:pPr>
        <w:adjustRightInd w:val="0"/>
        <w:snapToGrid w:val="0"/>
        <w:spacing w:line="360" w:lineRule="auto"/>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（3）配合甲方完成上级主管或者网络安全管理单位下发的各类网络安全相关工作任务。</w:t>
      </w:r>
    </w:p>
    <w:p>
      <w:pPr>
        <w:pStyle w:val="3"/>
        <w:keepNext/>
        <w:keepLines/>
        <w:widowControl w:val="0"/>
        <w:pBdr>
          <w:bottom w:val="none" w:color="auto" w:sz="0" w:space="0"/>
        </w:pBdr>
        <w:adjustRightInd w:val="0"/>
        <w:snapToGrid w:val="0"/>
        <w:spacing w:line="360" w:lineRule="auto"/>
        <w:ind w:left="420"/>
        <w:jc w:val="both"/>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1.3武汉市招生考试相关信息系统部署运行服务</w:t>
      </w:r>
    </w:p>
    <w:p>
      <w:pPr>
        <w:pStyle w:val="4"/>
        <w:adjustRightInd w:val="0"/>
        <w:snapToGrid w:val="0"/>
        <w:spacing w:line="360" w:lineRule="auto"/>
        <w:ind w:firstLine="420" w:firstLineChars="200"/>
        <w:jc w:val="lef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1.3.1服务内容</w:t>
      </w:r>
    </w:p>
    <w:p>
      <w:pPr>
        <w:adjustRightInd w:val="0"/>
        <w:snapToGrid w:val="0"/>
        <w:spacing w:line="360" w:lineRule="auto"/>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（1）合理分配和管理超融合平台资源，为信息系统开发供应商提供必要的资源部署和可靠安全的网络运行环境。</w:t>
      </w:r>
    </w:p>
    <w:p>
      <w:pPr>
        <w:adjustRightInd w:val="0"/>
        <w:snapToGrid w:val="0"/>
        <w:spacing w:line="360" w:lineRule="auto"/>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（2）配合信息系统开发供应商完成相应业务系统的部署上线，并协助业务系统的开发人员，确保系统安全运行。</w:t>
      </w:r>
    </w:p>
    <w:p>
      <w:pPr>
        <w:adjustRightInd w:val="0"/>
        <w:snapToGrid w:val="0"/>
        <w:spacing w:line="360" w:lineRule="auto"/>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（3）重要时间节点（包括但不限于高考、中考、中考成绩发布、中考录取等），配合信息系统开发供应商做好系统的运维保障工作。</w:t>
      </w:r>
    </w:p>
    <w:p>
      <w:pPr>
        <w:adjustRightInd w:val="0"/>
        <w:snapToGrid w:val="0"/>
        <w:spacing w:line="360" w:lineRule="auto"/>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注：信息系统包括所有已经在超融合平台上运行的系统和后期将逐步上线的系统。</w:t>
      </w:r>
    </w:p>
    <w:p>
      <w:pPr>
        <w:adjustRightInd w:val="0"/>
        <w:snapToGrid w:val="0"/>
        <w:spacing w:line="360" w:lineRule="auto"/>
        <w:ind w:firstLine="420" w:firstLineChars="200"/>
        <w:rPr>
          <w:rFonts w:asciiTheme="minorEastAsia" w:hAnsiTheme="minorEastAsia" w:cstheme="minorEastAsia"/>
          <w:sz w:val="21"/>
          <w:szCs w:val="21"/>
        </w:rPr>
      </w:pPr>
    </w:p>
    <w:p>
      <w:pPr>
        <w:pStyle w:val="4"/>
        <w:adjustRightInd w:val="0"/>
        <w:snapToGrid w:val="0"/>
        <w:spacing w:line="360" w:lineRule="auto"/>
        <w:ind w:firstLine="420" w:firstLineChars="200"/>
        <w:jc w:val="lef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1.3.2服务要求</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（1）分配平台资源须经过主管处室审批同意后才能执行。</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（2）做好资源分配的登记工作，每月提交相应报表报信息技术处备案。</w:t>
      </w:r>
    </w:p>
    <w:p>
      <w:pPr>
        <w:pStyle w:val="3"/>
        <w:keepNext/>
        <w:keepLines/>
        <w:widowControl w:val="0"/>
        <w:pBdr>
          <w:bottom w:val="none" w:color="auto" w:sz="0" w:space="0"/>
        </w:pBdr>
        <w:adjustRightInd w:val="0"/>
        <w:snapToGrid w:val="0"/>
        <w:spacing w:line="360" w:lineRule="auto"/>
        <w:ind w:left="420"/>
        <w:jc w:val="both"/>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1.4武汉市招生考试办公室信息化办公相关维护服务</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服务内容包括但不限于：</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（1）办公电脑、打印机、传真机、复印机等设备维护管理。</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（2）办公室日常办公网络的安全信息维护服务。</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（3）对办公室新的应用程序开发提供具有针对性的意见和建议。</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（4）在超融合一体化平台上进行新程序的运行测试并提供反馈意见。</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（5）会议系统服务及大屏维护，配合会议和考试保障。</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（6）完成采购人交办的其他相关可能的任务。</w:t>
      </w:r>
    </w:p>
    <w:p>
      <w:pPr>
        <w:pStyle w:val="3"/>
        <w:keepNext/>
        <w:keepLines/>
        <w:widowControl w:val="0"/>
        <w:pBdr>
          <w:bottom w:val="none" w:color="auto" w:sz="0" w:space="0"/>
        </w:pBdr>
        <w:adjustRightInd w:val="0"/>
        <w:snapToGrid w:val="0"/>
        <w:spacing w:line="360" w:lineRule="auto"/>
        <w:ind w:left="420"/>
        <w:jc w:val="both"/>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1.5其他要求</w:t>
      </w:r>
    </w:p>
    <w:p>
      <w:pPr>
        <w:pStyle w:val="4"/>
        <w:adjustRightInd w:val="0"/>
        <w:snapToGrid w:val="0"/>
        <w:spacing w:line="360" w:lineRule="auto"/>
        <w:ind w:firstLine="420" w:firstLineChars="200"/>
        <w:jc w:val="lef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1.5.1人员要求</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（1）乙方提供固定驻场人员2人，轮值驻场人员1人。</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2）乙方须提供固定驻场和轮值驻场人员具体名单、社保证明及专业资质证书复印件，并且要符合甲方的相关要求，驻场人员必须经采购人技术考核通过后才能进场，如果不能通过技术考核，供应商必须提供新的技术人员，直至满足要求为止。如供应商不能提供具备相关技术服务能力的驻场人员，采购人有权解除合同且不需承担任何相关责任。人员一旦确定，不得随意更换。</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3）乙方固定驻场人员作息时间与采购人日常作息时间相同，因业务工作需要该驻场人员提供加班服务，其加班费用由甲方自行承担；因运维相关工作需要该驻场人员提供加班服务，其加班费用由乙方自行承担。</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（4）乙方驻场人员还需承担非工作日的值守服务，及时响应并处理机房基础设施及网络系统可能的突发事故，保障机房内所有信息系统的安全稳定运行。具体要求如下：</w:t>
      </w:r>
    </w:p>
    <w:p>
      <w:pPr>
        <w:adjustRightInd w:val="0"/>
        <w:snapToGrid w:val="0"/>
        <w:spacing w:line="360" w:lineRule="auto"/>
        <w:ind w:firstLine="464" w:firstLineChars="221"/>
        <w:rPr>
          <w:rFonts w:asciiTheme="minorEastAsia" w:hAnsiTheme="minorEastAsia" w:cstheme="minorEastAsia"/>
          <w:color w:val="000000"/>
          <w:sz w:val="21"/>
          <w:szCs w:val="21"/>
          <w:lang w:val="zh-CN"/>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1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①</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lang w:val="zh-CN"/>
        </w:rPr>
        <w:t>提供非工作日期间的机房的安全值守服务。法定节日期间白班（8:30-17:00）现场值守（可安排轮值驻场人员），周六周日白班（8:30-17:00）远程值守；一年365天每天夜班（17:00-次日8:30）远程值守</w:t>
      </w:r>
      <w:r>
        <w:rPr>
          <w:rFonts w:hint="eastAsia" w:asciiTheme="minorEastAsia" w:hAnsiTheme="minorEastAsia" w:cstheme="minorEastAsia"/>
          <w:color w:val="000000"/>
          <w:sz w:val="21"/>
          <w:szCs w:val="21"/>
        </w:rPr>
        <w:t>，通过授权的VPN履行远程巡检责任</w:t>
      </w:r>
      <w:r>
        <w:rPr>
          <w:rFonts w:hint="eastAsia" w:asciiTheme="minorEastAsia" w:hAnsiTheme="minorEastAsia" w:cstheme="minorEastAsia"/>
          <w:color w:val="000000"/>
          <w:sz w:val="21"/>
          <w:szCs w:val="21"/>
          <w:lang w:val="zh-CN"/>
        </w:rPr>
        <w:t>；如遇办内承担的所有考试</w:t>
      </w:r>
      <w:r>
        <w:rPr>
          <w:rFonts w:hint="eastAsia" w:asciiTheme="minorEastAsia" w:hAnsiTheme="minorEastAsia" w:cstheme="minorEastAsia"/>
          <w:sz w:val="21"/>
          <w:szCs w:val="21"/>
        </w:rPr>
        <w:t>重要时间节点（包括但不限于高考、中考、中考成绩发布、中考录取等）</w:t>
      </w:r>
      <w:r>
        <w:rPr>
          <w:rFonts w:hint="eastAsia" w:asciiTheme="minorEastAsia" w:hAnsiTheme="minorEastAsia" w:cstheme="minorEastAsia"/>
          <w:color w:val="000000"/>
          <w:sz w:val="21"/>
          <w:szCs w:val="21"/>
          <w:lang w:val="zh-CN"/>
        </w:rPr>
        <w:t>需要提供现场值守（须安排</w:t>
      </w:r>
      <w:r>
        <w:rPr>
          <w:rFonts w:hint="eastAsia" w:asciiTheme="minorEastAsia" w:hAnsiTheme="minorEastAsia" w:cstheme="minorEastAsia"/>
          <w:color w:val="000000"/>
          <w:sz w:val="21"/>
          <w:szCs w:val="21"/>
        </w:rPr>
        <w:t>固定驻场人员</w:t>
      </w:r>
      <w:r>
        <w:rPr>
          <w:rFonts w:hint="eastAsia" w:asciiTheme="minorEastAsia" w:hAnsiTheme="minorEastAsia" w:cstheme="minorEastAsia"/>
          <w:color w:val="000000"/>
          <w:sz w:val="21"/>
          <w:szCs w:val="21"/>
          <w:lang w:val="zh-CN"/>
        </w:rPr>
        <w:t>），具体服务时间根据实际工作需要安排。</w:t>
      </w:r>
    </w:p>
    <w:p>
      <w:pPr>
        <w:adjustRightInd w:val="0"/>
        <w:snapToGrid w:val="0"/>
        <w:spacing w:line="360" w:lineRule="auto"/>
        <w:ind w:firstLine="464" w:firstLineChars="221"/>
        <w:rPr>
          <w:rFonts w:asciiTheme="minorEastAsia" w:hAnsiTheme="minorEastAsia" w:cstheme="minorEastAsia"/>
          <w:color w:val="000000"/>
          <w:sz w:val="21"/>
          <w:szCs w:val="21"/>
          <w:lang w:val="zh-CN"/>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2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②</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lang w:val="zh-CN"/>
        </w:rPr>
        <w:t>值守工作岗位1人，参与值守轮班总人数不少于2人；</w:t>
      </w:r>
    </w:p>
    <w:p>
      <w:pPr>
        <w:adjustRightInd w:val="0"/>
        <w:snapToGrid w:val="0"/>
        <w:spacing w:line="360" w:lineRule="auto"/>
        <w:ind w:firstLine="464" w:firstLineChars="221"/>
        <w:rPr>
          <w:rFonts w:asciiTheme="minorEastAsia" w:hAnsiTheme="minorEastAsia" w:cstheme="minorEastAsia"/>
          <w:color w:val="000000"/>
          <w:sz w:val="21"/>
          <w:szCs w:val="21"/>
          <w:lang w:val="zh-CN"/>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3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③</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rPr>
        <w:t>业务系统的支撑和保障</w:t>
      </w:r>
      <w:r>
        <w:rPr>
          <w:rFonts w:hint="eastAsia" w:asciiTheme="minorEastAsia" w:hAnsiTheme="minorEastAsia" w:cstheme="minorEastAsia"/>
          <w:color w:val="000000"/>
          <w:sz w:val="21"/>
          <w:szCs w:val="21"/>
          <w:lang w:val="zh-CN"/>
        </w:rPr>
        <w:t>；</w:t>
      </w:r>
      <w:r>
        <w:rPr>
          <w:rFonts w:hint="eastAsia" w:asciiTheme="minorEastAsia" w:hAnsiTheme="minorEastAsia" w:cstheme="minorEastAsia"/>
          <w:color w:val="000000"/>
          <w:sz w:val="21"/>
          <w:szCs w:val="21"/>
        </w:rPr>
        <w:t>通过目测和在线巡检相结合的方式，充分利用软件巡检工具、安全系统和超融合系统的功能实现</w:t>
      </w:r>
      <w:r>
        <w:rPr>
          <w:rFonts w:hint="eastAsia" w:asciiTheme="minorEastAsia" w:hAnsiTheme="minorEastAsia" w:cstheme="minorEastAsia"/>
          <w:color w:val="000000"/>
          <w:sz w:val="21"/>
          <w:szCs w:val="21"/>
          <w:lang w:val="zh-CN"/>
        </w:rPr>
        <w:t>对社会提供业务服务</w:t>
      </w:r>
      <w:r>
        <w:rPr>
          <w:rFonts w:hint="eastAsia" w:asciiTheme="minorEastAsia" w:hAnsiTheme="minorEastAsia" w:cstheme="minorEastAsia"/>
          <w:color w:val="000000"/>
          <w:sz w:val="21"/>
          <w:szCs w:val="21"/>
        </w:rPr>
        <w:t>应用建立有效</w:t>
      </w:r>
      <w:r>
        <w:rPr>
          <w:rFonts w:hint="eastAsia" w:asciiTheme="minorEastAsia" w:hAnsiTheme="minorEastAsia" w:cstheme="minorEastAsia"/>
          <w:color w:val="000000"/>
          <w:sz w:val="21"/>
          <w:szCs w:val="21"/>
          <w:lang w:val="zh-CN"/>
        </w:rPr>
        <w:t>的</w:t>
      </w:r>
      <w:r>
        <w:rPr>
          <w:rFonts w:hint="eastAsia" w:asciiTheme="minorEastAsia" w:hAnsiTheme="minorEastAsia" w:cstheme="minorEastAsia"/>
          <w:color w:val="000000"/>
          <w:sz w:val="21"/>
          <w:szCs w:val="21"/>
        </w:rPr>
        <w:t>资源环境保障、支撑和监控</w:t>
      </w:r>
      <w:r>
        <w:rPr>
          <w:rFonts w:hint="eastAsia" w:asciiTheme="minorEastAsia" w:hAnsiTheme="minorEastAsia" w:cstheme="minorEastAsia"/>
          <w:color w:val="000000"/>
          <w:sz w:val="21"/>
          <w:szCs w:val="21"/>
          <w:lang w:val="zh-CN"/>
        </w:rPr>
        <w:t>；当机房发生故障</w:t>
      </w:r>
      <w:r>
        <w:rPr>
          <w:rFonts w:hint="eastAsia" w:asciiTheme="minorEastAsia" w:hAnsiTheme="minorEastAsia" w:cstheme="minorEastAsia"/>
          <w:color w:val="000000"/>
          <w:sz w:val="21"/>
          <w:szCs w:val="21"/>
        </w:rPr>
        <w:t>或者安全隐患</w:t>
      </w:r>
      <w:r>
        <w:rPr>
          <w:rFonts w:hint="eastAsia" w:asciiTheme="minorEastAsia" w:hAnsiTheme="minorEastAsia" w:cstheme="minorEastAsia"/>
          <w:color w:val="000000"/>
          <w:sz w:val="21"/>
          <w:szCs w:val="21"/>
          <w:lang w:val="zh-CN"/>
        </w:rPr>
        <w:t>时，能及时发现、自主联系，</w:t>
      </w:r>
      <w:r>
        <w:rPr>
          <w:rFonts w:hint="eastAsia" w:asciiTheme="minorEastAsia" w:hAnsiTheme="minorEastAsia" w:cstheme="minorEastAsia"/>
          <w:color w:val="000000"/>
          <w:sz w:val="21"/>
          <w:szCs w:val="21"/>
        </w:rPr>
        <w:t>组织</w:t>
      </w:r>
      <w:r>
        <w:rPr>
          <w:rFonts w:hint="eastAsia" w:asciiTheme="minorEastAsia" w:hAnsiTheme="minorEastAsia" w:cstheme="minorEastAsia"/>
          <w:color w:val="000000"/>
          <w:sz w:val="21"/>
          <w:szCs w:val="21"/>
          <w:lang w:val="zh-CN"/>
        </w:rPr>
        <w:t>相关人员</w:t>
      </w:r>
      <w:r>
        <w:rPr>
          <w:rFonts w:hint="eastAsia" w:asciiTheme="minorEastAsia" w:hAnsiTheme="minorEastAsia" w:cstheme="minorEastAsia"/>
          <w:color w:val="000000"/>
          <w:sz w:val="21"/>
          <w:szCs w:val="21"/>
        </w:rPr>
        <w:t>和乙方配套的技术资源</w:t>
      </w:r>
      <w:r>
        <w:rPr>
          <w:rFonts w:hint="eastAsia" w:asciiTheme="minorEastAsia" w:hAnsiTheme="minorEastAsia" w:cstheme="minorEastAsia"/>
          <w:color w:val="000000"/>
          <w:sz w:val="21"/>
          <w:szCs w:val="21"/>
          <w:lang w:val="zh-CN"/>
        </w:rPr>
        <w:t>进行妥善处置，并做好</w:t>
      </w:r>
      <w:r>
        <w:rPr>
          <w:rFonts w:hint="eastAsia" w:asciiTheme="minorEastAsia" w:hAnsiTheme="minorEastAsia" w:cstheme="minorEastAsia"/>
          <w:color w:val="000000"/>
          <w:sz w:val="21"/>
          <w:szCs w:val="21"/>
        </w:rPr>
        <w:t>有效的</w:t>
      </w:r>
      <w:r>
        <w:rPr>
          <w:rFonts w:hint="eastAsia" w:asciiTheme="minorEastAsia" w:hAnsiTheme="minorEastAsia" w:cstheme="minorEastAsia"/>
          <w:color w:val="000000"/>
          <w:sz w:val="21"/>
          <w:szCs w:val="21"/>
          <w:lang w:val="zh-CN"/>
        </w:rPr>
        <w:t>值守工作记录。</w:t>
      </w:r>
    </w:p>
    <w:p>
      <w:pPr>
        <w:adjustRightInd w:val="0"/>
        <w:snapToGrid w:val="0"/>
        <w:spacing w:line="360" w:lineRule="auto"/>
        <w:ind w:firstLine="464" w:firstLineChars="221"/>
        <w:rPr>
          <w:rFonts w:asciiTheme="minorEastAsia" w:hAnsiTheme="minorEastAsia" w:cstheme="minorEastAsia"/>
          <w:color w:val="000000"/>
          <w:sz w:val="21"/>
          <w:szCs w:val="21"/>
          <w:lang w:val="zh-CN"/>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4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④</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lang w:val="zh-CN"/>
        </w:rPr>
        <w:t>值守人员工作时要遵守大楼物业统一的管理规定。</w:t>
      </w:r>
    </w:p>
    <w:p>
      <w:pPr>
        <w:adjustRightInd w:val="0"/>
        <w:snapToGrid w:val="0"/>
        <w:spacing w:line="360" w:lineRule="auto"/>
        <w:ind w:firstLine="464" w:firstLineChars="221"/>
        <w:rPr>
          <w:rFonts w:asciiTheme="minorEastAsia" w:hAnsiTheme="minorEastAsia" w:cstheme="minorEastAsia"/>
          <w:color w:val="000000"/>
          <w:sz w:val="21"/>
          <w:szCs w:val="21"/>
          <w:lang w:val="zh-CN"/>
        </w:rPr>
      </w:pPr>
      <w:r>
        <w:rPr>
          <w:rFonts w:hint="eastAsia" w:asciiTheme="minorEastAsia" w:hAnsiTheme="minorEastAsia" w:cstheme="minorEastAsia"/>
          <w:color w:val="000000"/>
          <w:sz w:val="21"/>
          <w:szCs w:val="21"/>
          <w:lang w:val="zh-CN"/>
        </w:rPr>
        <w:fldChar w:fldCharType="begin"/>
      </w:r>
      <w:r>
        <w:rPr>
          <w:rFonts w:hint="eastAsia" w:asciiTheme="minorEastAsia" w:hAnsiTheme="minorEastAsia" w:cstheme="minorEastAsia"/>
          <w:color w:val="000000"/>
          <w:sz w:val="21"/>
          <w:szCs w:val="21"/>
          <w:lang w:val="zh-CN"/>
        </w:rPr>
        <w:instrText xml:space="preserve"> = 5 \* GB3 </w:instrText>
      </w:r>
      <w:r>
        <w:rPr>
          <w:rFonts w:hint="eastAsia" w:asciiTheme="minorEastAsia" w:hAnsiTheme="minorEastAsia" w:cstheme="minorEastAsia"/>
          <w:color w:val="000000"/>
          <w:sz w:val="21"/>
          <w:szCs w:val="21"/>
          <w:lang w:val="zh-CN"/>
        </w:rPr>
        <w:fldChar w:fldCharType="separate"/>
      </w:r>
      <w:r>
        <w:rPr>
          <w:rFonts w:hint="eastAsia" w:asciiTheme="minorEastAsia" w:hAnsiTheme="minorEastAsia" w:cstheme="minorEastAsia"/>
          <w:color w:val="000000"/>
          <w:sz w:val="21"/>
          <w:szCs w:val="21"/>
          <w:lang w:val="zh-CN"/>
        </w:rPr>
        <w:t>⑤</w:t>
      </w:r>
      <w:r>
        <w:rPr>
          <w:rFonts w:hint="eastAsia" w:asciiTheme="minorEastAsia" w:hAnsiTheme="minorEastAsia" w:cstheme="minorEastAsia"/>
          <w:color w:val="000000"/>
          <w:sz w:val="21"/>
          <w:szCs w:val="21"/>
          <w:lang w:val="zh-CN"/>
        </w:rPr>
        <w:fldChar w:fldCharType="end"/>
      </w:r>
      <w:r>
        <w:rPr>
          <w:rFonts w:hint="eastAsia" w:asciiTheme="minorEastAsia" w:hAnsiTheme="minorEastAsia" w:cstheme="minorEastAsia"/>
          <w:color w:val="000000"/>
          <w:sz w:val="21"/>
          <w:szCs w:val="21"/>
          <w:lang w:val="zh-CN"/>
        </w:rPr>
        <w:t>甲方为值守人员提供必要值班用房及休息场所。</w:t>
      </w:r>
    </w:p>
    <w:p>
      <w:pPr>
        <w:pStyle w:val="4"/>
        <w:adjustRightInd w:val="0"/>
        <w:snapToGrid w:val="0"/>
        <w:spacing w:line="360" w:lineRule="auto"/>
        <w:ind w:firstLine="420" w:firstLineChars="200"/>
        <w:jc w:val="lef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1.5.2其他要求</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（1）服务响应时间</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日常工作期间：5*8小时电话受理，且7*24小时专职运维技术人员服务；</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重要时间节点间：7*24小时电话受理，且7*24小时专职运维技术人员服务；</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（2）故障处理时限</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1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①</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rPr>
        <w:t>内容</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运维技术人员根据现场的设备故障情况，通过现场或远程的方式进行处理，确保考试得到正常、可靠地保障。</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2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②</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rPr>
        <w:t>故障排除标准</w:t>
      </w:r>
    </w:p>
    <w:tbl>
      <w:tblPr>
        <w:tblStyle w:val="5"/>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402"/>
        <w:gridCol w:w="992"/>
        <w:gridCol w:w="1134"/>
        <w:gridCol w:w="1134"/>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故障级别</w:t>
            </w:r>
          </w:p>
        </w:tc>
        <w:tc>
          <w:tcPr>
            <w:tcW w:w="3402" w:type="dxa"/>
            <w:vAlign w:val="center"/>
          </w:tcPr>
          <w:p>
            <w:pPr>
              <w:adjustRightInd w:val="0"/>
              <w:snapToGrid w:val="0"/>
              <w:spacing w:line="360" w:lineRule="auto"/>
              <w:ind w:firstLine="200"/>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故障描述</w:t>
            </w:r>
          </w:p>
        </w:tc>
        <w:tc>
          <w:tcPr>
            <w:tcW w:w="992"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确认时间</w:t>
            </w:r>
          </w:p>
        </w:tc>
        <w:tc>
          <w:tcPr>
            <w:tcW w:w="1134"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响应时间</w:t>
            </w:r>
          </w:p>
        </w:tc>
        <w:tc>
          <w:tcPr>
            <w:tcW w:w="1134"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赶赴现场时间</w:t>
            </w:r>
          </w:p>
        </w:tc>
        <w:tc>
          <w:tcPr>
            <w:tcW w:w="993"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解决故障时间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w:t>
            </w:r>
          </w:p>
        </w:tc>
        <w:tc>
          <w:tcPr>
            <w:tcW w:w="3402" w:type="dxa"/>
            <w:vAlign w:val="center"/>
          </w:tcPr>
          <w:p>
            <w:pPr>
              <w:adjustRightInd w:val="0"/>
              <w:snapToGrid w:val="0"/>
              <w:spacing w:line="360" w:lineRule="auto"/>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设备在运行中出现瘫痪或服务中断，导致系统的基本功能不能实现或全面退化的故障；</w:t>
            </w:r>
          </w:p>
        </w:tc>
        <w:tc>
          <w:tcPr>
            <w:tcW w:w="992"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10分钟</w:t>
            </w:r>
          </w:p>
        </w:tc>
        <w:tc>
          <w:tcPr>
            <w:tcW w:w="1134"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10分钟</w:t>
            </w:r>
          </w:p>
        </w:tc>
        <w:tc>
          <w:tcPr>
            <w:tcW w:w="1134"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半小时内</w:t>
            </w:r>
          </w:p>
        </w:tc>
        <w:tc>
          <w:tcPr>
            <w:tcW w:w="993"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半小时内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2</w:t>
            </w:r>
          </w:p>
        </w:tc>
        <w:tc>
          <w:tcPr>
            <w:tcW w:w="3402" w:type="dxa"/>
            <w:vAlign w:val="center"/>
          </w:tcPr>
          <w:p>
            <w:pPr>
              <w:adjustRightInd w:val="0"/>
              <w:snapToGrid w:val="0"/>
              <w:spacing w:line="360" w:lineRule="auto"/>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设备在运行中出现的故障具有潜在的瘫痪或服务中断的危险，并可能导致设备的基本功能不能实现或全面退化；</w:t>
            </w:r>
          </w:p>
        </w:tc>
        <w:tc>
          <w:tcPr>
            <w:tcW w:w="992"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10分钟</w:t>
            </w:r>
          </w:p>
        </w:tc>
        <w:tc>
          <w:tcPr>
            <w:tcW w:w="1134"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10分钟</w:t>
            </w:r>
          </w:p>
        </w:tc>
        <w:tc>
          <w:tcPr>
            <w:tcW w:w="1134"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1小时内</w:t>
            </w:r>
          </w:p>
        </w:tc>
        <w:tc>
          <w:tcPr>
            <w:tcW w:w="993"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3</w:t>
            </w:r>
          </w:p>
        </w:tc>
        <w:tc>
          <w:tcPr>
            <w:tcW w:w="3402" w:type="dxa"/>
            <w:vAlign w:val="center"/>
          </w:tcPr>
          <w:p>
            <w:pPr>
              <w:adjustRightInd w:val="0"/>
              <w:snapToGrid w:val="0"/>
              <w:spacing w:line="360" w:lineRule="auto"/>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设备在运行中出现的直接影响服务、导致性能或服务部分退化的故障；</w:t>
            </w:r>
          </w:p>
        </w:tc>
        <w:tc>
          <w:tcPr>
            <w:tcW w:w="992"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10分钟</w:t>
            </w:r>
          </w:p>
        </w:tc>
        <w:tc>
          <w:tcPr>
            <w:tcW w:w="1134"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10分钟</w:t>
            </w:r>
          </w:p>
        </w:tc>
        <w:tc>
          <w:tcPr>
            <w:tcW w:w="1134"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1个半小时内</w:t>
            </w:r>
          </w:p>
        </w:tc>
        <w:tc>
          <w:tcPr>
            <w:tcW w:w="993"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1个小时内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4</w:t>
            </w:r>
          </w:p>
        </w:tc>
        <w:tc>
          <w:tcPr>
            <w:tcW w:w="3402" w:type="dxa"/>
            <w:vAlign w:val="center"/>
          </w:tcPr>
          <w:p>
            <w:pPr>
              <w:adjustRightInd w:val="0"/>
              <w:snapToGrid w:val="0"/>
              <w:spacing w:line="360" w:lineRule="auto"/>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设备在运行中出现的断续或间接地影响功能和服务的故障。</w:t>
            </w:r>
          </w:p>
        </w:tc>
        <w:tc>
          <w:tcPr>
            <w:tcW w:w="992"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10分钟</w:t>
            </w:r>
          </w:p>
        </w:tc>
        <w:tc>
          <w:tcPr>
            <w:tcW w:w="1134"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10分钟</w:t>
            </w:r>
          </w:p>
        </w:tc>
        <w:tc>
          <w:tcPr>
            <w:tcW w:w="1134"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2小时内</w:t>
            </w:r>
          </w:p>
        </w:tc>
        <w:tc>
          <w:tcPr>
            <w:tcW w:w="993" w:type="dxa"/>
            <w:vAlign w:val="center"/>
          </w:tcPr>
          <w:p>
            <w:pPr>
              <w:adjustRightInd w:val="0"/>
              <w:snapToGrid w:val="0"/>
              <w:spacing w:line="360" w:lineRule="auto"/>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2小时内</w:t>
            </w:r>
          </w:p>
        </w:tc>
      </w:tr>
    </w:tbl>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（3）现场驻守运维</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1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①</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rPr>
        <w:t xml:space="preserve"> 运维内容</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运维技术人员在重要时间节点期间，驻守考点或市招办现场值班应对紧急情况，保障考试顺利进行。</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2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②</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rPr>
        <w:t xml:space="preserve"> 运维工作报告</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在每次重要时间节点期间，随时向市招办汇报考试设备运行情况，并在重要时间节点任务结束后，发送工作报告，全面说明本次任务中设备的保障情况，以及下一步改进计划或措施。</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3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③</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rPr>
        <w:t>服务报告</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定期为武汉招生考试办公室提供考试期间巡检情况、故障发生及解决情况等的服务报告，并根据用户当前实际情况提出改进建议，运维方对所提交服务报告的内容及结论负责。服务报告分为以下几种：</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0"/>
        <w:gridCol w:w="3395"/>
        <w:gridCol w:w="2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61" w:type="pct"/>
            <w:shd w:val="clear" w:color="auto" w:fill="FFFFFF"/>
            <w:vAlign w:val="center"/>
          </w:tcPr>
          <w:p>
            <w:pPr>
              <w:adjustRightInd w:val="0"/>
              <w:snapToGrid w:val="0"/>
              <w:spacing w:line="360" w:lineRule="auto"/>
              <w:ind w:firstLine="200"/>
              <w:jc w:val="center"/>
              <w:rPr>
                <w:rFonts w:asciiTheme="minorEastAsia" w:hAnsiTheme="minorEastAsia" w:cstheme="minorEastAsia"/>
                <w:b/>
                <w:color w:val="000000"/>
                <w:sz w:val="21"/>
                <w:szCs w:val="21"/>
              </w:rPr>
            </w:pPr>
            <w:r>
              <w:rPr>
                <w:rFonts w:hint="eastAsia" w:asciiTheme="minorEastAsia" w:hAnsiTheme="minorEastAsia" w:cstheme="minorEastAsia"/>
                <w:b/>
                <w:color w:val="000000"/>
                <w:sz w:val="21"/>
                <w:szCs w:val="21"/>
              </w:rPr>
              <w:t>报告名称</w:t>
            </w:r>
          </w:p>
        </w:tc>
        <w:tc>
          <w:tcPr>
            <w:tcW w:w="1992" w:type="pct"/>
            <w:shd w:val="clear" w:color="auto" w:fill="FFFFFF"/>
            <w:vAlign w:val="center"/>
          </w:tcPr>
          <w:p>
            <w:pPr>
              <w:adjustRightInd w:val="0"/>
              <w:snapToGrid w:val="0"/>
              <w:spacing w:line="360" w:lineRule="auto"/>
              <w:ind w:firstLine="200"/>
              <w:jc w:val="center"/>
              <w:rPr>
                <w:rFonts w:asciiTheme="minorEastAsia" w:hAnsiTheme="minorEastAsia" w:cstheme="minorEastAsia"/>
                <w:b/>
                <w:color w:val="000000"/>
                <w:sz w:val="21"/>
                <w:szCs w:val="21"/>
              </w:rPr>
            </w:pPr>
            <w:r>
              <w:rPr>
                <w:rFonts w:hint="eastAsia" w:asciiTheme="minorEastAsia" w:hAnsiTheme="minorEastAsia" w:cstheme="minorEastAsia"/>
                <w:b/>
                <w:color w:val="000000"/>
                <w:sz w:val="21"/>
                <w:szCs w:val="21"/>
              </w:rPr>
              <w:t>交付内容</w:t>
            </w:r>
          </w:p>
        </w:tc>
        <w:tc>
          <w:tcPr>
            <w:tcW w:w="1647" w:type="pct"/>
            <w:shd w:val="clear" w:color="auto" w:fill="FFFFFF"/>
            <w:vAlign w:val="center"/>
          </w:tcPr>
          <w:p>
            <w:pPr>
              <w:adjustRightInd w:val="0"/>
              <w:snapToGrid w:val="0"/>
              <w:spacing w:line="360" w:lineRule="auto"/>
              <w:ind w:firstLine="200"/>
              <w:jc w:val="center"/>
              <w:rPr>
                <w:rFonts w:asciiTheme="minorEastAsia" w:hAnsiTheme="minorEastAsia" w:cstheme="minorEastAsia"/>
                <w:b/>
                <w:color w:val="000000"/>
                <w:sz w:val="21"/>
                <w:szCs w:val="21"/>
              </w:rPr>
            </w:pPr>
            <w:r>
              <w:rPr>
                <w:rFonts w:hint="eastAsia" w:asciiTheme="minorEastAsia" w:hAnsiTheme="minorEastAsia" w:cstheme="minorEastAsia"/>
                <w:b/>
                <w:color w:val="000000"/>
                <w:sz w:val="21"/>
                <w:szCs w:val="21"/>
              </w:rPr>
              <w:t>服务周期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61" w:type="pct"/>
            <w:vAlign w:val="center"/>
          </w:tcPr>
          <w:p>
            <w:pPr>
              <w:adjustRightInd w:val="0"/>
              <w:snapToGrid w:val="0"/>
              <w:spacing w:line="360" w:lineRule="auto"/>
              <w:ind w:firstLine="200"/>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巡检报告</w:t>
            </w:r>
          </w:p>
        </w:tc>
        <w:tc>
          <w:tcPr>
            <w:tcW w:w="1992" w:type="pct"/>
            <w:vAlign w:val="center"/>
          </w:tcPr>
          <w:p>
            <w:pPr>
              <w:adjustRightInd w:val="0"/>
              <w:snapToGrid w:val="0"/>
              <w:spacing w:line="360" w:lineRule="auto"/>
              <w:ind w:firstLine="200"/>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巡检内容</w:t>
            </w:r>
          </w:p>
        </w:tc>
        <w:tc>
          <w:tcPr>
            <w:tcW w:w="1647" w:type="pct"/>
            <w:vAlign w:val="center"/>
          </w:tcPr>
          <w:p>
            <w:pPr>
              <w:adjustRightInd w:val="0"/>
              <w:snapToGrid w:val="0"/>
              <w:spacing w:line="360" w:lineRule="auto"/>
              <w:ind w:firstLine="200"/>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按考试周期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61" w:type="pct"/>
            <w:vAlign w:val="center"/>
          </w:tcPr>
          <w:p>
            <w:pPr>
              <w:adjustRightInd w:val="0"/>
              <w:snapToGrid w:val="0"/>
              <w:spacing w:line="360" w:lineRule="auto"/>
              <w:ind w:firstLine="200"/>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考试工作情况汇报</w:t>
            </w:r>
          </w:p>
        </w:tc>
        <w:tc>
          <w:tcPr>
            <w:tcW w:w="1992" w:type="pct"/>
            <w:vAlign w:val="center"/>
          </w:tcPr>
          <w:p>
            <w:pPr>
              <w:adjustRightInd w:val="0"/>
              <w:snapToGrid w:val="0"/>
              <w:spacing w:line="360" w:lineRule="auto"/>
              <w:ind w:firstLine="200"/>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运维服务报告</w:t>
            </w:r>
          </w:p>
        </w:tc>
        <w:tc>
          <w:tcPr>
            <w:tcW w:w="1647" w:type="pct"/>
            <w:vAlign w:val="center"/>
          </w:tcPr>
          <w:p>
            <w:pPr>
              <w:adjustRightInd w:val="0"/>
              <w:snapToGrid w:val="0"/>
              <w:spacing w:line="360" w:lineRule="auto"/>
              <w:ind w:firstLine="200"/>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按考试周期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61" w:type="pct"/>
            <w:vAlign w:val="center"/>
          </w:tcPr>
          <w:p>
            <w:pPr>
              <w:adjustRightInd w:val="0"/>
              <w:snapToGrid w:val="0"/>
              <w:spacing w:line="360" w:lineRule="auto"/>
              <w:ind w:firstLine="200"/>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重大事件汇报</w:t>
            </w:r>
          </w:p>
        </w:tc>
        <w:tc>
          <w:tcPr>
            <w:tcW w:w="1992" w:type="pct"/>
            <w:vAlign w:val="center"/>
          </w:tcPr>
          <w:p>
            <w:pPr>
              <w:adjustRightInd w:val="0"/>
              <w:snapToGrid w:val="0"/>
              <w:spacing w:line="360" w:lineRule="auto"/>
              <w:ind w:firstLine="200"/>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重大事件服务报告</w:t>
            </w:r>
          </w:p>
        </w:tc>
        <w:tc>
          <w:tcPr>
            <w:tcW w:w="1647" w:type="pct"/>
            <w:vAlign w:val="center"/>
          </w:tcPr>
          <w:p>
            <w:pPr>
              <w:adjustRightInd w:val="0"/>
              <w:snapToGrid w:val="0"/>
              <w:spacing w:line="360" w:lineRule="auto"/>
              <w:ind w:firstLine="200"/>
              <w:jc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按次</w:t>
            </w:r>
          </w:p>
        </w:tc>
      </w:tr>
    </w:tbl>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运维标准：</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原则上为重要时间节点结束后七个工作日内提交服务报告。遇到重大系统运行故障须在重要时间节点任务结束三个工作日内提交服务报告。</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（4） 核心数据备份服务</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1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①</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rPr>
        <w:t xml:space="preserve"> 内容</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为进一步保证在考试业务中占有重要地位的考试核心数据完整性和可靠性，运维技术人员必须对设备核心数据库和相关配置文件建立备份机制，当出现设备数据缺失时可利用这些核心数据方便快捷地恢复。</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2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②</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rPr>
        <w:t xml:space="preserve"> 标准</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备份操作及备份地点在考试办公室或与武汉市招考办协商一致的情况下进行；配合相关工作负责人对还原文件进行有效处理。</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（5） 软件升级</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基于保持设备的先进性、稳定性原则，同时根据考试和设备运行的实际情况，定期为核心设备的软件及驱动提供更新，并且就新升级的功能对武汉市招考办相关人员进行操作培训。服务标准以该系统实际情况为准。</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（6）对检测出的漏洞进行修复</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对武汉市招考办的上级信息安全管理部门和所委托的信息安全测评部门等第三方机构检测出的漏洞结果提出解决方案，并协助相关业务系统的开发人员，履行修复和完善系统的责任。</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（7）服务行为规范</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1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①</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rPr>
        <w:t>服从采购人管理部门的管理，遵守单位的各项规章制度，严格按照单位相应的规章制度执行。</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2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②</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rPr>
        <w:t>出现疑难技术、业务问题和重大紧急情况时，及时向采购人管理部门报告。</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3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③</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rPr>
        <w:t>现场技术支持时要穿着得体，谈吐文明，举止庄重。接听电话时要文明礼貌，语气和善。</w:t>
      </w:r>
    </w:p>
    <w:p>
      <w:pPr>
        <w:adjustRightInd w:val="0"/>
        <w:snapToGrid w:val="0"/>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fldChar w:fldCharType="begin"/>
      </w:r>
      <w:r>
        <w:rPr>
          <w:rFonts w:hint="eastAsia" w:asciiTheme="minorEastAsia" w:hAnsiTheme="minorEastAsia" w:cstheme="minorEastAsia"/>
          <w:color w:val="000000"/>
          <w:sz w:val="21"/>
          <w:szCs w:val="21"/>
        </w:rPr>
        <w:instrText xml:space="preserve"> = 4 \* GB3 </w:instrText>
      </w:r>
      <w:r>
        <w:rPr>
          <w:rFonts w:hint="eastAsia" w:asciiTheme="minorEastAsia" w:hAnsiTheme="minorEastAsia" w:cstheme="minorEastAsia"/>
          <w:color w:val="000000"/>
          <w:sz w:val="21"/>
          <w:szCs w:val="21"/>
        </w:rPr>
        <w:fldChar w:fldCharType="separate"/>
      </w:r>
      <w:r>
        <w:rPr>
          <w:rFonts w:hint="eastAsia" w:asciiTheme="minorEastAsia" w:hAnsiTheme="minorEastAsia" w:cstheme="minorEastAsia"/>
          <w:color w:val="000000"/>
          <w:sz w:val="21"/>
          <w:szCs w:val="21"/>
        </w:rPr>
        <w:t>④</w:t>
      </w:r>
      <w:r>
        <w:rPr>
          <w:rFonts w:hint="eastAsia" w:asciiTheme="minorEastAsia" w:hAnsiTheme="minorEastAsia" w:cstheme="minorEastAsia"/>
          <w:color w:val="000000"/>
          <w:sz w:val="21"/>
          <w:szCs w:val="21"/>
        </w:rPr>
        <w:fldChar w:fldCharType="end"/>
      </w:r>
      <w:r>
        <w:rPr>
          <w:rFonts w:hint="eastAsia" w:asciiTheme="minorEastAsia" w:hAnsiTheme="minorEastAsia" w:cstheme="minorEastAsia"/>
          <w:color w:val="000000"/>
          <w:sz w:val="21"/>
          <w:szCs w:val="21"/>
        </w:rPr>
        <w:t>遵守保密原则。对用户的网络、主机、系统软件、应用软件等的密码、核心参数、业务数据等负有保密责任，不得随意复制和传播。</w:t>
      </w:r>
    </w:p>
    <w:p>
      <w:pPr>
        <w:pStyle w:val="3"/>
        <w:keepNext/>
        <w:keepLines/>
        <w:widowControl w:val="0"/>
        <w:pBdr>
          <w:bottom w:val="none" w:color="auto" w:sz="0" w:space="0"/>
        </w:pBdr>
        <w:adjustRightInd w:val="0"/>
        <w:snapToGrid w:val="0"/>
        <w:spacing w:line="360" w:lineRule="auto"/>
        <w:ind w:left="420"/>
        <w:jc w:val="both"/>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1.6服务考核管理</w:t>
      </w:r>
    </w:p>
    <w:p>
      <w:pPr>
        <w:adjustRightInd w:val="0"/>
        <w:snapToGrid w:val="0"/>
        <w:spacing w:line="360" w:lineRule="auto"/>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为规范运维服务管理，保证服务质量，采购人将对中标单位实行日常百分制考核，考核情况将作为衡量服务质量的依据。中标单位必须无条件服从和遵守此考核办法，考核办法由采购人负责解释，待中标单位进场后，采购人管理部门根据实际情况进一步完善实施细则，具体办法如下。</w:t>
      </w:r>
    </w:p>
    <w:p>
      <w:pPr>
        <w:adjustRightInd w:val="0"/>
        <w:snapToGrid w:val="0"/>
        <w:spacing w:line="360" w:lineRule="auto"/>
        <w:ind w:firstLine="421" w:firstLineChars="200"/>
        <w:rPr>
          <w:rFonts w:asciiTheme="minorEastAsia" w:hAnsiTheme="minorEastAsia" w:cstheme="minorEastAsia"/>
          <w:b/>
          <w:sz w:val="21"/>
          <w:szCs w:val="21"/>
        </w:rPr>
      </w:pPr>
      <w:r>
        <w:rPr>
          <w:rFonts w:hint="eastAsia" w:asciiTheme="minorEastAsia" w:hAnsiTheme="minorEastAsia" w:cstheme="minorEastAsia"/>
          <w:b/>
          <w:color w:val="FF0000"/>
          <w:sz w:val="21"/>
          <w:szCs w:val="21"/>
        </w:rPr>
        <w:t>武汉市招生考试办公室机房运维外包服务采购人考核管理细则：</w:t>
      </w:r>
    </w:p>
    <w:p>
      <w:pPr>
        <w:adjustRightInd w:val="0"/>
        <w:snapToGrid w:val="0"/>
        <w:spacing w:line="360" w:lineRule="auto"/>
        <w:ind w:firstLine="421" w:firstLineChars="200"/>
        <w:rPr>
          <w:rFonts w:asciiTheme="minorEastAsia" w:hAnsiTheme="minorEastAsia" w:cstheme="minorEastAsia"/>
          <w:sz w:val="21"/>
          <w:szCs w:val="21"/>
        </w:rPr>
      </w:pPr>
      <w:r>
        <w:rPr>
          <w:rFonts w:hint="eastAsia" w:asciiTheme="minorEastAsia" w:hAnsiTheme="minorEastAsia" w:cstheme="minorEastAsia"/>
          <w:b/>
          <w:sz w:val="21"/>
          <w:szCs w:val="21"/>
        </w:rPr>
        <w:t>第一条</w:t>
      </w:r>
      <w:r>
        <w:rPr>
          <w:rFonts w:hint="eastAsia" w:asciiTheme="minorEastAsia" w:hAnsiTheme="minorEastAsia" w:cstheme="minorEastAsia"/>
          <w:sz w:val="21"/>
          <w:szCs w:val="21"/>
        </w:rPr>
        <w:t xml:space="preserve">  为了规范对运维服务成交供应商的管理，保证服务质量，结合采购人的实际情况，制定本考核办法。</w:t>
      </w:r>
    </w:p>
    <w:p>
      <w:pPr>
        <w:adjustRightInd w:val="0"/>
        <w:snapToGrid w:val="0"/>
        <w:spacing w:line="360" w:lineRule="auto"/>
        <w:ind w:firstLine="421" w:firstLineChars="200"/>
        <w:rPr>
          <w:rFonts w:asciiTheme="minorEastAsia" w:hAnsiTheme="minorEastAsia" w:cstheme="minorEastAsia"/>
          <w:sz w:val="21"/>
          <w:szCs w:val="21"/>
        </w:rPr>
      </w:pPr>
      <w:r>
        <w:rPr>
          <w:rFonts w:hint="eastAsia" w:asciiTheme="minorEastAsia" w:hAnsiTheme="minorEastAsia" w:cstheme="minorEastAsia"/>
          <w:b/>
          <w:sz w:val="21"/>
          <w:szCs w:val="21"/>
        </w:rPr>
        <w:t xml:space="preserve">第二条  </w:t>
      </w:r>
      <w:r>
        <w:rPr>
          <w:rFonts w:hint="eastAsia" w:asciiTheme="minorEastAsia" w:hAnsiTheme="minorEastAsia" w:cstheme="minorEastAsia"/>
          <w:sz w:val="21"/>
          <w:szCs w:val="21"/>
        </w:rPr>
        <w:t>对成交供应商实行百分制考核，评分结果作为衡量服务质量的依据。考核等级分为 “非常满意”、“满意”、“一般”、“不满意”四档，对应的分数为“100-95分”、 “94-80分”、“79-60”分、“60分以下”。如该月考核为“非常满意”或“满意”，不扣服务费；如该月考核为“一般”，则每分按300元的标准在服务费中扣除；如月考核为“不满意”的，在考核为一般总分为20分扣除服务费7,000元的基础上，每分按500元的标准在服务费中继续扣除，如累计三个月考核为不满意的，采购人有权提前终止外包服务合同，由此产生的一切损失和费用由成交供应商承担。</w:t>
      </w:r>
    </w:p>
    <w:p>
      <w:pPr>
        <w:adjustRightInd w:val="0"/>
        <w:snapToGrid w:val="0"/>
        <w:spacing w:line="360" w:lineRule="auto"/>
        <w:ind w:firstLine="421" w:firstLineChars="200"/>
        <w:rPr>
          <w:rFonts w:asciiTheme="minorEastAsia" w:hAnsiTheme="minorEastAsia" w:cstheme="minorEastAsia"/>
          <w:sz w:val="21"/>
          <w:szCs w:val="21"/>
        </w:rPr>
      </w:pPr>
      <w:r>
        <w:rPr>
          <w:rFonts w:hint="eastAsia" w:asciiTheme="minorEastAsia" w:hAnsiTheme="minorEastAsia" w:cstheme="minorEastAsia"/>
          <w:b/>
          <w:sz w:val="21"/>
          <w:szCs w:val="21"/>
        </w:rPr>
        <w:t xml:space="preserve">第三条  </w:t>
      </w:r>
      <w:r>
        <w:rPr>
          <w:rFonts w:hint="eastAsia" w:asciiTheme="minorEastAsia" w:hAnsiTheme="minorEastAsia" w:cstheme="minorEastAsia"/>
          <w:sz w:val="21"/>
          <w:szCs w:val="21"/>
        </w:rPr>
        <w:t>按季度进行考核，下一季度首周为上季度的考核总评时间，对上季度的考核情况进行统计，运维费用与考核情况挂钩。</w:t>
      </w:r>
    </w:p>
    <w:p>
      <w:pPr>
        <w:adjustRightInd w:val="0"/>
        <w:snapToGrid w:val="0"/>
        <w:spacing w:line="360" w:lineRule="auto"/>
        <w:ind w:firstLine="421" w:firstLineChars="200"/>
        <w:rPr>
          <w:rFonts w:asciiTheme="minorEastAsia" w:hAnsiTheme="minorEastAsia" w:cstheme="minorEastAsia"/>
          <w:sz w:val="21"/>
          <w:szCs w:val="21"/>
        </w:rPr>
      </w:pPr>
      <w:r>
        <w:rPr>
          <w:rFonts w:hint="eastAsia" w:asciiTheme="minorEastAsia" w:hAnsiTheme="minorEastAsia" w:cstheme="minorEastAsia"/>
          <w:b/>
          <w:sz w:val="21"/>
          <w:szCs w:val="21"/>
        </w:rPr>
        <w:t xml:space="preserve">第四条  </w:t>
      </w:r>
      <w:r>
        <w:rPr>
          <w:rFonts w:hint="eastAsia" w:asciiTheme="minorEastAsia" w:hAnsiTheme="minorEastAsia" w:cstheme="minorEastAsia"/>
          <w:sz w:val="21"/>
          <w:szCs w:val="21"/>
        </w:rPr>
        <w:t>成交供应商必须无条件服从采购人的管理，完成采购人管理部门交办的工作。对于不服从工作安排的，每人/次扣5分，如成交供应商多次不服从管理，采购人有权提前终止外包服务合同，由此产生的一切损失和费用由成交供应商承担。</w:t>
      </w:r>
    </w:p>
    <w:p>
      <w:pPr>
        <w:adjustRightInd w:val="0"/>
        <w:snapToGrid w:val="0"/>
        <w:spacing w:line="360" w:lineRule="auto"/>
        <w:ind w:firstLine="421" w:firstLineChars="200"/>
        <w:rPr>
          <w:rFonts w:asciiTheme="minorEastAsia" w:hAnsiTheme="minorEastAsia" w:cstheme="minorEastAsia"/>
          <w:sz w:val="21"/>
          <w:szCs w:val="21"/>
        </w:rPr>
      </w:pPr>
      <w:r>
        <w:rPr>
          <w:rFonts w:hint="eastAsia" w:asciiTheme="minorEastAsia" w:hAnsiTheme="minorEastAsia" w:cstheme="minorEastAsia"/>
          <w:b/>
          <w:sz w:val="21"/>
          <w:szCs w:val="21"/>
        </w:rPr>
        <w:t xml:space="preserve">第五条  </w:t>
      </w:r>
      <w:r>
        <w:rPr>
          <w:rFonts w:hint="eastAsia" w:asciiTheme="minorEastAsia" w:hAnsiTheme="minorEastAsia" w:cstheme="minorEastAsia"/>
          <w:sz w:val="21"/>
          <w:szCs w:val="21"/>
        </w:rPr>
        <w:t>合同签定后，成交供应商派出的驻场工程师和值守人员不满足招标文件资质要求的，采购人有权提前终止外包服务合同，由此产生的一切损失和费用由成交供应商承担；成交供应商派出的驻场工程师未通知市招考办擅自更换的，每人/次扣5分。</w:t>
      </w:r>
    </w:p>
    <w:p>
      <w:pPr>
        <w:adjustRightInd w:val="0"/>
        <w:snapToGrid w:val="0"/>
        <w:spacing w:line="360" w:lineRule="auto"/>
        <w:ind w:firstLine="421" w:firstLineChars="200"/>
        <w:rPr>
          <w:rFonts w:asciiTheme="minorEastAsia" w:hAnsiTheme="minorEastAsia" w:cstheme="minorEastAsia"/>
          <w:sz w:val="21"/>
          <w:szCs w:val="21"/>
        </w:rPr>
      </w:pPr>
      <w:r>
        <w:rPr>
          <w:rFonts w:hint="eastAsia" w:asciiTheme="minorEastAsia" w:hAnsiTheme="minorEastAsia" w:cstheme="minorEastAsia"/>
          <w:b/>
          <w:sz w:val="21"/>
          <w:szCs w:val="21"/>
        </w:rPr>
        <w:t xml:space="preserve">第六条  </w:t>
      </w:r>
      <w:r>
        <w:rPr>
          <w:rFonts w:hint="eastAsia" w:asciiTheme="minorEastAsia" w:hAnsiTheme="minorEastAsia" w:cstheme="minorEastAsia"/>
          <w:sz w:val="21"/>
          <w:szCs w:val="21"/>
        </w:rPr>
        <w:t>驻场工程师未按招标文件要求在岗的，每人/次扣2分；远程服务工程师未在规定时间内提供服务响应的，每人/次扣2分。</w:t>
      </w:r>
    </w:p>
    <w:p>
      <w:pPr>
        <w:adjustRightInd w:val="0"/>
        <w:snapToGrid w:val="0"/>
        <w:spacing w:line="360" w:lineRule="auto"/>
        <w:ind w:firstLine="421" w:firstLineChars="200"/>
        <w:rPr>
          <w:rFonts w:asciiTheme="minorEastAsia" w:hAnsiTheme="minorEastAsia" w:cstheme="minorEastAsia"/>
          <w:b/>
          <w:sz w:val="21"/>
          <w:szCs w:val="21"/>
        </w:rPr>
      </w:pPr>
      <w:r>
        <w:rPr>
          <w:rFonts w:hint="eastAsia" w:asciiTheme="minorEastAsia" w:hAnsiTheme="minorEastAsia" w:cstheme="minorEastAsia"/>
          <w:b/>
          <w:sz w:val="21"/>
          <w:szCs w:val="21"/>
        </w:rPr>
        <w:t xml:space="preserve">第七条  </w:t>
      </w:r>
      <w:r>
        <w:rPr>
          <w:rFonts w:hint="eastAsia" w:asciiTheme="minorEastAsia" w:hAnsiTheme="minorEastAsia" w:cstheme="minorEastAsia"/>
          <w:sz w:val="21"/>
          <w:szCs w:val="21"/>
        </w:rPr>
        <w:t>当发生故障事件时（故障等级参考招标文件），响应人员和响应时间未达到招标文件要求：重大故障和紧急故障扣10分，一般故障事件扣5分。由于成交供应商的失误造成重大损失的，成交供应商承担相应责任，市招考办有权提前终止外包服务合同，由此产生的一切损失和费用由成交供应商承担。</w:t>
      </w:r>
    </w:p>
    <w:p>
      <w:pPr>
        <w:adjustRightInd w:val="0"/>
        <w:snapToGrid w:val="0"/>
        <w:spacing w:line="360" w:lineRule="auto"/>
        <w:ind w:firstLine="421" w:firstLineChars="200"/>
        <w:rPr>
          <w:rFonts w:asciiTheme="minorEastAsia" w:hAnsiTheme="minorEastAsia" w:cstheme="minorEastAsia"/>
          <w:sz w:val="21"/>
          <w:szCs w:val="21"/>
        </w:rPr>
      </w:pPr>
      <w:r>
        <w:rPr>
          <w:rFonts w:hint="eastAsia" w:asciiTheme="minorEastAsia" w:hAnsiTheme="minorEastAsia" w:cstheme="minorEastAsia"/>
          <w:b/>
          <w:sz w:val="21"/>
          <w:szCs w:val="21"/>
        </w:rPr>
        <w:t xml:space="preserve">第八条  </w:t>
      </w:r>
      <w:r>
        <w:rPr>
          <w:rFonts w:hint="eastAsia" w:asciiTheme="minorEastAsia" w:hAnsiTheme="minorEastAsia" w:cstheme="minorEastAsia"/>
          <w:sz w:val="21"/>
          <w:szCs w:val="21"/>
        </w:rPr>
        <w:t>运维服务完成后，用户评价不满意或抽查结果为不满意的，每人/次扣1分。接到用户投诉，经核实属驻场工程师服务态度不好或有过错责任的，视情节每人/次扣1-3分；造成用户损失的，扣3-5分。</w:t>
      </w:r>
    </w:p>
    <w:p>
      <w:pPr>
        <w:adjustRightInd w:val="0"/>
        <w:snapToGrid w:val="0"/>
        <w:spacing w:line="360" w:lineRule="auto"/>
        <w:ind w:firstLine="421" w:firstLineChars="200"/>
        <w:rPr>
          <w:rFonts w:asciiTheme="minorEastAsia" w:hAnsiTheme="minorEastAsia" w:cstheme="minorEastAsia"/>
          <w:sz w:val="21"/>
          <w:szCs w:val="21"/>
        </w:rPr>
      </w:pPr>
      <w:r>
        <w:rPr>
          <w:rFonts w:hint="eastAsia" w:asciiTheme="minorEastAsia" w:hAnsiTheme="minorEastAsia" w:cstheme="minorEastAsia"/>
          <w:b/>
          <w:sz w:val="21"/>
          <w:szCs w:val="21"/>
        </w:rPr>
        <w:t xml:space="preserve">第十条  </w:t>
      </w:r>
      <w:r>
        <w:rPr>
          <w:rFonts w:hint="eastAsia" w:asciiTheme="minorEastAsia" w:hAnsiTheme="minorEastAsia" w:cstheme="minorEastAsia"/>
          <w:sz w:val="21"/>
          <w:szCs w:val="21"/>
        </w:rPr>
        <w:t>驻场工程师未按规定流程检修设备的，每次扣1分；造成损失的，由成交供应商承担责任。</w:t>
      </w:r>
    </w:p>
    <w:p>
      <w:pPr>
        <w:adjustRightInd w:val="0"/>
        <w:snapToGrid w:val="0"/>
        <w:spacing w:line="360" w:lineRule="auto"/>
        <w:ind w:firstLine="421" w:firstLineChars="200"/>
        <w:rPr>
          <w:rFonts w:asciiTheme="minorEastAsia" w:hAnsiTheme="minorEastAsia" w:cstheme="minorEastAsia"/>
          <w:sz w:val="21"/>
          <w:szCs w:val="21"/>
        </w:rPr>
      </w:pPr>
      <w:r>
        <w:rPr>
          <w:rFonts w:hint="eastAsia" w:asciiTheme="minorEastAsia" w:hAnsiTheme="minorEastAsia" w:cstheme="minorEastAsia"/>
          <w:b/>
          <w:sz w:val="21"/>
          <w:szCs w:val="21"/>
        </w:rPr>
        <w:t>第十一条</w:t>
      </w:r>
      <w:r>
        <w:rPr>
          <w:rFonts w:hint="eastAsia" w:asciiTheme="minorEastAsia" w:hAnsiTheme="minorEastAsia" w:cstheme="minorEastAsia"/>
          <w:sz w:val="21"/>
          <w:szCs w:val="21"/>
        </w:rPr>
        <w:t xml:space="preserve">  当季考核分数不计入其它季的考核成绩第三档，每季考核分数将作为年底考评的依据。</w:t>
      </w:r>
    </w:p>
    <w:p>
      <w:pPr>
        <w:adjustRightInd w:val="0"/>
        <w:snapToGrid w:val="0"/>
        <w:spacing w:line="360" w:lineRule="auto"/>
        <w:ind w:firstLine="421" w:firstLineChars="200"/>
        <w:rPr>
          <w:rFonts w:asciiTheme="minorEastAsia" w:hAnsiTheme="minorEastAsia" w:cstheme="minorEastAsia"/>
          <w:sz w:val="21"/>
          <w:szCs w:val="21"/>
        </w:rPr>
      </w:pPr>
      <w:r>
        <w:rPr>
          <w:rFonts w:hint="eastAsia" w:asciiTheme="minorEastAsia" w:hAnsiTheme="minorEastAsia" w:cstheme="minorEastAsia"/>
          <w:b/>
          <w:sz w:val="21"/>
          <w:szCs w:val="21"/>
        </w:rPr>
        <w:t>第十三条</w:t>
      </w:r>
      <w:r>
        <w:rPr>
          <w:rFonts w:hint="eastAsia" w:asciiTheme="minorEastAsia" w:hAnsiTheme="minorEastAsia" w:cstheme="minorEastAsia"/>
          <w:sz w:val="21"/>
          <w:szCs w:val="21"/>
        </w:rPr>
        <w:t xml:space="preserve">  待成交供应商进场后，采购人及采购人聘请专业机构可根据实际情况与成交供应商协商进一步完善本考核办法的实施细则。</w:t>
      </w:r>
    </w:p>
    <w:p>
      <w:pPr>
        <w:adjustRightInd w:val="0"/>
        <w:snapToGrid w:val="0"/>
        <w:spacing w:line="360" w:lineRule="auto"/>
        <w:ind w:firstLine="421" w:firstLineChars="200"/>
        <w:rPr>
          <w:rFonts w:asciiTheme="minorEastAsia" w:hAnsiTheme="minorEastAsia" w:cstheme="minorEastAsia"/>
          <w:sz w:val="21"/>
          <w:szCs w:val="21"/>
        </w:rPr>
      </w:pPr>
      <w:r>
        <w:rPr>
          <w:rFonts w:hint="eastAsia" w:asciiTheme="minorEastAsia" w:hAnsiTheme="minorEastAsia" w:cstheme="minorEastAsia"/>
          <w:b/>
          <w:sz w:val="21"/>
          <w:szCs w:val="21"/>
        </w:rPr>
        <w:t>第十四条</w:t>
      </w:r>
      <w:r>
        <w:rPr>
          <w:rFonts w:hint="eastAsia" w:asciiTheme="minorEastAsia" w:hAnsiTheme="minorEastAsia" w:cstheme="minorEastAsia"/>
          <w:sz w:val="21"/>
          <w:szCs w:val="21"/>
        </w:rPr>
        <w:t xml:space="preserve"> 成交的供应商应建立结合本运维服务要求，配套相关有效的管理制度和执行管理体系满足采购人的服务要求。  </w:t>
      </w:r>
    </w:p>
    <w:p>
      <w:pPr>
        <w:adjustRightInd w:val="0"/>
        <w:snapToGrid w:val="0"/>
        <w:spacing w:line="360" w:lineRule="auto"/>
        <w:ind w:firstLine="421" w:firstLineChars="200"/>
        <w:rPr>
          <w:rFonts w:asciiTheme="minorEastAsia" w:hAnsiTheme="minorEastAsia" w:cstheme="minorEastAsia"/>
          <w:sz w:val="21"/>
          <w:szCs w:val="21"/>
        </w:rPr>
      </w:pPr>
      <w:r>
        <w:rPr>
          <w:rFonts w:hint="eastAsia" w:asciiTheme="minorEastAsia" w:hAnsiTheme="minorEastAsia" w:cstheme="minorEastAsia"/>
          <w:b/>
          <w:sz w:val="21"/>
          <w:szCs w:val="21"/>
        </w:rPr>
        <w:t>第十五条</w:t>
      </w:r>
      <w:r>
        <w:rPr>
          <w:rFonts w:hint="eastAsia" w:asciiTheme="minorEastAsia" w:hAnsiTheme="minorEastAsia" w:cstheme="minorEastAsia"/>
          <w:sz w:val="21"/>
          <w:szCs w:val="21"/>
        </w:rPr>
        <w:t xml:space="preserve"> 本考核办法的解释权归采购人所有。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lZmFhODM0NjkyNWFkMmFkNGJkMGM0ZmNlNjRjYmQifQ=="/>
  </w:docVars>
  <w:rsids>
    <w:rsidRoot w:val="47970F09"/>
    <w:rsid w:val="04F22620"/>
    <w:rsid w:val="1BF3A651"/>
    <w:rsid w:val="2DF10BB0"/>
    <w:rsid w:val="47970F09"/>
    <w:rsid w:val="69846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widowControl/>
      <w:spacing w:before="400" w:after="200" w:line="252" w:lineRule="auto"/>
      <w:jc w:val="left"/>
      <w:outlineLvl w:val="0"/>
    </w:pPr>
    <w:rPr>
      <w:rFonts w:ascii="Cambria" w:hAnsi="Cambria" w:eastAsia="宋体" w:cs="Times New Roman"/>
      <w:caps/>
      <w:color w:val="632423"/>
      <w:spacing w:val="20"/>
      <w:kern w:val="0"/>
      <w:sz w:val="28"/>
      <w:szCs w:val="28"/>
    </w:rPr>
  </w:style>
  <w:style w:type="paragraph" w:styleId="3">
    <w:name w:val="heading 2"/>
    <w:basedOn w:val="1"/>
    <w:next w:val="1"/>
    <w:qFormat/>
    <w:uiPriority w:val="0"/>
    <w:pPr>
      <w:widowControl/>
      <w:pBdr>
        <w:bottom w:val="single" w:color="622423" w:sz="4" w:space="1"/>
      </w:pBdr>
      <w:spacing w:before="400" w:after="200" w:line="252" w:lineRule="auto"/>
      <w:jc w:val="center"/>
      <w:outlineLvl w:val="1"/>
    </w:pPr>
    <w:rPr>
      <w:rFonts w:ascii="Cambria" w:hAnsi="Cambria" w:eastAsia="宋体" w:cs="Times New Roman"/>
      <w:caps/>
      <w:color w:val="632423"/>
      <w:spacing w:val="15"/>
      <w:kern w:val="0"/>
      <w:sz w:val="24"/>
      <w:szCs w:val="24"/>
    </w:rPr>
  </w:style>
  <w:style w:type="paragraph" w:styleId="4">
    <w:name w:val="heading 3"/>
    <w:basedOn w:val="1"/>
    <w:next w:val="1"/>
    <w:qFormat/>
    <w:uiPriority w:val="0"/>
    <w:pPr>
      <w:widowControl/>
      <w:pBdr>
        <w:top w:val="dotted" w:color="622423" w:sz="4" w:space="1"/>
        <w:bottom w:val="dotted" w:color="622423" w:sz="4" w:space="1"/>
      </w:pBdr>
      <w:spacing w:before="300" w:after="200" w:line="252" w:lineRule="auto"/>
      <w:jc w:val="center"/>
      <w:outlineLvl w:val="2"/>
    </w:pPr>
    <w:rPr>
      <w:rFonts w:ascii="Cambria" w:hAnsi="Cambria" w:eastAsia="宋体" w:cs="Times New Roman"/>
      <w:caps/>
      <w:color w:val="622423"/>
      <w:kern w:val="0"/>
      <w:sz w:val="24"/>
      <w:szCs w:val="2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00正文"/>
    <w:basedOn w:val="1"/>
    <w:qFormat/>
    <w:uiPriority w:val="0"/>
    <w:pPr>
      <w:spacing w:line="300" w:lineRule="auto"/>
      <w:ind w:firstLine="412" w:firstLineChars="196"/>
      <w:jc w:val="left"/>
    </w:pPr>
    <w:rPr>
      <w:rFonts w:ascii="宋体" w:hAnsi="宋体" w:eastAsia="宋体" w:cs="宋体"/>
      <w:color w:val="000000"/>
      <w:sz w:val="24"/>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6176</Words>
  <Characters>6332</Characters>
  <Lines>0</Lines>
  <Paragraphs>0</Paragraphs>
  <TotalTime>4</TotalTime>
  <ScaleCrop>false</ScaleCrop>
  <LinksUpToDate>false</LinksUpToDate>
  <CharactersWithSpaces>6388</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2024-04-17T08:58:00Z</dcterms:created>
  <dc:creator>63164</dc:creator>
  <cp:lastModifiedBy>lan</cp:lastModifiedBy>
  <cp:lastPrinted>2026-03-16T08:55:05Z</cp:lastPrinted>
  <dcterms:modified xsi:type="dcterms:W3CDTF">2026-03-16T08:56:35Z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05B9DDF015D54BC3A94D92559E559009_11</vt:lpwstr>
  </property>
  <property fmtid="{D5CDD505-2E9C-101B-9397-08002B2CF9AE}" pid="4" name="KSOTemplateDocerSaveRecord">
    <vt:lpwstr>eyJoZGlkIjoiMzdlZmFhODM0NjkyNWFkMmFkNGJkMGM0ZmNlNjRjYmQiLCJ1c2VySWQiOiI1OTMyMjk4ODcifQ==</vt:lpwstr>
  </property>
</Properties>
</file>