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38C9E0">
      <w:pPr>
        <w:spacing w:line="400" w:lineRule="exact"/>
        <w:jc w:val="center"/>
        <w:rPr>
          <w:rFonts w:hint="eastAsia" w:ascii="黑体" w:hAnsi="黑体" w:eastAsia="黑体" w:cs="黑体"/>
          <w:sz w:val="36"/>
          <w:szCs w:val="36"/>
        </w:rPr>
      </w:pPr>
      <w:bookmarkStart w:id="0" w:name="_Toc517213777"/>
      <w:r>
        <w:rPr>
          <w:rFonts w:hint="eastAsia" w:ascii="黑体" w:hAnsi="黑体" w:eastAsia="黑体" w:cs="黑体"/>
          <w:sz w:val="36"/>
          <w:szCs w:val="36"/>
        </w:rPr>
        <w:t>血站管理信息系统</w:t>
      </w:r>
      <w:bookmarkEnd w:id="0"/>
      <w:r>
        <w:rPr>
          <w:rFonts w:hint="eastAsia" w:ascii="黑体" w:hAnsi="黑体" w:eastAsia="黑体" w:cs="黑体"/>
          <w:sz w:val="36"/>
          <w:szCs w:val="36"/>
        </w:rPr>
        <w:t>运维服务</w:t>
      </w:r>
    </w:p>
    <w:p w14:paraId="21A5784F">
      <w:pPr>
        <w:numPr>
          <w:ilvl w:val="0"/>
          <w:numId w:val="1"/>
        </w:numPr>
        <w:spacing w:line="400" w:lineRule="exact"/>
        <w:jc w:val="left"/>
        <w:rPr>
          <w:rFonts w:hint="eastAsia"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t>项目概述</w:t>
      </w:r>
    </w:p>
    <w:p w14:paraId="5E9301E9">
      <w:pPr>
        <w:spacing w:line="360" w:lineRule="auto"/>
        <w:ind w:firstLine="560" w:firstLineChars="200"/>
        <w:rPr>
          <w:rFonts w:hint="eastAsia"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该服务包括软件运维驻场工程师1名，提供每工作日5x8驻场服务，服务范围包括：现代血站管理信息系统、后勤管理平台、血液制备过程管理系统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、积分商城、血费报销5个系统</w:t>
      </w:r>
      <w:r>
        <w:rPr>
          <w:rFonts w:hint="eastAsia" w:asciiTheme="minorEastAsia" w:hAnsiTheme="minorEastAsia" w:eastAsiaTheme="minorEastAsia"/>
          <w:sz w:val="28"/>
          <w:szCs w:val="28"/>
        </w:rPr>
        <w:t>，相关费用26万元，已纳入2025年预算，本次采购金额24.5万元。服务期限为</w:t>
      </w:r>
      <w:r>
        <w:rPr>
          <w:rFonts w:asciiTheme="minorEastAsia" w:hAnsiTheme="minorEastAsia" w:eastAsiaTheme="minorEastAsia"/>
          <w:sz w:val="28"/>
          <w:szCs w:val="28"/>
        </w:rPr>
        <w:t>20</w:t>
      </w:r>
      <w:r>
        <w:rPr>
          <w:rFonts w:hint="eastAsia" w:asciiTheme="minorEastAsia" w:hAnsiTheme="minorEastAsia" w:eastAsiaTheme="minorEastAsia"/>
          <w:sz w:val="28"/>
          <w:szCs w:val="28"/>
        </w:rPr>
        <w:t>25</w:t>
      </w:r>
      <w:r>
        <w:rPr>
          <w:rFonts w:asciiTheme="minorEastAsia" w:hAnsiTheme="minorEastAsia" w:eastAsiaTheme="minorEastAsia"/>
          <w:sz w:val="28"/>
          <w:szCs w:val="28"/>
        </w:rPr>
        <w:t>年12月1日— 20</w:t>
      </w:r>
      <w:r>
        <w:rPr>
          <w:rFonts w:hint="eastAsia" w:asciiTheme="minorEastAsia" w:hAnsiTheme="minorEastAsia" w:eastAsiaTheme="minorEastAsia"/>
          <w:sz w:val="28"/>
          <w:szCs w:val="28"/>
        </w:rPr>
        <w:t>26</w:t>
      </w:r>
      <w:r>
        <w:rPr>
          <w:rFonts w:asciiTheme="minorEastAsia" w:hAnsiTheme="minorEastAsia" w:eastAsiaTheme="minorEastAsia"/>
          <w:sz w:val="28"/>
          <w:szCs w:val="28"/>
        </w:rPr>
        <w:t>年11月30日</w:t>
      </w:r>
      <w:r>
        <w:rPr>
          <w:rFonts w:hint="eastAsia" w:asciiTheme="minorEastAsia" w:hAnsiTheme="minorEastAsia" w:eastAsiaTheme="minorEastAsia"/>
          <w:sz w:val="28"/>
          <w:szCs w:val="28"/>
        </w:rPr>
        <w:t>。</w:t>
      </w:r>
    </w:p>
    <w:p w14:paraId="6102CB98">
      <w:pPr>
        <w:numPr>
          <w:ilvl w:val="0"/>
          <w:numId w:val="1"/>
        </w:numPr>
        <w:spacing w:line="400" w:lineRule="exact"/>
        <w:jc w:val="left"/>
        <w:rPr>
          <w:rFonts w:hint="eastAsia"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t>需求参数</w:t>
      </w:r>
    </w:p>
    <w:tbl>
      <w:tblPr>
        <w:tblStyle w:val="6"/>
        <w:tblW w:w="921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5"/>
        <w:gridCol w:w="1417"/>
        <w:gridCol w:w="2181"/>
        <w:gridCol w:w="3489"/>
        <w:gridCol w:w="881"/>
        <w:gridCol w:w="367"/>
      </w:tblGrid>
      <w:tr w14:paraId="774FA0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5DB65B60">
            <w:pPr>
              <w:jc w:val="center"/>
              <w:rPr>
                <w:rFonts w:hint="eastAsia" w:ascii="仿宋" w:hAnsi="仿宋" w:eastAsia="仿宋" w:cs="宋体"/>
                <w:b/>
                <w:sz w:val="24"/>
              </w:rPr>
            </w:pPr>
            <w:r>
              <w:rPr>
                <w:rFonts w:hint="eastAsia" w:ascii="仿宋" w:hAnsi="仿宋" w:eastAsia="仿宋" w:cs="宋体"/>
                <w:b/>
                <w:sz w:val="24"/>
              </w:rPr>
              <w:t>1</w:t>
            </w:r>
          </w:p>
        </w:tc>
        <w:tc>
          <w:tcPr>
            <w:tcW w:w="1417" w:type="dxa"/>
            <w:vAlign w:val="center"/>
          </w:tcPr>
          <w:p w14:paraId="08422762">
            <w:pPr>
              <w:jc w:val="left"/>
              <w:rPr>
                <w:rFonts w:hint="eastAsia" w:ascii="仿宋" w:hAnsi="仿宋" w:eastAsia="仿宋" w:cs="宋体"/>
                <w:b/>
                <w:sz w:val="24"/>
              </w:rPr>
            </w:pPr>
            <w:r>
              <w:rPr>
                <w:rFonts w:hint="eastAsia" w:ascii="仿宋" w:hAnsi="仿宋" w:eastAsia="仿宋" w:cs="宋体"/>
                <w:b/>
                <w:sz w:val="24"/>
              </w:rPr>
              <w:t>服务方式</w:t>
            </w:r>
          </w:p>
        </w:tc>
        <w:tc>
          <w:tcPr>
            <w:tcW w:w="2181" w:type="dxa"/>
            <w:vAlign w:val="center"/>
          </w:tcPr>
          <w:p w14:paraId="26BA0992">
            <w:pPr>
              <w:jc w:val="left"/>
              <w:rPr>
                <w:rFonts w:hint="eastAsia" w:ascii="仿宋" w:hAnsi="仿宋" w:eastAsia="仿宋" w:cs="宋体"/>
                <w:b/>
                <w:sz w:val="24"/>
              </w:rPr>
            </w:pPr>
            <w:r>
              <w:rPr>
                <w:rFonts w:hint="eastAsia" w:ascii="仿宋" w:hAnsi="仿宋" w:eastAsia="仿宋" w:cs="宋体"/>
                <w:b/>
                <w:sz w:val="24"/>
              </w:rPr>
              <w:t>服务简述</w:t>
            </w:r>
          </w:p>
        </w:tc>
        <w:tc>
          <w:tcPr>
            <w:tcW w:w="3489" w:type="dxa"/>
            <w:vAlign w:val="center"/>
          </w:tcPr>
          <w:p w14:paraId="25995009">
            <w:pPr>
              <w:jc w:val="left"/>
              <w:rPr>
                <w:rFonts w:hint="eastAsia" w:ascii="仿宋" w:hAnsi="仿宋" w:eastAsia="仿宋" w:cs="宋体"/>
                <w:b/>
                <w:sz w:val="24"/>
              </w:rPr>
            </w:pPr>
            <w:r>
              <w:rPr>
                <w:rFonts w:hint="eastAsia" w:ascii="仿宋" w:hAnsi="仿宋" w:eastAsia="仿宋" w:cs="宋体"/>
                <w:b/>
                <w:sz w:val="24"/>
              </w:rPr>
              <w:t>服务内容</w:t>
            </w:r>
          </w:p>
        </w:tc>
        <w:tc>
          <w:tcPr>
            <w:tcW w:w="1248" w:type="dxa"/>
            <w:gridSpan w:val="2"/>
            <w:vAlign w:val="center"/>
          </w:tcPr>
          <w:p w14:paraId="057E6270">
            <w:pPr>
              <w:jc w:val="left"/>
              <w:rPr>
                <w:rFonts w:hint="eastAsia" w:ascii="仿宋" w:hAnsi="仿宋" w:eastAsia="仿宋" w:cs="宋体"/>
                <w:b/>
                <w:sz w:val="24"/>
                <w:highlight w:val="yellow"/>
              </w:rPr>
            </w:pPr>
            <w:r>
              <w:rPr>
                <w:rFonts w:hint="eastAsia" w:ascii="仿宋" w:hAnsi="仿宋" w:eastAsia="仿宋" w:cs="宋体"/>
                <w:b/>
                <w:sz w:val="24"/>
              </w:rPr>
              <w:t>服务时效</w:t>
            </w:r>
          </w:p>
        </w:tc>
      </w:tr>
      <w:tr w14:paraId="07ACDC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Merge w:val="restart"/>
            <w:vAlign w:val="center"/>
          </w:tcPr>
          <w:p w14:paraId="74BC516C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1</w:t>
            </w:r>
            <w:r>
              <w:rPr>
                <w:rFonts w:ascii="仿宋" w:hAnsi="仿宋" w:eastAsia="仿宋" w:cs="宋体"/>
                <w:sz w:val="24"/>
              </w:rPr>
              <w:t>.1</w:t>
            </w:r>
          </w:p>
        </w:tc>
        <w:tc>
          <w:tcPr>
            <w:tcW w:w="1417" w:type="dxa"/>
            <w:vMerge w:val="restart"/>
            <w:vAlign w:val="center"/>
          </w:tcPr>
          <w:p w14:paraId="34E0C95F">
            <w:pPr>
              <w:jc w:val="left"/>
              <w:rPr>
                <w:rFonts w:hint="eastAsia" w:ascii="仿宋" w:hAnsi="仿宋" w:eastAsia="仿宋" w:cs="宋体"/>
                <w:sz w:val="24"/>
                <w:highlight w:val="yellow"/>
              </w:rPr>
            </w:pPr>
            <w:r>
              <w:rPr>
                <w:rFonts w:hint="eastAsia" w:ascii="仿宋" w:hAnsi="仿宋" w:eastAsia="仿宋" w:cs="宋体"/>
                <w:sz w:val="24"/>
              </w:rPr>
              <w:t>远程服务</w:t>
            </w:r>
          </w:p>
        </w:tc>
        <w:tc>
          <w:tcPr>
            <w:tcW w:w="2181" w:type="dxa"/>
            <w:vAlign w:val="center"/>
          </w:tcPr>
          <w:p w14:paraId="37D968A8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服务时段</w:t>
            </w:r>
          </w:p>
        </w:tc>
        <w:tc>
          <w:tcPr>
            <w:tcW w:w="3489" w:type="dxa"/>
            <w:vAlign w:val="center"/>
          </w:tcPr>
          <w:p w14:paraId="06D9C323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软件供应商提供远程运维服务</w:t>
            </w:r>
          </w:p>
        </w:tc>
        <w:tc>
          <w:tcPr>
            <w:tcW w:w="1248" w:type="dxa"/>
            <w:gridSpan w:val="2"/>
            <w:vAlign w:val="center"/>
          </w:tcPr>
          <w:p w14:paraId="3BEE26A4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7天*24小时</w:t>
            </w:r>
          </w:p>
        </w:tc>
      </w:tr>
      <w:tr w14:paraId="5ABE81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Merge w:val="continue"/>
            <w:vAlign w:val="center"/>
          </w:tcPr>
          <w:p w14:paraId="1919CB67">
            <w:pPr>
              <w:ind w:firstLine="480" w:firstLineChars="200"/>
              <w:jc w:val="center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1417" w:type="dxa"/>
            <w:vMerge w:val="continue"/>
            <w:vAlign w:val="center"/>
          </w:tcPr>
          <w:p w14:paraId="6378A170">
            <w:pPr>
              <w:ind w:firstLine="480" w:firstLineChars="200"/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 w14:paraId="429BF1B7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响应时效</w:t>
            </w:r>
          </w:p>
        </w:tc>
        <w:tc>
          <w:tcPr>
            <w:tcW w:w="3489" w:type="dxa"/>
            <w:vAlign w:val="center"/>
          </w:tcPr>
          <w:p w14:paraId="7BC40F0E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接到服务申请，在响应时效内，提供解决方案。</w:t>
            </w:r>
          </w:p>
        </w:tc>
        <w:tc>
          <w:tcPr>
            <w:tcW w:w="1248" w:type="dxa"/>
            <w:gridSpan w:val="2"/>
            <w:vAlign w:val="center"/>
          </w:tcPr>
          <w:p w14:paraId="7B345E4D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即时</w:t>
            </w:r>
          </w:p>
        </w:tc>
      </w:tr>
      <w:tr w14:paraId="0E116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3DD42DC5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1</w:t>
            </w:r>
            <w:r>
              <w:rPr>
                <w:rFonts w:ascii="仿宋" w:hAnsi="仿宋" w:eastAsia="仿宋" w:cs="宋体"/>
                <w:sz w:val="24"/>
              </w:rPr>
              <w:t>.2</w:t>
            </w:r>
          </w:p>
        </w:tc>
        <w:tc>
          <w:tcPr>
            <w:tcW w:w="1417" w:type="dxa"/>
            <w:vAlign w:val="center"/>
          </w:tcPr>
          <w:p w14:paraId="78FD1DFC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现场服务</w:t>
            </w:r>
          </w:p>
        </w:tc>
        <w:tc>
          <w:tcPr>
            <w:tcW w:w="2181" w:type="dxa"/>
            <w:vAlign w:val="center"/>
          </w:tcPr>
          <w:p w14:paraId="78A21192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服务要求</w:t>
            </w:r>
          </w:p>
        </w:tc>
        <w:tc>
          <w:tcPr>
            <w:tcW w:w="3489" w:type="dxa"/>
            <w:vAlign w:val="center"/>
          </w:tcPr>
          <w:p w14:paraId="23F8A8CC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安排1名工程师提供工作日驻场5*8服务（</w:t>
            </w:r>
            <w:r>
              <w:rPr>
                <w:rFonts w:ascii="仿宋" w:hAnsi="仿宋" w:eastAsia="仿宋" w:cs="宋体"/>
                <w:sz w:val="24"/>
              </w:rPr>
              <w:t>不可抗力除外</w:t>
            </w:r>
            <w:r>
              <w:rPr>
                <w:rFonts w:hint="eastAsia" w:ascii="仿宋" w:hAnsi="仿宋" w:eastAsia="仿宋" w:cs="宋体"/>
                <w:sz w:val="24"/>
              </w:rPr>
              <w:t>，24小时远程响应）</w:t>
            </w:r>
          </w:p>
        </w:tc>
        <w:tc>
          <w:tcPr>
            <w:tcW w:w="1248" w:type="dxa"/>
            <w:gridSpan w:val="2"/>
            <w:vAlign w:val="center"/>
          </w:tcPr>
          <w:p w14:paraId="22C0E688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驻场+远程</w:t>
            </w:r>
          </w:p>
        </w:tc>
      </w:tr>
      <w:tr w14:paraId="5AB10B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2C5BF3A5">
            <w:pPr>
              <w:jc w:val="center"/>
              <w:rPr>
                <w:rFonts w:hint="eastAsia" w:ascii="仿宋" w:hAnsi="仿宋" w:eastAsia="仿宋" w:cs="宋体"/>
                <w:b/>
                <w:sz w:val="24"/>
              </w:rPr>
            </w:pPr>
            <w:r>
              <w:rPr>
                <w:rFonts w:hint="eastAsia" w:ascii="仿宋" w:hAnsi="仿宋" w:eastAsia="仿宋" w:cs="宋体"/>
                <w:b/>
                <w:sz w:val="24"/>
              </w:rPr>
              <w:t>2</w:t>
            </w:r>
          </w:p>
        </w:tc>
        <w:tc>
          <w:tcPr>
            <w:tcW w:w="1417" w:type="dxa"/>
            <w:vAlign w:val="center"/>
          </w:tcPr>
          <w:p w14:paraId="3C7FEC0B">
            <w:pPr>
              <w:jc w:val="left"/>
              <w:rPr>
                <w:rFonts w:hint="eastAsia" w:ascii="仿宋" w:hAnsi="仿宋" w:eastAsia="仿宋" w:cs="宋体"/>
                <w:b/>
                <w:sz w:val="24"/>
              </w:rPr>
            </w:pPr>
            <w:r>
              <w:rPr>
                <w:rFonts w:hint="eastAsia" w:ascii="仿宋" w:hAnsi="仿宋" w:eastAsia="仿宋" w:cs="宋体"/>
                <w:b/>
                <w:sz w:val="24"/>
              </w:rPr>
              <w:t>服务类别</w:t>
            </w:r>
          </w:p>
        </w:tc>
        <w:tc>
          <w:tcPr>
            <w:tcW w:w="2181" w:type="dxa"/>
            <w:vAlign w:val="center"/>
          </w:tcPr>
          <w:p w14:paraId="42B229F7">
            <w:pPr>
              <w:jc w:val="left"/>
              <w:rPr>
                <w:rFonts w:hint="eastAsia" w:ascii="仿宋" w:hAnsi="仿宋" w:eastAsia="仿宋" w:cs="宋体"/>
                <w:b/>
                <w:sz w:val="24"/>
              </w:rPr>
            </w:pPr>
            <w:r>
              <w:rPr>
                <w:rFonts w:hint="eastAsia" w:ascii="仿宋" w:hAnsi="仿宋" w:eastAsia="仿宋" w:cs="宋体"/>
                <w:b/>
                <w:sz w:val="24"/>
              </w:rPr>
              <w:t>服务简述</w:t>
            </w:r>
          </w:p>
        </w:tc>
        <w:tc>
          <w:tcPr>
            <w:tcW w:w="3489" w:type="dxa"/>
            <w:vAlign w:val="center"/>
          </w:tcPr>
          <w:p w14:paraId="5CBE98BF">
            <w:pPr>
              <w:jc w:val="left"/>
              <w:rPr>
                <w:rFonts w:hint="eastAsia" w:ascii="仿宋" w:hAnsi="仿宋" w:eastAsia="仿宋" w:cs="宋体"/>
                <w:b/>
                <w:sz w:val="24"/>
              </w:rPr>
            </w:pPr>
            <w:r>
              <w:rPr>
                <w:rFonts w:hint="eastAsia" w:ascii="仿宋" w:hAnsi="仿宋" w:eastAsia="仿宋" w:cs="宋体"/>
                <w:b/>
                <w:sz w:val="24"/>
              </w:rPr>
              <w:t>服务内容</w:t>
            </w:r>
          </w:p>
        </w:tc>
        <w:tc>
          <w:tcPr>
            <w:tcW w:w="1248" w:type="dxa"/>
            <w:gridSpan w:val="2"/>
            <w:vAlign w:val="center"/>
          </w:tcPr>
          <w:p w14:paraId="76B1F791">
            <w:pPr>
              <w:jc w:val="left"/>
              <w:rPr>
                <w:rFonts w:hint="eastAsia" w:ascii="仿宋" w:hAnsi="仿宋" w:eastAsia="仿宋" w:cs="宋体"/>
                <w:b/>
                <w:sz w:val="24"/>
              </w:rPr>
            </w:pPr>
            <w:r>
              <w:rPr>
                <w:rFonts w:hint="eastAsia" w:ascii="仿宋" w:hAnsi="仿宋" w:eastAsia="仿宋" w:cs="宋体"/>
                <w:b/>
                <w:sz w:val="24"/>
              </w:rPr>
              <w:t>驻场服务</w:t>
            </w:r>
          </w:p>
        </w:tc>
      </w:tr>
      <w:tr w14:paraId="4C7568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1F3FF58C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.1</w:t>
            </w:r>
          </w:p>
        </w:tc>
        <w:tc>
          <w:tcPr>
            <w:tcW w:w="1417" w:type="dxa"/>
            <w:vMerge w:val="restart"/>
            <w:vAlign w:val="center"/>
          </w:tcPr>
          <w:p w14:paraId="0D864A21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培训指导服务</w:t>
            </w:r>
          </w:p>
        </w:tc>
        <w:tc>
          <w:tcPr>
            <w:tcW w:w="2181" w:type="dxa"/>
            <w:vAlign w:val="center"/>
          </w:tcPr>
          <w:p w14:paraId="08DA76E9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软件功能使用培训</w:t>
            </w:r>
          </w:p>
        </w:tc>
        <w:tc>
          <w:tcPr>
            <w:tcW w:w="3489" w:type="dxa"/>
            <w:vAlign w:val="center"/>
          </w:tcPr>
          <w:p w14:paraId="1372FE0A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软件功能使用培训</w:t>
            </w:r>
          </w:p>
        </w:tc>
        <w:tc>
          <w:tcPr>
            <w:tcW w:w="1248" w:type="dxa"/>
            <w:gridSpan w:val="2"/>
            <w:vAlign w:val="center"/>
          </w:tcPr>
          <w:p w14:paraId="173A4EFB">
            <w:pPr>
              <w:jc w:val="left"/>
              <w:rPr>
                <w:rFonts w:hint="eastAsia" w:ascii="仿宋" w:hAnsi="仿宋" w:eastAsia="仿宋" w:cs="宋体"/>
                <w:sz w:val="24"/>
                <w:highlight w:val="yellow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即时</w:t>
            </w:r>
          </w:p>
        </w:tc>
      </w:tr>
      <w:tr w14:paraId="706D30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4533FC28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.2</w:t>
            </w:r>
          </w:p>
        </w:tc>
        <w:tc>
          <w:tcPr>
            <w:tcW w:w="1417" w:type="dxa"/>
            <w:vMerge w:val="continue"/>
            <w:vAlign w:val="center"/>
          </w:tcPr>
          <w:p w14:paraId="5871B4FA">
            <w:pPr>
              <w:ind w:firstLine="480" w:firstLineChars="200"/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 w14:paraId="6B4AA544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业务流程使用指导</w:t>
            </w:r>
          </w:p>
        </w:tc>
        <w:tc>
          <w:tcPr>
            <w:tcW w:w="3489" w:type="dxa"/>
            <w:vAlign w:val="center"/>
          </w:tcPr>
          <w:p w14:paraId="16B4DFCE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业务流程使用指导</w:t>
            </w:r>
          </w:p>
        </w:tc>
        <w:tc>
          <w:tcPr>
            <w:tcW w:w="1248" w:type="dxa"/>
            <w:gridSpan w:val="2"/>
            <w:vAlign w:val="center"/>
          </w:tcPr>
          <w:p w14:paraId="620F3AB1">
            <w:pPr>
              <w:jc w:val="left"/>
              <w:rPr>
                <w:rFonts w:hint="eastAsia" w:ascii="仿宋" w:hAnsi="仿宋" w:eastAsia="仿宋" w:cs="宋体"/>
                <w:sz w:val="24"/>
                <w:highlight w:val="yellow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即时</w:t>
            </w:r>
          </w:p>
        </w:tc>
      </w:tr>
      <w:tr w14:paraId="025B5A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3B03F5A5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.3</w:t>
            </w:r>
          </w:p>
        </w:tc>
        <w:tc>
          <w:tcPr>
            <w:tcW w:w="1417" w:type="dxa"/>
            <w:vMerge w:val="restart"/>
            <w:vAlign w:val="center"/>
          </w:tcPr>
          <w:p w14:paraId="61CB6AB9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数据服务</w:t>
            </w:r>
          </w:p>
        </w:tc>
        <w:tc>
          <w:tcPr>
            <w:tcW w:w="2181" w:type="dxa"/>
            <w:vAlign w:val="center"/>
          </w:tcPr>
          <w:p w14:paraId="78CDF4B9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错误数据修正</w:t>
            </w:r>
          </w:p>
        </w:tc>
        <w:tc>
          <w:tcPr>
            <w:tcW w:w="3489" w:type="dxa"/>
            <w:vAlign w:val="center"/>
          </w:tcPr>
          <w:p w14:paraId="5B32753D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人为操作错误的数据修正</w:t>
            </w:r>
          </w:p>
        </w:tc>
        <w:tc>
          <w:tcPr>
            <w:tcW w:w="1248" w:type="dxa"/>
            <w:gridSpan w:val="2"/>
            <w:vAlign w:val="center"/>
          </w:tcPr>
          <w:p w14:paraId="5344E6BF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即时</w:t>
            </w:r>
          </w:p>
        </w:tc>
      </w:tr>
      <w:tr w14:paraId="23E479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28BF3035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.4</w:t>
            </w:r>
          </w:p>
        </w:tc>
        <w:tc>
          <w:tcPr>
            <w:tcW w:w="1417" w:type="dxa"/>
            <w:vMerge w:val="continue"/>
            <w:vAlign w:val="center"/>
          </w:tcPr>
          <w:p w14:paraId="72EBC1F2">
            <w:pPr>
              <w:ind w:firstLine="480" w:firstLineChars="200"/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 w14:paraId="04E735CB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数据提取</w:t>
            </w:r>
          </w:p>
        </w:tc>
        <w:tc>
          <w:tcPr>
            <w:tcW w:w="3489" w:type="dxa"/>
            <w:vAlign w:val="center"/>
          </w:tcPr>
          <w:p w14:paraId="7DCED4E7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根据管理需求，临时或紧急提取数据</w:t>
            </w:r>
          </w:p>
        </w:tc>
        <w:tc>
          <w:tcPr>
            <w:tcW w:w="1248" w:type="dxa"/>
            <w:gridSpan w:val="2"/>
            <w:vAlign w:val="center"/>
          </w:tcPr>
          <w:p w14:paraId="560E3A95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即时</w:t>
            </w:r>
          </w:p>
        </w:tc>
      </w:tr>
      <w:tr w14:paraId="4AA5B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7BC3E4B9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.5</w:t>
            </w:r>
          </w:p>
        </w:tc>
        <w:tc>
          <w:tcPr>
            <w:tcW w:w="1417" w:type="dxa"/>
            <w:vMerge w:val="restart"/>
            <w:vAlign w:val="center"/>
          </w:tcPr>
          <w:p w14:paraId="5777E547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报表服务</w:t>
            </w:r>
          </w:p>
        </w:tc>
        <w:tc>
          <w:tcPr>
            <w:tcW w:w="2181" w:type="dxa"/>
            <w:vAlign w:val="center"/>
          </w:tcPr>
          <w:p w14:paraId="1B70D9A4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报表核对</w:t>
            </w:r>
          </w:p>
        </w:tc>
        <w:tc>
          <w:tcPr>
            <w:tcW w:w="3489" w:type="dxa"/>
            <w:vAlign w:val="center"/>
          </w:tcPr>
          <w:p w14:paraId="6B606383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协助用户进行报表核对</w:t>
            </w:r>
          </w:p>
        </w:tc>
        <w:tc>
          <w:tcPr>
            <w:tcW w:w="1248" w:type="dxa"/>
            <w:gridSpan w:val="2"/>
            <w:vAlign w:val="center"/>
          </w:tcPr>
          <w:p w14:paraId="0673D0B8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即时</w:t>
            </w:r>
          </w:p>
        </w:tc>
      </w:tr>
      <w:tr w14:paraId="7C6368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0D3C4B32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.6</w:t>
            </w:r>
          </w:p>
        </w:tc>
        <w:tc>
          <w:tcPr>
            <w:tcW w:w="1417" w:type="dxa"/>
            <w:vMerge w:val="continue"/>
            <w:vAlign w:val="center"/>
          </w:tcPr>
          <w:p w14:paraId="48115913">
            <w:pPr>
              <w:ind w:firstLine="480" w:firstLineChars="200"/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 w14:paraId="5E3B6D0C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报表定制</w:t>
            </w:r>
          </w:p>
        </w:tc>
        <w:tc>
          <w:tcPr>
            <w:tcW w:w="3489" w:type="dxa"/>
            <w:vAlign w:val="center"/>
          </w:tcPr>
          <w:p w14:paraId="27FF0599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本地化报表定制服务</w:t>
            </w:r>
          </w:p>
        </w:tc>
        <w:tc>
          <w:tcPr>
            <w:tcW w:w="1248" w:type="dxa"/>
            <w:gridSpan w:val="2"/>
            <w:vAlign w:val="center"/>
          </w:tcPr>
          <w:p w14:paraId="3E7EDF59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小于15天</w:t>
            </w:r>
          </w:p>
        </w:tc>
      </w:tr>
      <w:tr w14:paraId="0A6D21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3DC4305E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.7</w:t>
            </w:r>
          </w:p>
        </w:tc>
        <w:tc>
          <w:tcPr>
            <w:tcW w:w="1417" w:type="dxa"/>
            <w:vAlign w:val="center"/>
          </w:tcPr>
          <w:p w14:paraId="1D64EDB7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程序修正</w:t>
            </w:r>
          </w:p>
        </w:tc>
        <w:tc>
          <w:tcPr>
            <w:tcW w:w="2181" w:type="dxa"/>
            <w:vAlign w:val="center"/>
          </w:tcPr>
          <w:p w14:paraId="68110F0A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程序修正</w:t>
            </w:r>
          </w:p>
        </w:tc>
        <w:tc>
          <w:tcPr>
            <w:tcW w:w="3489" w:type="dxa"/>
            <w:vAlign w:val="center"/>
          </w:tcPr>
          <w:p w14:paraId="6259C16C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程序缺陷修正</w:t>
            </w:r>
          </w:p>
        </w:tc>
        <w:tc>
          <w:tcPr>
            <w:tcW w:w="1248" w:type="dxa"/>
            <w:gridSpan w:val="2"/>
            <w:vAlign w:val="center"/>
          </w:tcPr>
          <w:p w14:paraId="6134E673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小于15天</w:t>
            </w:r>
          </w:p>
        </w:tc>
      </w:tr>
      <w:tr w14:paraId="7A384E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tblHeader/>
          <w:jc w:val="center"/>
        </w:trPr>
        <w:tc>
          <w:tcPr>
            <w:tcW w:w="875" w:type="dxa"/>
            <w:vAlign w:val="center"/>
          </w:tcPr>
          <w:p w14:paraId="5D5AD56A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.8</w:t>
            </w:r>
          </w:p>
        </w:tc>
        <w:tc>
          <w:tcPr>
            <w:tcW w:w="1417" w:type="dxa"/>
            <w:vMerge w:val="restart"/>
            <w:vAlign w:val="center"/>
          </w:tcPr>
          <w:p w14:paraId="241F64C4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软件修改</w:t>
            </w:r>
          </w:p>
        </w:tc>
        <w:tc>
          <w:tcPr>
            <w:tcW w:w="2181" w:type="dxa"/>
            <w:vAlign w:val="center"/>
          </w:tcPr>
          <w:p w14:paraId="6A6D7553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功能完善</w:t>
            </w:r>
          </w:p>
        </w:tc>
        <w:tc>
          <w:tcPr>
            <w:tcW w:w="3489" w:type="dxa"/>
            <w:vAlign w:val="center"/>
          </w:tcPr>
          <w:p w14:paraId="6A8F0C2C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以已存在软件功能为基础，对软件进行完善、扩展；或者软件接口新增或调试已有接口，自采购方提交需求给供货方之日起，至采购方确认供货方交付的需求时止，交付时长不超过20天。</w:t>
            </w:r>
          </w:p>
        </w:tc>
        <w:tc>
          <w:tcPr>
            <w:tcW w:w="1248" w:type="dxa"/>
            <w:gridSpan w:val="2"/>
            <w:vAlign w:val="center"/>
          </w:tcPr>
          <w:p w14:paraId="7515E487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小于20天</w:t>
            </w:r>
          </w:p>
        </w:tc>
      </w:tr>
      <w:tr w14:paraId="6A3C4E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35FFAC5F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.9</w:t>
            </w:r>
          </w:p>
        </w:tc>
        <w:tc>
          <w:tcPr>
            <w:tcW w:w="1417" w:type="dxa"/>
            <w:vMerge w:val="continue"/>
            <w:vAlign w:val="center"/>
          </w:tcPr>
          <w:p w14:paraId="667C0B64">
            <w:pPr>
              <w:ind w:firstLine="480" w:firstLineChars="200"/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 w14:paraId="22AA9721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功能增加</w:t>
            </w:r>
          </w:p>
        </w:tc>
        <w:tc>
          <w:tcPr>
            <w:tcW w:w="3489" w:type="dxa"/>
            <w:vAlign w:val="center"/>
          </w:tcPr>
          <w:p w14:paraId="39F93067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所提需求为新增功能点。自采购方提交需求给供货方之日起，至采购方确认供货方交付的需求时止。一般需求交付时长不超过1个月，紧急需求交付时长不超过10天，紧急需求的数量每年原则上不超过10个。</w:t>
            </w:r>
          </w:p>
        </w:tc>
        <w:tc>
          <w:tcPr>
            <w:tcW w:w="1248" w:type="dxa"/>
            <w:gridSpan w:val="2"/>
            <w:vAlign w:val="center"/>
          </w:tcPr>
          <w:p w14:paraId="19AFD9DD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小于1个月</w:t>
            </w:r>
          </w:p>
        </w:tc>
      </w:tr>
      <w:tr w14:paraId="70B062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54145FD8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.10</w:t>
            </w:r>
          </w:p>
        </w:tc>
        <w:tc>
          <w:tcPr>
            <w:tcW w:w="1417" w:type="dxa"/>
            <w:vMerge w:val="restart"/>
            <w:vAlign w:val="center"/>
          </w:tcPr>
          <w:p w14:paraId="35FBAB69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部署服务</w:t>
            </w:r>
          </w:p>
        </w:tc>
        <w:tc>
          <w:tcPr>
            <w:tcW w:w="2181" w:type="dxa"/>
            <w:vAlign w:val="center"/>
          </w:tcPr>
          <w:p w14:paraId="7E6727F5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客户终端部署</w:t>
            </w:r>
          </w:p>
        </w:tc>
        <w:tc>
          <w:tcPr>
            <w:tcW w:w="3489" w:type="dxa"/>
            <w:vAlign w:val="center"/>
          </w:tcPr>
          <w:p w14:paraId="60622D32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工作站、PDA等客户终端部署</w:t>
            </w:r>
          </w:p>
        </w:tc>
        <w:tc>
          <w:tcPr>
            <w:tcW w:w="1248" w:type="dxa"/>
            <w:gridSpan w:val="2"/>
            <w:vAlign w:val="center"/>
          </w:tcPr>
          <w:p w14:paraId="428C40B8">
            <w:pPr>
              <w:jc w:val="left"/>
              <w:rPr>
                <w:rFonts w:hint="eastAsia" w:ascii="仿宋" w:hAnsi="仿宋" w:eastAsia="仿宋" w:cs="宋体"/>
                <w:sz w:val="24"/>
                <w:highlight w:val="yellow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即时</w:t>
            </w:r>
          </w:p>
        </w:tc>
      </w:tr>
      <w:tr w14:paraId="66B336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2C0339FE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.11</w:t>
            </w:r>
          </w:p>
        </w:tc>
        <w:tc>
          <w:tcPr>
            <w:tcW w:w="1417" w:type="dxa"/>
            <w:vMerge w:val="continue"/>
            <w:vAlign w:val="center"/>
          </w:tcPr>
          <w:p w14:paraId="74A27239">
            <w:pPr>
              <w:ind w:firstLine="480" w:firstLineChars="200"/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 w14:paraId="01381F99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核心服务器部署</w:t>
            </w:r>
          </w:p>
        </w:tc>
        <w:tc>
          <w:tcPr>
            <w:tcW w:w="3489" w:type="dxa"/>
            <w:vAlign w:val="center"/>
          </w:tcPr>
          <w:p w14:paraId="1FC3C64B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数据库服务器、应用服务器部署</w:t>
            </w:r>
          </w:p>
        </w:tc>
        <w:tc>
          <w:tcPr>
            <w:tcW w:w="1248" w:type="dxa"/>
            <w:gridSpan w:val="2"/>
            <w:vAlign w:val="center"/>
          </w:tcPr>
          <w:p w14:paraId="2E0185D7">
            <w:pPr>
              <w:jc w:val="left"/>
              <w:rPr>
                <w:rFonts w:hint="eastAsia" w:ascii="仿宋" w:hAnsi="仿宋" w:eastAsia="仿宋" w:cs="宋体"/>
                <w:sz w:val="24"/>
                <w:highlight w:val="yellow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即时</w:t>
            </w:r>
          </w:p>
        </w:tc>
      </w:tr>
      <w:tr w14:paraId="15A4DA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7111E224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.12</w:t>
            </w:r>
          </w:p>
        </w:tc>
        <w:tc>
          <w:tcPr>
            <w:tcW w:w="1417" w:type="dxa"/>
            <w:vMerge w:val="continue"/>
            <w:vAlign w:val="center"/>
          </w:tcPr>
          <w:p w14:paraId="5E314510">
            <w:pPr>
              <w:ind w:firstLine="480" w:firstLineChars="200"/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 w14:paraId="628C9D3C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非核心服务器部署</w:t>
            </w:r>
          </w:p>
        </w:tc>
        <w:tc>
          <w:tcPr>
            <w:tcW w:w="3489" w:type="dxa"/>
            <w:vAlign w:val="center"/>
          </w:tcPr>
          <w:p w14:paraId="4E5708EE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任务计划、短信、数据采集、离线等服务器部署</w:t>
            </w:r>
          </w:p>
        </w:tc>
        <w:tc>
          <w:tcPr>
            <w:tcW w:w="1248" w:type="dxa"/>
            <w:gridSpan w:val="2"/>
            <w:vAlign w:val="center"/>
          </w:tcPr>
          <w:p w14:paraId="5A44F1D9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即时</w:t>
            </w:r>
          </w:p>
        </w:tc>
      </w:tr>
      <w:tr w14:paraId="208B9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1A0D0E62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.13</w:t>
            </w:r>
          </w:p>
        </w:tc>
        <w:tc>
          <w:tcPr>
            <w:tcW w:w="1417" w:type="dxa"/>
            <w:vMerge w:val="continue"/>
            <w:vAlign w:val="center"/>
          </w:tcPr>
          <w:p w14:paraId="56336A90">
            <w:pPr>
              <w:ind w:firstLine="480" w:firstLineChars="200"/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 w14:paraId="3EE061A9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离线外采部署</w:t>
            </w:r>
          </w:p>
        </w:tc>
        <w:tc>
          <w:tcPr>
            <w:tcW w:w="3489" w:type="dxa"/>
            <w:vAlign w:val="center"/>
          </w:tcPr>
          <w:p w14:paraId="7F411B68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离线外采笔记本部署</w:t>
            </w:r>
          </w:p>
        </w:tc>
        <w:tc>
          <w:tcPr>
            <w:tcW w:w="1248" w:type="dxa"/>
            <w:gridSpan w:val="2"/>
            <w:vAlign w:val="center"/>
          </w:tcPr>
          <w:p w14:paraId="6D1B06C0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即时</w:t>
            </w:r>
          </w:p>
        </w:tc>
      </w:tr>
      <w:tr w14:paraId="3EABD4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542965BF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.14</w:t>
            </w:r>
          </w:p>
        </w:tc>
        <w:tc>
          <w:tcPr>
            <w:tcW w:w="1417" w:type="dxa"/>
            <w:vMerge w:val="continue"/>
            <w:vAlign w:val="center"/>
          </w:tcPr>
          <w:p w14:paraId="6EDDF589">
            <w:pPr>
              <w:ind w:firstLine="480" w:firstLineChars="200"/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 w14:paraId="34BBB3FB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接口重新部署</w:t>
            </w:r>
          </w:p>
        </w:tc>
        <w:tc>
          <w:tcPr>
            <w:tcW w:w="3489" w:type="dxa"/>
            <w:vAlign w:val="center"/>
          </w:tcPr>
          <w:p w14:paraId="4DCDA55D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原有设备或其他应用系统接口重新部署</w:t>
            </w:r>
          </w:p>
        </w:tc>
        <w:tc>
          <w:tcPr>
            <w:tcW w:w="1248" w:type="dxa"/>
            <w:gridSpan w:val="2"/>
            <w:vAlign w:val="center"/>
          </w:tcPr>
          <w:p w14:paraId="4F38E42E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即时</w:t>
            </w:r>
          </w:p>
        </w:tc>
      </w:tr>
      <w:tr w14:paraId="1EB143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6972F651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.15</w:t>
            </w:r>
          </w:p>
        </w:tc>
        <w:tc>
          <w:tcPr>
            <w:tcW w:w="1417" w:type="dxa"/>
            <w:vMerge w:val="restart"/>
            <w:vAlign w:val="center"/>
          </w:tcPr>
          <w:p w14:paraId="383E4A83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应急服务</w:t>
            </w:r>
          </w:p>
        </w:tc>
        <w:tc>
          <w:tcPr>
            <w:tcW w:w="2181" w:type="dxa"/>
            <w:vAlign w:val="center"/>
          </w:tcPr>
          <w:p w14:paraId="77084130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重大问题远程不间断处理</w:t>
            </w:r>
          </w:p>
        </w:tc>
        <w:tc>
          <w:tcPr>
            <w:tcW w:w="3489" w:type="dxa"/>
            <w:vAlign w:val="center"/>
          </w:tcPr>
          <w:p w14:paraId="3F245BC2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2小时内解决用户问题</w:t>
            </w:r>
          </w:p>
        </w:tc>
        <w:tc>
          <w:tcPr>
            <w:tcW w:w="1248" w:type="dxa"/>
            <w:gridSpan w:val="2"/>
            <w:vAlign w:val="center"/>
          </w:tcPr>
          <w:p w14:paraId="7356BE11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即时</w:t>
            </w:r>
          </w:p>
        </w:tc>
      </w:tr>
      <w:tr w14:paraId="171475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4C6D9995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.16</w:t>
            </w:r>
          </w:p>
        </w:tc>
        <w:tc>
          <w:tcPr>
            <w:tcW w:w="1417" w:type="dxa"/>
            <w:vMerge w:val="continue"/>
            <w:vAlign w:val="center"/>
          </w:tcPr>
          <w:p w14:paraId="09FDD5E1">
            <w:pPr>
              <w:ind w:firstLine="480" w:firstLineChars="200"/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 w14:paraId="3121509A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重大问题紧急现场时效</w:t>
            </w:r>
          </w:p>
        </w:tc>
        <w:tc>
          <w:tcPr>
            <w:tcW w:w="3489" w:type="dxa"/>
            <w:vAlign w:val="center"/>
          </w:tcPr>
          <w:p w14:paraId="2FA0FAB4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核心服务器宕机、数据库损坏、严重数据安全隐患，提供现场服务</w:t>
            </w:r>
          </w:p>
        </w:tc>
        <w:tc>
          <w:tcPr>
            <w:tcW w:w="1248" w:type="dxa"/>
            <w:gridSpan w:val="2"/>
            <w:vAlign w:val="center"/>
          </w:tcPr>
          <w:p w14:paraId="1E88CCB4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即时</w:t>
            </w:r>
          </w:p>
        </w:tc>
      </w:tr>
      <w:tr w14:paraId="455505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5EBF900E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.17</w:t>
            </w:r>
          </w:p>
        </w:tc>
        <w:tc>
          <w:tcPr>
            <w:tcW w:w="1417" w:type="dxa"/>
            <w:vMerge w:val="continue"/>
            <w:vAlign w:val="center"/>
          </w:tcPr>
          <w:p w14:paraId="4164BC8F">
            <w:pPr>
              <w:ind w:firstLine="480" w:firstLineChars="200"/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 w14:paraId="7103F546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应急演练</w:t>
            </w:r>
          </w:p>
        </w:tc>
        <w:tc>
          <w:tcPr>
            <w:tcW w:w="3489" w:type="dxa"/>
            <w:vAlign w:val="center"/>
          </w:tcPr>
          <w:p w14:paraId="0F139F30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根据采购方需求提供应急演练并形成演练记录。</w:t>
            </w:r>
          </w:p>
        </w:tc>
        <w:tc>
          <w:tcPr>
            <w:tcW w:w="1248" w:type="dxa"/>
            <w:gridSpan w:val="2"/>
            <w:vAlign w:val="center"/>
          </w:tcPr>
          <w:p w14:paraId="64A2D1C5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每年一次</w:t>
            </w:r>
          </w:p>
        </w:tc>
      </w:tr>
      <w:tr w14:paraId="65F796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1ACBFC48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.18</w:t>
            </w:r>
          </w:p>
        </w:tc>
        <w:tc>
          <w:tcPr>
            <w:tcW w:w="1417" w:type="dxa"/>
            <w:vMerge w:val="restart"/>
            <w:vAlign w:val="center"/>
          </w:tcPr>
          <w:p w14:paraId="099D8ACE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巡检服务</w:t>
            </w:r>
          </w:p>
        </w:tc>
        <w:tc>
          <w:tcPr>
            <w:tcW w:w="2181" w:type="dxa"/>
            <w:vAlign w:val="center"/>
          </w:tcPr>
          <w:p w14:paraId="18952ED0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数据服务器远程巡检</w:t>
            </w:r>
          </w:p>
        </w:tc>
        <w:tc>
          <w:tcPr>
            <w:tcW w:w="3489" w:type="dxa"/>
            <w:vAlign w:val="center"/>
          </w:tcPr>
          <w:p w14:paraId="6115C1DB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数据库服务运行状态巡检</w:t>
            </w:r>
          </w:p>
        </w:tc>
        <w:tc>
          <w:tcPr>
            <w:tcW w:w="1248" w:type="dxa"/>
            <w:gridSpan w:val="2"/>
            <w:vAlign w:val="center"/>
          </w:tcPr>
          <w:p w14:paraId="71AB75FD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4次/年</w:t>
            </w:r>
          </w:p>
        </w:tc>
      </w:tr>
      <w:tr w14:paraId="5F563F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13A66F18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.19</w:t>
            </w:r>
          </w:p>
        </w:tc>
        <w:tc>
          <w:tcPr>
            <w:tcW w:w="1417" w:type="dxa"/>
            <w:vMerge w:val="continue"/>
            <w:vAlign w:val="center"/>
          </w:tcPr>
          <w:p w14:paraId="58DC57A0">
            <w:pPr>
              <w:ind w:firstLine="480" w:firstLineChars="200"/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 w14:paraId="5B29F4CB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应用服务器远程巡检</w:t>
            </w:r>
          </w:p>
        </w:tc>
        <w:tc>
          <w:tcPr>
            <w:tcW w:w="3489" w:type="dxa"/>
            <w:vAlign w:val="center"/>
          </w:tcPr>
          <w:p w14:paraId="436CB6ED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应用服务器运行状态巡检</w:t>
            </w:r>
          </w:p>
        </w:tc>
        <w:tc>
          <w:tcPr>
            <w:tcW w:w="1248" w:type="dxa"/>
            <w:gridSpan w:val="2"/>
            <w:vAlign w:val="center"/>
          </w:tcPr>
          <w:p w14:paraId="153ABF12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4次/年</w:t>
            </w:r>
          </w:p>
        </w:tc>
      </w:tr>
      <w:tr w14:paraId="4EBDBE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17D066C4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.20</w:t>
            </w:r>
          </w:p>
        </w:tc>
        <w:tc>
          <w:tcPr>
            <w:tcW w:w="1417" w:type="dxa"/>
            <w:vMerge w:val="continue"/>
            <w:vAlign w:val="center"/>
          </w:tcPr>
          <w:p w14:paraId="2EB35D42">
            <w:pPr>
              <w:ind w:firstLine="480" w:firstLineChars="200"/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 w14:paraId="1C170A13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数据库备份远程检查</w:t>
            </w:r>
          </w:p>
        </w:tc>
        <w:tc>
          <w:tcPr>
            <w:tcW w:w="3489" w:type="dxa"/>
            <w:vAlign w:val="center"/>
          </w:tcPr>
          <w:p w14:paraId="7F927030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数据库备份状态及结果检查</w:t>
            </w:r>
          </w:p>
        </w:tc>
        <w:tc>
          <w:tcPr>
            <w:tcW w:w="1248" w:type="dxa"/>
            <w:gridSpan w:val="2"/>
            <w:vAlign w:val="center"/>
          </w:tcPr>
          <w:p w14:paraId="32215CF0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4次/年</w:t>
            </w:r>
          </w:p>
        </w:tc>
      </w:tr>
      <w:tr w14:paraId="323B4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63BD77E0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.21</w:t>
            </w:r>
          </w:p>
        </w:tc>
        <w:tc>
          <w:tcPr>
            <w:tcW w:w="1417" w:type="dxa"/>
            <w:vMerge w:val="continue"/>
            <w:vAlign w:val="center"/>
          </w:tcPr>
          <w:p w14:paraId="58795946">
            <w:pPr>
              <w:ind w:firstLine="480" w:firstLineChars="200"/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 w14:paraId="377EC87A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数据库远程恢复测试</w:t>
            </w:r>
          </w:p>
        </w:tc>
        <w:tc>
          <w:tcPr>
            <w:tcW w:w="3489" w:type="dxa"/>
            <w:vAlign w:val="center"/>
          </w:tcPr>
          <w:p w14:paraId="029337F1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备份数据有效性恢复测试</w:t>
            </w:r>
          </w:p>
        </w:tc>
        <w:tc>
          <w:tcPr>
            <w:tcW w:w="1248" w:type="dxa"/>
            <w:gridSpan w:val="2"/>
            <w:vAlign w:val="center"/>
          </w:tcPr>
          <w:p w14:paraId="459E3983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2次/年</w:t>
            </w:r>
          </w:p>
        </w:tc>
      </w:tr>
      <w:tr w14:paraId="5E3B1E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732143CD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.22</w:t>
            </w:r>
          </w:p>
        </w:tc>
        <w:tc>
          <w:tcPr>
            <w:tcW w:w="1417" w:type="dxa"/>
            <w:vAlign w:val="center"/>
          </w:tcPr>
          <w:p w14:paraId="56A24F7B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数据库优化</w:t>
            </w:r>
          </w:p>
        </w:tc>
        <w:tc>
          <w:tcPr>
            <w:tcW w:w="2181" w:type="dxa"/>
            <w:vAlign w:val="center"/>
          </w:tcPr>
          <w:p w14:paraId="6E1BAFE9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现场数据库优化</w:t>
            </w:r>
          </w:p>
        </w:tc>
        <w:tc>
          <w:tcPr>
            <w:tcW w:w="3489" w:type="dxa"/>
            <w:vAlign w:val="center"/>
          </w:tcPr>
          <w:p w14:paraId="540CA144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优化数据库使用空间，提升系统性能</w:t>
            </w:r>
          </w:p>
        </w:tc>
        <w:tc>
          <w:tcPr>
            <w:tcW w:w="1248" w:type="dxa"/>
            <w:gridSpan w:val="2"/>
            <w:vAlign w:val="center"/>
          </w:tcPr>
          <w:p w14:paraId="6CACE0DA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4次/年</w:t>
            </w:r>
          </w:p>
        </w:tc>
      </w:tr>
      <w:tr w14:paraId="59D33A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2FD2235D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.23</w:t>
            </w:r>
          </w:p>
        </w:tc>
        <w:tc>
          <w:tcPr>
            <w:tcW w:w="1417" w:type="dxa"/>
            <w:vAlign w:val="center"/>
          </w:tcPr>
          <w:p w14:paraId="02FE91C7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现场升级服务</w:t>
            </w:r>
          </w:p>
        </w:tc>
        <w:tc>
          <w:tcPr>
            <w:tcW w:w="2181" w:type="dxa"/>
            <w:vAlign w:val="center"/>
          </w:tcPr>
          <w:p w14:paraId="34F636E8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现场升级</w:t>
            </w:r>
          </w:p>
        </w:tc>
        <w:tc>
          <w:tcPr>
            <w:tcW w:w="3489" w:type="dxa"/>
            <w:vAlign w:val="center"/>
          </w:tcPr>
          <w:p w14:paraId="7868069F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安排工程师提供现场升级服务，两次升级间隔不超过4个月。</w:t>
            </w:r>
          </w:p>
        </w:tc>
        <w:tc>
          <w:tcPr>
            <w:tcW w:w="1248" w:type="dxa"/>
            <w:gridSpan w:val="2"/>
            <w:vAlign w:val="center"/>
          </w:tcPr>
          <w:p w14:paraId="11B727E5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4次/年</w:t>
            </w:r>
          </w:p>
        </w:tc>
      </w:tr>
      <w:tr w14:paraId="17068D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  <w:tblHeader/>
          <w:jc w:val="center"/>
        </w:trPr>
        <w:tc>
          <w:tcPr>
            <w:tcW w:w="875" w:type="dxa"/>
            <w:vAlign w:val="center"/>
          </w:tcPr>
          <w:p w14:paraId="14317D25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3</w:t>
            </w:r>
          </w:p>
        </w:tc>
        <w:tc>
          <w:tcPr>
            <w:tcW w:w="8335" w:type="dxa"/>
            <w:gridSpan w:val="5"/>
            <w:vAlign w:val="center"/>
          </w:tcPr>
          <w:p w14:paraId="36883DEF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b/>
                <w:sz w:val="24"/>
              </w:rPr>
              <w:t>主要条款说明</w:t>
            </w:r>
          </w:p>
        </w:tc>
      </w:tr>
      <w:tr w14:paraId="3860C2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63EEA116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3</w:t>
            </w:r>
            <w:r>
              <w:rPr>
                <w:rFonts w:ascii="仿宋" w:hAnsi="仿宋" w:eastAsia="仿宋" w:cs="宋体"/>
                <w:sz w:val="24"/>
              </w:rPr>
              <w:t>.</w:t>
            </w:r>
            <w:r>
              <w:rPr>
                <w:rFonts w:hint="eastAsia" w:ascii="仿宋" w:hAnsi="仿宋" w:eastAsia="仿宋" w:cs="宋体"/>
                <w:sz w:val="24"/>
              </w:rPr>
              <w:t>1</w:t>
            </w:r>
          </w:p>
        </w:tc>
        <w:tc>
          <w:tcPr>
            <w:tcW w:w="7968" w:type="dxa"/>
            <w:gridSpan w:val="4"/>
            <w:vAlign w:val="center"/>
          </w:tcPr>
          <w:p w14:paraId="7047A93B">
            <w:pPr>
              <w:jc w:val="left"/>
              <w:rPr>
                <w:rFonts w:hint="eastAsia" w:ascii="仿宋" w:hAnsi="仿宋" w:eastAsia="仿宋" w:cs="宋体"/>
                <w:color w:val="auto"/>
                <w:sz w:val="24"/>
              </w:rPr>
            </w:pPr>
            <w:r>
              <w:rPr>
                <w:rFonts w:hint="eastAsia" w:ascii="仿宋" w:hAnsi="仿宋" w:eastAsia="仿宋" w:cs="宋体"/>
                <w:color w:val="auto"/>
                <w:sz w:val="24"/>
              </w:rPr>
              <w:t>本项目实施需求总量控制，维护范围包括与现代血站管理系统（9.0）有相同软件供应商的所有系统。在合同期内，采购方提交的软件修改总量在30个内（含功能完善、功能增加、报表定制、接口开发与调试）时，供货方不得另行收费</w:t>
            </w:r>
            <w:r>
              <w:rPr>
                <w:rFonts w:hint="eastAsia" w:ascii="仿宋" w:hAnsi="仿宋" w:eastAsia="仿宋" w:cs="宋体"/>
                <w:color w:val="auto"/>
                <w:sz w:val="24"/>
                <w:lang w:eastAsia="zh-CN"/>
              </w:rPr>
              <w:t>。</w:t>
            </w:r>
          </w:p>
        </w:tc>
        <w:tc>
          <w:tcPr>
            <w:tcW w:w="367" w:type="dxa"/>
            <w:vAlign w:val="center"/>
          </w:tcPr>
          <w:p w14:paraId="0C0F582F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</w:tr>
      <w:tr w14:paraId="06C02E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215F3C32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3</w:t>
            </w:r>
            <w:r>
              <w:rPr>
                <w:rFonts w:ascii="仿宋" w:hAnsi="仿宋" w:eastAsia="仿宋" w:cs="宋体"/>
                <w:sz w:val="24"/>
              </w:rPr>
              <w:t>.</w:t>
            </w:r>
            <w:r>
              <w:rPr>
                <w:rFonts w:hint="eastAsia" w:ascii="仿宋" w:hAnsi="仿宋" w:eastAsia="仿宋" w:cs="宋体"/>
                <w:sz w:val="24"/>
              </w:rPr>
              <w:t>2</w:t>
            </w:r>
          </w:p>
        </w:tc>
        <w:tc>
          <w:tcPr>
            <w:tcW w:w="7968" w:type="dxa"/>
            <w:gridSpan w:val="4"/>
            <w:vAlign w:val="center"/>
          </w:tcPr>
          <w:p w14:paraId="53D04ACC">
            <w:pPr>
              <w:jc w:val="left"/>
              <w:rPr>
                <w:rFonts w:hint="eastAsia" w:ascii="仿宋" w:hAnsi="仿宋" w:eastAsia="仿宋" w:cs="宋体"/>
                <w:color w:val="auto"/>
                <w:sz w:val="24"/>
              </w:rPr>
            </w:pPr>
            <w:r>
              <w:rPr>
                <w:rFonts w:hint="eastAsia" w:ascii="仿宋" w:hAnsi="仿宋" w:eastAsia="仿宋" w:cs="宋体"/>
                <w:color w:val="auto"/>
                <w:sz w:val="24"/>
              </w:rPr>
              <w:t>采购方提交的需求按开发内容评估实际工作量，工期小于15天的免费开发实</w:t>
            </w:r>
            <w:r>
              <w:rPr>
                <w:rFonts w:hint="eastAsia" w:ascii="仿宋" w:hAnsi="仿宋" w:eastAsia="仿宋" w:cs="宋体"/>
                <w:color w:val="auto"/>
                <w:sz w:val="24"/>
                <w:highlight w:val="none"/>
              </w:rPr>
              <w:t>施。为其他服</w:t>
            </w:r>
            <w:r>
              <w:rPr>
                <w:rFonts w:hint="eastAsia" w:ascii="仿宋" w:hAnsi="仿宋" w:eastAsia="仿宋" w:cs="宋体"/>
                <w:color w:val="auto"/>
                <w:sz w:val="24"/>
              </w:rPr>
              <w:t>务商系统或设备新增接口服务，超过20个，需双方另行协商费用，其他情形均免费对接。</w:t>
            </w:r>
          </w:p>
        </w:tc>
        <w:tc>
          <w:tcPr>
            <w:tcW w:w="367" w:type="dxa"/>
            <w:vAlign w:val="center"/>
          </w:tcPr>
          <w:p w14:paraId="65B251FE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</w:tr>
      <w:tr w14:paraId="2D10D7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  <w:tblHeader/>
          <w:jc w:val="center"/>
        </w:trPr>
        <w:tc>
          <w:tcPr>
            <w:tcW w:w="875" w:type="dxa"/>
            <w:vAlign w:val="center"/>
          </w:tcPr>
          <w:p w14:paraId="6EB3E6E7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3</w:t>
            </w:r>
            <w:r>
              <w:rPr>
                <w:rFonts w:ascii="仿宋" w:hAnsi="仿宋" w:eastAsia="仿宋" w:cs="宋体"/>
                <w:sz w:val="24"/>
              </w:rPr>
              <w:t>.</w:t>
            </w:r>
            <w:r>
              <w:rPr>
                <w:rFonts w:hint="eastAsia" w:ascii="仿宋" w:hAnsi="仿宋" w:eastAsia="仿宋" w:cs="宋体"/>
                <w:sz w:val="24"/>
              </w:rPr>
              <w:t>3</w:t>
            </w:r>
          </w:p>
        </w:tc>
        <w:tc>
          <w:tcPr>
            <w:tcW w:w="7968" w:type="dxa"/>
            <w:gridSpan w:val="4"/>
            <w:vAlign w:val="center"/>
          </w:tcPr>
          <w:p w14:paraId="7A5B71C6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采购方购自供货方的软件系统未验收或在质保期范围内时，采购方提交的相关需求不计入软件修改总量。</w:t>
            </w:r>
          </w:p>
        </w:tc>
        <w:tc>
          <w:tcPr>
            <w:tcW w:w="367" w:type="dxa"/>
            <w:vAlign w:val="center"/>
          </w:tcPr>
          <w:p w14:paraId="5C354BAD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</w:tr>
      <w:tr w14:paraId="06349A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53B06FBE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3</w:t>
            </w:r>
            <w:r>
              <w:rPr>
                <w:rFonts w:ascii="仿宋" w:hAnsi="仿宋" w:eastAsia="仿宋" w:cs="宋体"/>
                <w:sz w:val="24"/>
              </w:rPr>
              <w:t>.</w:t>
            </w:r>
            <w:r>
              <w:rPr>
                <w:rFonts w:hint="eastAsia" w:ascii="仿宋" w:hAnsi="仿宋" w:eastAsia="仿宋" w:cs="宋体"/>
                <w:sz w:val="24"/>
              </w:rPr>
              <w:t>4</w:t>
            </w:r>
          </w:p>
        </w:tc>
        <w:tc>
          <w:tcPr>
            <w:tcW w:w="7968" w:type="dxa"/>
            <w:gridSpan w:val="4"/>
            <w:vAlign w:val="center"/>
          </w:tcPr>
          <w:p w14:paraId="1715B5A0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color w:val="auto"/>
                <w:sz w:val="24"/>
              </w:rPr>
              <w:t>供货方系统漏洞或BUG终身免费维护，</w:t>
            </w:r>
            <w:r>
              <w:rPr>
                <w:rFonts w:hint="eastAsia" w:ascii="仿宋" w:hAnsi="仿宋" w:eastAsia="仿宋" w:cs="宋体"/>
                <w:sz w:val="24"/>
              </w:rPr>
              <w:t>不计入软件修改总量</w:t>
            </w:r>
          </w:p>
        </w:tc>
        <w:tc>
          <w:tcPr>
            <w:tcW w:w="367" w:type="dxa"/>
            <w:vAlign w:val="center"/>
          </w:tcPr>
          <w:p w14:paraId="0293B58A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</w:tr>
      <w:tr w14:paraId="5EAFA5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0718054A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3.5</w:t>
            </w:r>
          </w:p>
        </w:tc>
        <w:tc>
          <w:tcPr>
            <w:tcW w:w="7968" w:type="dxa"/>
            <w:gridSpan w:val="4"/>
            <w:vAlign w:val="center"/>
          </w:tcPr>
          <w:p w14:paraId="7CA7AF17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b/>
                <w:bCs/>
                <w:sz w:val="24"/>
              </w:rPr>
              <w:t>验收标准：以6个月为周期，供货方提供1次运维服务报告，采购方确认签字，考核付款。</w:t>
            </w:r>
          </w:p>
        </w:tc>
        <w:tc>
          <w:tcPr>
            <w:tcW w:w="367" w:type="dxa"/>
            <w:vAlign w:val="center"/>
          </w:tcPr>
          <w:p w14:paraId="32CBD0DA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</w:tr>
    </w:tbl>
    <w:p w14:paraId="338BBD48">
      <w:pPr>
        <w:spacing w:line="360" w:lineRule="auto"/>
        <w:ind w:firstLine="480" w:firstLineChars="200"/>
        <w:rPr>
          <w:rFonts w:ascii="Calibri" w:hAnsi="Calibri"/>
          <w:sz w:val="24"/>
        </w:rPr>
      </w:pPr>
    </w:p>
    <w:p w14:paraId="36FDC54E">
      <w:pPr>
        <w:numPr>
          <w:ilvl w:val="0"/>
          <w:numId w:val="1"/>
        </w:numPr>
        <w:spacing w:line="400" w:lineRule="exact"/>
        <w:jc w:val="left"/>
        <w:rPr>
          <w:rFonts w:hint="eastAsia"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t>其他服务要求</w:t>
      </w:r>
      <w:bookmarkStart w:id="1" w:name="_GoBack"/>
      <w:bookmarkEnd w:id="1"/>
    </w:p>
    <w:p w14:paraId="36F40AB1"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Calibri" w:hAnsi="Calibri"/>
          <w:sz w:val="24"/>
        </w:rPr>
      </w:pPr>
      <w:r>
        <w:rPr>
          <w:rFonts w:hint="eastAsia" w:ascii="Calibri" w:hAnsi="Calibri"/>
          <w:sz w:val="24"/>
          <w:lang w:val="en-US" w:eastAsia="zh-CN"/>
        </w:rPr>
        <w:t>此次采购价</w:t>
      </w:r>
      <w:r>
        <w:rPr>
          <w:rFonts w:hint="eastAsia" w:ascii="Calibri" w:hAnsi="Calibri"/>
          <w:sz w:val="24"/>
        </w:rPr>
        <w:t>包括应为本维保项目所需全部费用，包括取得软件制造商授权的费用等</w:t>
      </w:r>
    </w:p>
    <w:p w14:paraId="73A66BEF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 xml:space="preserve">2、服务期： </w:t>
      </w:r>
      <w:r>
        <w:rPr>
          <w:rFonts w:ascii="Calibri" w:hAnsi="Calibri"/>
          <w:sz w:val="24"/>
        </w:rPr>
        <w:t>1</w:t>
      </w:r>
      <w:r>
        <w:rPr>
          <w:rFonts w:hint="eastAsia" w:ascii="Calibri" w:hAnsi="Calibri"/>
          <w:sz w:val="24"/>
        </w:rPr>
        <w:t>年。</w:t>
      </w:r>
    </w:p>
    <w:p w14:paraId="6BD31C10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3、服务地点：</w:t>
      </w:r>
      <w:r>
        <w:rPr>
          <w:rFonts w:ascii="Calibri" w:hAnsi="Calibri"/>
          <w:sz w:val="24"/>
        </w:rPr>
        <w:t>武汉</w:t>
      </w:r>
      <w:r>
        <w:rPr>
          <w:rFonts w:hint="eastAsia" w:ascii="Calibri" w:hAnsi="Calibri"/>
          <w:sz w:val="24"/>
        </w:rPr>
        <w:t>血液中心指定地点。</w:t>
      </w:r>
    </w:p>
    <w:p w14:paraId="731EA51D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4、维护模式：本项目采用整体运维外包模式。</w:t>
      </w:r>
    </w:p>
    <w:p w14:paraId="5E862B67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6、服务时效：5*8小时提供远程及现场应急技术支持。</w:t>
      </w:r>
    </w:p>
    <w:p w14:paraId="5BC22F53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7、驻场服务要求：自签订本维护合同之日起，供货方安排1人到武汉血液中心指定地点，5*8驻场运维，驻场人员必须符合采购方运行维护要求，遵守采购方的各项管理制度和工作安排。</w:t>
      </w:r>
    </w:p>
    <w:p w14:paraId="3375032D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8、驻场人员要求：供货方驻场维护人员需至少有一年在供货方单位工作经验，以缴纳社保证明为准，工作能力不符合采购方要求。采购方有权提出更换。</w:t>
      </w:r>
    </w:p>
    <w:p w14:paraId="7AF30503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9、每阶段运维服务工作经采购方考核通过后，支付相应阶段的服务费用。</w:t>
      </w:r>
    </w:p>
    <w:p w14:paraId="50945EE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5B7EBB6"/>
    <w:multiLevelType w:val="singleLevel"/>
    <w:tmpl w:val="F5B7EBB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FA94ABF8"/>
    <w:multiLevelType w:val="singleLevel"/>
    <w:tmpl w:val="FA94ABF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F4FE85F6"/>
    <w:rsid w:val="001765F2"/>
    <w:rsid w:val="0026623E"/>
    <w:rsid w:val="004D7195"/>
    <w:rsid w:val="00502644"/>
    <w:rsid w:val="0069633A"/>
    <w:rsid w:val="00763F83"/>
    <w:rsid w:val="007C53DA"/>
    <w:rsid w:val="00864C4B"/>
    <w:rsid w:val="008F0490"/>
    <w:rsid w:val="00B316FD"/>
    <w:rsid w:val="00B70B3C"/>
    <w:rsid w:val="00EA16DC"/>
    <w:rsid w:val="050C6262"/>
    <w:rsid w:val="05B72A07"/>
    <w:rsid w:val="071754D0"/>
    <w:rsid w:val="20A20D16"/>
    <w:rsid w:val="21537630"/>
    <w:rsid w:val="398456EE"/>
    <w:rsid w:val="3FC01EDD"/>
    <w:rsid w:val="58390272"/>
    <w:rsid w:val="5E957601"/>
    <w:rsid w:val="620F3909"/>
    <w:rsid w:val="6B6768DC"/>
    <w:rsid w:val="6CC174CE"/>
    <w:rsid w:val="7B3511E4"/>
    <w:rsid w:val="F4FE8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before="260" w:after="260" w:line="416" w:lineRule="auto"/>
      <w:outlineLvl w:val="1"/>
    </w:pPr>
    <w:rPr>
      <w:rFonts w:ascii="Calibri Light" w:hAnsi="Calibri Light"/>
      <w:b/>
      <w:bCs/>
      <w:sz w:val="32"/>
      <w:szCs w:val="32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"/>
    <w:basedOn w:val="1"/>
    <w:qFormat/>
    <w:uiPriority w:val="0"/>
    <w:pPr>
      <w:spacing w:after="120"/>
    </w:pPr>
  </w:style>
  <w:style w:type="paragraph" w:styleId="5">
    <w:name w:val="toc 1"/>
    <w:basedOn w:val="1"/>
    <w:next w:val="1"/>
    <w:unhideWhenUsed/>
    <w:qFormat/>
    <w:uiPriority w:val="39"/>
    <w:rPr>
      <w:rFonts w:ascii="Calibri" w:hAnsi="Calibri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1667</Words>
  <Characters>1784</Characters>
  <Lines>14</Lines>
  <Paragraphs>3</Paragraphs>
  <TotalTime>228</TotalTime>
  <ScaleCrop>false</ScaleCrop>
  <LinksUpToDate>false</LinksUpToDate>
  <CharactersWithSpaces>1786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2025-04-07T03:36:00Z</dcterms:created>
  <dc:creator>王小天</dc:creator>
  <cp:lastModifiedBy>cgb-ss</cp:lastModifiedBy>
  <dcterms:modified xsi:type="dcterms:W3CDTF">2025-04-27T03:25:06Z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DC7993DAB42EA910596FEC6723AF1FAD_41</vt:lpwstr>
  </property>
  <property fmtid="{D5CDD505-2E9C-101B-9397-08002B2CF9AE}" pid="4" name="KSOTemplateDocerSaveRecord">
    <vt:lpwstr>eyJoZGlkIjoiNzNjZmRlMzY5Y2M4NTdjODMyZDkwNzQ5ZWQ4YjNjYmUifQ==</vt:lpwstr>
  </property>
</Properties>
</file>