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5218A4">
      <w:pPr>
        <w:bidi w:val="0"/>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武汉市中心医院</w:t>
      </w:r>
    </w:p>
    <w:p w14:paraId="218FAC85">
      <w:pPr>
        <w:bidi w:val="0"/>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2025年信息化项目售后维保（儿童保健临床信息管理系统）</w:t>
      </w:r>
    </w:p>
    <w:p w14:paraId="5200AC36">
      <w:pPr>
        <w:bidi w:val="0"/>
        <w:jc w:val="center"/>
        <w:rPr>
          <w:rFonts w:hint="eastAsia" w:ascii="黑体" w:hAnsi="黑体" w:eastAsia="黑体" w:cs="黑体"/>
          <w:sz w:val="32"/>
          <w:szCs w:val="32"/>
        </w:rPr>
      </w:pPr>
      <w:r>
        <w:rPr>
          <w:rFonts w:hint="eastAsia" w:ascii="黑体" w:hAnsi="黑体" w:eastAsia="黑体" w:cs="黑体"/>
          <w:sz w:val="32"/>
          <w:szCs w:val="32"/>
          <w:lang w:val="en-US" w:eastAsia="zh-CN"/>
        </w:rPr>
        <w:t>采购需求</w:t>
      </w:r>
    </w:p>
    <w:p w14:paraId="29316C8A">
      <w:pPr>
        <w:pStyle w:val="4"/>
        <w:numPr>
          <w:ilvl w:val="0"/>
          <w:numId w:val="1"/>
        </w:numPr>
        <w:snapToGrid w:val="0"/>
        <w:spacing w:before="0" w:after="0" w:line="360" w:lineRule="auto"/>
        <w:jc w:val="left"/>
        <w:rPr>
          <w:rFonts w:hint="eastAsia" w:ascii="仿宋" w:hAnsi="仿宋" w:eastAsia="仿宋" w:cs="仿宋"/>
          <w:sz w:val="24"/>
          <w:szCs w:val="24"/>
          <w:lang w:val="zh-CN"/>
        </w:rPr>
      </w:pPr>
      <w:r>
        <w:rPr>
          <w:rFonts w:hint="eastAsia" w:ascii="仿宋" w:hAnsi="仿宋" w:eastAsia="仿宋" w:cs="仿宋"/>
          <w:sz w:val="24"/>
          <w:szCs w:val="24"/>
          <w:lang w:val="zh-CN"/>
        </w:rPr>
        <w:t>项目基本情况</w:t>
      </w:r>
    </w:p>
    <w:p w14:paraId="274D566F">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1.项目名称：</w:t>
      </w:r>
      <w:r>
        <w:rPr>
          <w:rFonts w:hint="eastAsia" w:ascii="仿宋" w:hAnsi="仿宋" w:eastAsia="仿宋" w:cs="仿宋"/>
          <w:color w:val="000000"/>
          <w:sz w:val="24"/>
          <w:szCs w:val="24"/>
          <w:lang w:val="en-US" w:eastAsia="zh-CN"/>
        </w:rPr>
        <w:t>2025年信息化项目售后维保（</w:t>
      </w:r>
      <w:r>
        <w:rPr>
          <w:rFonts w:hint="eastAsia" w:ascii="仿宋" w:hAnsi="仿宋" w:eastAsia="仿宋" w:cs="仿宋"/>
          <w:sz w:val="24"/>
          <w:szCs w:val="24"/>
          <w:lang w:val="en-US" w:eastAsia="zh-CN"/>
        </w:rPr>
        <w:t>儿童保健临床信息管理系统</w:t>
      </w:r>
      <w:r>
        <w:rPr>
          <w:rFonts w:hint="eastAsia" w:ascii="仿宋" w:hAnsi="仿宋" w:eastAsia="仿宋" w:cs="仿宋"/>
          <w:color w:val="000000"/>
          <w:sz w:val="24"/>
          <w:szCs w:val="24"/>
          <w:lang w:val="en-US" w:eastAsia="zh-CN"/>
        </w:rPr>
        <w:t>）</w:t>
      </w:r>
    </w:p>
    <w:p w14:paraId="3BF9DB69">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2.项目预算：</w:t>
      </w:r>
      <w:r>
        <w:rPr>
          <w:rFonts w:hint="eastAsia" w:ascii="仿宋" w:hAnsi="仿宋" w:eastAsia="仿宋" w:cs="仿宋"/>
          <w:color w:val="000000"/>
          <w:sz w:val="24"/>
          <w:szCs w:val="24"/>
          <w:lang w:val="en-US" w:eastAsia="zh-CN"/>
        </w:rPr>
        <w:t>1.84</w:t>
      </w:r>
      <w:r>
        <w:rPr>
          <w:rFonts w:hint="eastAsia" w:ascii="仿宋" w:hAnsi="仿宋" w:eastAsia="仿宋" w:cs="仿宋"/>
          <w:sz w:val="24"/>
          <w:szCs w:val="24"/>
        </w:rPr>
        <w:t>万</w:t>
      </w:r>
      <w:r>
        <w:rPr>
          <w:rFonts w:hint="eastAsia" w:ascii="仿宋" w:hAnsi="仿宋" w:eastAsia="仿宋" w:cs="仿宋"/>
          <w:color w:val="000000"/>
          <w:sz w:val="24"/>
          <w:szCs w:val="24"/>
        </w:rPr>
        <w:t>元</w:t>
      </w:r>
    </w:p>
    <w:p w14:paraId="576AD965">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3.合同履行期限：</w:t>
      </w:r>
      <w:r>
        <w:rPr>
          <w:rFonts w:hint="eastAsia" w:ascii="仿宋" w:hAnsi="仿宋" w:eastAsia="仿宋" w:cs="仿宋"/>
          <w:color w:val="000000"/>
          <w:sz w:val="24"/>
          <w:szCs w:val="24"/>
          <w:lang w:val="en-US" w:eastAsia="zh-CN"/>
        </w:rPr>
        <w:t>自合同签订之日起一年</w:t>
      </w:r>
      <w:r>
        <w:rPr>
          <w:rFonts w:hint="eastAsia" w:ascii="仿宋" w:hAnsi="仿宋" w:eastAsia="仿宋" w:cs="仿宋"/>
          <w:color w:val="000000"/>
          <w:sz w:val="24"/>
          <w:szCs w:val="24"/>
        </w:rPr>
        <w:t>。</w:t>
      </w:r>
    </w:p>
    <w:p w14:paraId="7B5B442F">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4.本项目（是/否）接受联合体投标：否</w:t>
      </w:r>
    </w:p>
    <w:p w14:paraId="2FE56343">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lang w:val="en-US" w:eastAsia="zh-CN"/>
        </w:rPr>
        <w:t>5.本项目</w:t>
      </w:r>
      <w:r>
        <w:rPr>
          <w:rFonts w:hint="eastAsia" w:ascii="仿宋" w:hAnsi="仿宋" w:eastAsia="仿宋" w:cs="仿宋"/>
          <w:color w:val="auto"/>
          <w:sz w:val="24"/>
          <w:szCs w:val="24"/>
          <w:highlight w:val="none"/>
        </w:rPr>
        <w:t>（是/否）接受</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：否</w:t>
      </w:r>
    </w:p>
    <w:p w14:paraId="5BFF848D">
      <w:pPr>
        <w:pStyle w:val="4"/>
        <w:numPr>
          <w:ilvl w:val="0"/>
          <w:numId w:val="1"/>
        </w:numPr>
        <w:snapToGrid w:val="0"/>
        <w:spacing w:before="0" w:after="0" w:line="360" w:lineRule="auto"/>
        <w:jc w:val="left"/>
        <w:rPr>
          <w:rFonts w:hint="eastAsia" w:ascii="仿宋" w:hAnsi="仿宋" w:eastAsia="仿宋" w:cs="仿宋"/>
          <w:color w:val="0000FF"/>
          <w:sz w:val="24"/>
          <w:szCs w:val="24"/>
          <w:lang w:val="zh-CN"/>
        </w:rPr>
      </w:pPr>
      <w:r>
        <w:rPr>
          <w:rFonts w:hint="eastAsia" w:ascii="仿宋" w:hAnsi="仿宋" w:eastAsia="仿宋" w:cs="仿宋"/>
          <w:sz w:val="24"/>
          <w:szCs w:val="24"/>
          <w:lang w:val="zh-CN"/>
        </w:rPr>
        <w:t>国家相关行政主管部门颁布的强制标准、规范</w:t>
      </w:r>
    </w:p>
    <w:p w14:paraId="3CF87F73">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lang w:val="en-US" w:eastAsia="zh-CN"/>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lang w:val="en-US" w:eastAsia="zh-CN"/>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lang w:val="en-US" w:eastAsia="zh-CN"/>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lang w:val="zh-CN"/>
        </w:rPr>
        <w:t>号）</w:t>
      </w:r>
    </w:p>
    <w:p w14:paraId="68BDE125">
      <w:pPr>
        <w:pStyle w:val="4"/>
        <w:numPr>
          <w:ilvl w:val="0"/>
          <w:numId w:val="1"/>
        </w:numPr>
        <w:snapToGrid w:val="0"/>
        <w:spacing w:before="0" w:after="0" w:line="360" w:lineRule="auto"/>
        <w:jc w:val="left"/>
        <w:rPr>
          <w:rFonts w:hint="eastAsia" w:ascii="仿宋" w:hAnsi="仿宋" w:eastAsia="仿宋" w:cs="仿宋"/>
          <w:sz w:val="24"/>
          <w:szCs w:val="24"/>
          <w:lang w:val="zh-CN"/>
        </w:rPr>
      </w:pPr>
      <w:r>
        <w:rPr>
          <w:rFonts w:hint="eastAsia" w:ascii="仿宋" w:hAnsi="仿宋" w:eastAsia="仿宋" w:cs="仿宋"/>
          <w:sz w:val="24"/>
          <w:szCs w:val="24"/>
          <w:lang w:val="zh-CN"/>
        </w:rPr>
        <w:t>项目需求及技术要求</w:t>
      </w:r>
    </w:p>
    <w:p w14:paraId="51685CE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其前身为汉口天主堂医院，是一所融医疗、科研、教学、预防、培训为一体的大型现代化三级甲等医院。医院现有南京路院区、后湖院区、杨春湖院区（洪山区人民医院），编制床位3700张，为武汉市心血管病医院。现有职工5020余人，中高级职称2600余人，博士、硕士1500余人。享受国务院政府特殊津贴专家10人，省、市各级专项津贴专家15人，一大批专家在各专业学会担任要职。国家临床重点专科能力建设项目2个，省级临床重点专科42个，市级临床重点专科48个。</w:t>
      </w:r>
    </w:p>
    <w:p w14:paraId="56550A93">
      <w:pPr>
        <w:pStyle w:val="5"/>
        <w:numPr>
          <w:ilvl w:val="0"/>
          <w:numId w:val="2"/>
        </w:numPr>
        <w:snapToGrid w:val="0"/>
        <w:spacing w:before="0" w:after="0" w:line="360" w:lineRule="auto"/>
        <w:ind w:firstLine="638" w:firstLineChars="266"/>
        <w:jc w:val="left"/>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70C0EB4A">
      <w:pPr>
        <w:bidi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仿宋"/>
          <w:sz w:val="24"/>
          <w:szCs w:val="24"/>
          <w:lang w:val="en-US" w:eastAsia="zh-CN"/>
        </w:rPr>
        <w:t>儿童保健临床信息管理系统提供一年</w:t>
      </w:r>
      <w:r>
        <w:rPr>
          <w:rFonts w:hint="eastAsia" w:ascii="仿宋" w:hAnsi="仿宋" w:eastAsia="仿宋" w:cs="仿宋"/>
          <w:sz w:val="24"/>
          <w:szCs w:val="24"/>
          <w:lang w:val="zh-CN"/>
        </w:rPr>
        <w:t>售后维保服务。</w:t>
      </w:r>
    </w:p>
    <w:p w14:paraId="24C6BF11">
      <w:pPr>
        <w:spacing w:line="360" w:lineRule="auto"/>
        <w:rPr>
          <w:rFonts w:hint="eastAsia" w:ascii="仿宋" w:hAnsi="仿宋" w:eastAsia="仿宋" w:cs="仿宋"/>
          <w:lang w:val="zh-CN"/>
        </w:rPr>
      </w:pPr>
      <w:r>
        <w:rPr>
          <w:rFonts w:hint="eastAsia" w:ascii="仿宋" w:hAnsi="仿宋" w:eastAsia="仿宋" w:cs="仿宋"/>
          <w:sz w:val="24"/>
          <w:szCs w:val="24"/>
          <w:lang w:val="zh-CN"/>
        </w:rPr>
        <w:br w:type="page"/>
      </w:r>
    </w:p>
    <w:p w14:paraId="134F00FE">
      <w:pPr>
        <w:numPr>
          <w:ilvl w:val="0"/>
          <w:numId w:val="2"/>
        </w:numPr>
        <w:spacing w:line="360" w:lineRule="auto"/>
        <w:ind w:firstLine="641" w:firstLineChars="266"/>
        <w:outlineLvl w:val="2"/>
        <w:rPr>
          <w:rFonts w:hint="eastAsia" w:ascii="仿宋" w:hAnsi="仿宋" w:eastAsia="仿宋" w:cs="仿宋"/>
          <w:b/>
          <w:sz w:val="24"/>
          <w:szCs w:val="24"/>
          <w:lang w:val="zh-CN"/>
        </w:rPr>
      </w:pPr>
      <w:r>
        <w:rPr>
          <w:rFonts w:hint="eastAsia" w:ascii="仿宋" w:hAnsi="仿宋" w:eastAsia="仿宋" w:cs="仿宋"/>
          <w:b/>
          <w:sz w:val="24"/>
          <w:szCs w:val="24"/>
        </w:rPr>
        <w:t>维保项目</w:t>
      </w:r>
      <w:r>
        <w:rPr>
          <w:rFonts w:hint="eastAsia" w:ascii="仿宋" w:hAnsi="仿宋" w:eastAsia="仿宋" w:cs="仿宋"/>
          <w:b/>
          <w:sz w:val="24"/>
          <w:szCs w:val="24"/>
          <w:lang w:val="zh-CN"/>
        </w:rPr>
        <w:t>清单</w:t>
      </w:r>
      <w:bookmarkStart w:id="0" w:name="_GoBack"/>
      <w:bookmarkEnd w:id="0"/>
    </w:p>
    <w:p w14:paraId="30EAA917">
      <w:pPr>
        <w:spacing w:line="360" w:lineRule="auto"/>
        <w:ind w:left="559" w:leftChars="266"/>
        <w:rPr>
          <w:rFonts w:hint="eastAsia" w:ascii="仿宋" w:hAnsi="仿宋" w:eastAsia="仿宋" w:cs="仿宋"/>
          <w:b/>
          <w:color w:val="0000FF"/>
          <w:sz w:val="24"/>
          <w:szCs w:val="24"/>
          <w:lang w:val="zh-CN"/>
        </w:rPr>
      </w:pPr>
    </w:p>
    <w:tbl>
      <w:tblPr>
        <w:tblStyle w:val="18"/>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531"/>
        <w:gridCol w:w="6157"/>
      </w:tblGrid>
      <w:tr w14:paraId="59A6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58" w:type="dxa"/>
            <w:shd w:val="clear" w:color="auto" w:fill="auto"/>
            <w:noWrap/>
            <w:vAlign w:val="center"/>
          </w:tcPr>
          <w:p w14:paraId="57F01FB0">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序号</w:t>
            </w:r>
          </w:p>
        </w:tc>
        <w:tc>
          <w:tcPr>
            <w:tcW w:w="1531" w:type="dxa"/>
            <w:shd w:val="clear" w:color="auto" w:fill="auto"/>
            <w:noWrap/>
            <w:vAlign w:val="center"/>
          </w:tcPr>
          <w:p w14:paraId="6B761C59">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采购内容</w:t>
            </w:r>
          </w:p>
        </w:tc>
        <w:tc>
          <w:tcPr>
            <w:tcW w:w="6157" w:type="dxa"/>
            <w:shd w:val="clear" w:color="auto" w:fill="auto"/>
            <w:noWrap/>
            <w:vAlign w:val="center"/>
          </w:tcPr>
          <w:p w14:paraId="426CE689">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运维主要功能范围</w:t>
            </w:r>
          </w:p>
        </w:tc>
      </w:tr>
      <w:tr w14:paraId="2B5A4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58" w:type="dxa"/>
            <w:shd w:val="clear" w:color="auto" w:fill="auto"/>
            <w:vAlign w:val="center"/>
          </w:tcPr>
          <w:p w14:paraId="26450005">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w:t>
            </w:r>
          </w:p>
        </w:tc>
        <w:tc>
          <w:tcPr>
            <w:tcW w:w="1531" w:type="dxa"/>
            <w:shd w:val="clear" w:color="auto" w:fill="auto"/>
            <w:vAlign w:val="center"/>
          </w:tcPr>
          <w:p w14:paraId="06884584">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sz w:val="24"/>
                <w:szCs w:val="24"/>
                <w:lang w:val="en-US" w:eastAsia="zh-CN"/>
              </w:rPr>
              <w:t>儿童保健临床信息管理系统</w:t>
            </w:r>
            <w:r>
              <w:rPr>
                <w:rFonts w:hint="eastAsia" w:ascii="仿宋" w:hAnsi="仿宋" w:eastAsia="仿宋" w:cs="仿宋"/>
                <w:color w:val="000000"/>
                <w:kern w:val="0"/>
                <w:sz w:val="24"/>
                <w:szCs w:val="24"/>
                <w:lang w:bidi="ar"/>
              </w:rPr>
              <w:t>售后维保服务</w:t>
            </w:r>
          </w:p>
        </w:tc>
        <w:tc>
          <w:tcPr>
            <w:tcW w:w="6157" w:type="dxa"/>
            <w:shd w:val="clear" w:color="auto" w:fill="auto"/>
            <w:vAlign w:val="center"/>
          </w:tcPr>
          <w:p w14:paraId="2F18770B">
            <w:pPr>
              <w:widowControl/>
              <w:spacing w:line="240" w:lineRule="auto"/>
              <w:jc w:val="left"/>
              <w:textAlignment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1）对应用系统在运行过程出现的相关故障问题进行排查和处理。内容包括：</w:t>
            </w:r>
            <w:r>
              <w:rPr>
                <w:rFonts w:hint="eastAsia" w:ascii="仿宋" w:hAnsi="仿宋" w:eastAsia="仿宋" w:cs="仿宋"/>
                <w:color w:val="000000"/>
                <w:sz w:val="24"/>
                <w:szCs w:val="24"/>
                <w:lang w:val="en-US" w:eastAsia="zh-CN"/>
              </w:rPr>
              <w:t>患者管理、护士工作站、全息工作站-医生工作站、全息工作站-测评工作站、全息工作站-专案管理、幼儿园/中小学集体体检、其他功能</w:t>
            </w:r>
          </w:p>
          <w:p w14:paraId="1E9FB7E5">
            <w:pPr>
              <w:widowControl/>
              <w:spacing w:line="240" w:lineRule="auto"/>
              <w:jc w:val="left"/>
              <w:textAlignment w:val="center"/>
              <w:rPr>
                <w:rFonts w:hint="eastAsia" w:ascii="仿宋" w:hAnsi="仿宋" w:eastAsia="仿宋" w:cs="仿宋"/>
                <w:color w:val="000000"/>
                <w:sz w:val="24"/>
                <w:szCs w:val="24"/>
              </w:rPr>
            </w:pPr>
            <w:r>
              <w:rPr>
                <w:rFonts w:hint="default" w:ascii="仿宋" w:hAnsi="仿宋" w:eastAsia="仿宋" w:cs="仿宋"/>
                <w:color w:val="000000"/>
                <w:sz w:val="24"/>
                <w:szCs w:val="24"/>
                <w:lang w:val="en-US"/>
              </w:rPr>
              <w:t>2</w:t>
            </w:r>
            <w:r>
              <w:rPr>
                <w:rFonts w:hint="eastAsia" w:ascii="仿宋" w:hAnsi="仿宋" w:eastAsia="仿宋" w:cs="仿宋"/>
                <w:color w:val="000000"/>
                <w:sz w:val="24"/>
                <w:szCs w:val="24"/>
              </w:rPr>
              <w:t>）向</w:t>
            </w:r>
            <w:r>
              <w:rPr>
                <w:rFonts w:hint="eastAsia" w:ascii="仿宋" w:hAnsi="仿宋" w:eastAsia="仿宋" w:cs="仿宋"/>
                <w:color w:val="000000"/>
                <w:sz w:val="24"/>
                <w:szCs w:val="24"/>
                <w:lang w:val="en-US" w:eastAsia="zh-CN"/>
              </w:rPr>
              <w:t>医护人员提供</w:t>
            </w:r>
            <w:r>
              <w:rPr>
                <w:rFonts w:hint="eastAsia" w:ascii="仿宋" w:hAnsi="仿宋" w:eastAsia="仿宋" w:cs="仿宋"/>
                <w:color w:val="000000"/>
                <w:sz w:val="24"/>
                <w:szCs w:val="24"/>
              </w:rPr>
              <w:t>系统相关操作咨询指导服务，协助年底相关维护工作，保障次年业务能正常开展。</w:t>
            </w:r>
          </w:p>
          <w:p w14:paraId="13C0F453">
            <w:pPr>
              <w:pStyle w:val="2"/>
              <w:spacing w:line="240" w:lineRule="auto"/>
              <w:rPr>
                <w:rFonts w:hint="default" w:ascii="仿宋" w:hAnsi="仿宋" w:eastAsia="仿宋" w:cs="仿宋"/>
                <w:color w:val="000000"/>
                <w:sz w:val="24"/>
                <w:szCs w:val="24"/>
                <w:lang w:val="en-US"/>
              </w:rPr>
            </w:pPr>
            <w:r>
              <w:rPr>
                <w:rFonts w:hint="default" w:ascii="仿宋" w:hAnsi="仿宋" w:eastAsia="仿宋" w:cs="仿宋"/>
                <w:color w:val="000000"/>
                <w:sz w:val="24"/>
                <w:szCs w:val="24"/>
                <w:lang w:val="en-US"/>
              </w:rPr>
              <w:t>3)</w:t>
            </w:r>
            <w:r>
              <w:rPr>
                <w:rFonts w:hint="eastAsia" w:ascii="仿宋" w:hAnsi="仿宋" w:eastAsia="仿宋" w:cs="仿宋"/>
                <w:color w:val="000000"/>
                <w:sz w:val="24"/>
                <w:szCs w:val="24"/>
                <w:lang w:val="en-US" w:eastAsia="zh-CN"/>
              </w:rPr>
              <w:t>HIS\LIS\PACS等医院相关</w:t>
            </w:r>
            <w:r>
              <w:rPr>
                <w:rFonts w:hint="default" w:ascii="仿宋" w:hAnsi="仿宋" w:eastAsia="仿宋" w:cs="仿宋"/>
                <w:color w:val="000000"/>
                <w:sz w:val="24"/>
                <w:szCs w:val="24"/>
                <w:lang w:val="en-US"/>
              </w:rPr>
              <w:t>接口运维</w:t>
            </w:r>
          </w:p>
          <w:p w14:paraId="1CF9E988">
            <w:pPr>
              <w:pStyle w:val="2"/>
              <w:spacing w:line="240" w:lineRule="auto"/>
              <w:rPr>
                <w:rFonts w:hint="eastAsia" w:ascii="仿宋" w:hAnsi="仿宋" w:eastAsia="仿宋" w:cs="仿宋"/>
                <w:color w:val="000000"/>
                <w:kern w:val="0"/>
                <w:sz w:val="24"/>
                <w:szCs w:val="24"/>
                <w:lang w:val="en-US" w:eastAsia="zh-CN" w:bidi="ar-SA"/>
              </w:rPr>
            </w:pPr>
            <w:r>
              <w:rPr>
                <w:rFonts w:hint="default" w:ascii="仿宋" w:hAnsi="仿宋" w:eastAsia="仿宋" w:cs="仿宋"/>
                <w:color w:val="000000"/>
                <w:sz w:val="24"/>
                <w:szCs w:val="24"/>
                <w:lang w:val="en-US"/>
              </w:rPr>
              <w:t>4)产品升级：持续完善优化产品的基础功能，保障系统运行的稳定性</w:t>
            </w:r>
          </w:p>
        </w:tc>
      </w:tr>
    </w:tbl>
    <w:p w14:paraId="51B7C979">
      <w:pPr>
        <w:spacing w:line="360" w:lineRule="auto"/>
        <w:ind w:left="559" w:leftChars="266"/>
        <w:rPr>
          <w:rFonts w:hint="eastAsia" w:ascii="仿宋" w:hAnsi="仿宋" w:eastAsia="仿宋" w:cs="仿宋"/>
          <w:b/>
          <w:color w:val="0000FF"/>
          <w:sz w:val="24"/>
          <w:szCs w:val="24"/>
          <w:lang w:val="zh-CN"/>
        </w:rPr>
      </w:pPr>
    </w:p>
    <w:p w14:paraId="598071C4">
      <w:pPr>
        <w:pStyle w:val="5"/>
        <w:numPr>
          <w:ilvl w:val="0"/>
          <w:numId w:val="2"/>
        </w:numPr>
        <w:snapToGrid w:val="0"/>
        <w:spacing w:before="0" w:after="0" w:line="360" w:lineRule="auto"/>
        <w:ind w:firstLine="641" w:firstLineChars="266"/>
        <w:jc w:val="left"/>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项目需求</w:t>
      </w:r>
    </w:p>
    <w:p w14:paraId="7CD314E1">
      <w:pPr>
        <w:pStyle w:val="13"/>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lang w:val="zh-CN"/>
        </w:rPr>
        <w:t>1. 总体原则</w:t>
      </w:r>
    </w:p>
    <w:p w14:paraId="7A988B20">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软件稳定</w:t>
      </w:r>
      <w:r>
        <w:rPr>
          <w:rFonts w:hint="eastAsia" w:ascii="仿宋" w:hAnsi="仿宋" w:eastAsia="仿宋" w:cs="仿宋"/>
          <w:sz w:val="24"/>
          <w:szCs w:val="24"/>
        </w:rPr>
        <w:t>性</w:t>
      </w:r>
      <w:r>
        <w:rPr>
          <w:rFonts w:hint="eastAsia" w:ascii="仿宋" w:hAnsi="仿宋" w:eastAsia="仿宋" w:cs="仿宋"/>
          <w:sz w:val="24"/>
          <w:szCs w:val="24"/>
          <w:lang w:val="zh-CN"/>
        </w:rPr>
        <w:t>：确保在长时间运行中不出现崩溃、数据丢失等问题，以保障患者安全。</w:t>
      </w:r>
    </w:p>
    <w:p w14:paraId="4C73D75A">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安全性保障：确保软件系统的安全性，防止数据泄露、非法访问等安全问题。</w:t>
      </w:r>
    </w:p>
    <w:p w14:paraId="7908B3F3">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可维护性提升：通过重构优化软件结构，降低维护成本，提高维护效率。</w:t>
      </w:r>
    </w:p>
    <w:p w14:paraId="171167D9">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可扩展性增强：为未来的功能扩展和升级预留空间，满足医疗行业不断发展的需求。</w:t>
      </w:r>
    </w:p>
    <w:p w14:paraId="6E255397">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数据保密性：采用加密技术保护关键数据，防止非授权人员获取数据，确保数据传输过程的安全性。</w:t>
      </w:r>
    </w:p>
    <w:p w14:paraId="7F912B66">
      <w:pPr>
        <w:pStyle w:val="13"/>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2.</w:t>
      </w:r>
      <w:r>
        <w:rPr>
          <w:rFonts w:hint="eastAsia" w:ascii="仿宋" w:hAnsi="仿宋" w:eastAsia="仿宋" w:cs="仿宋"/>
          <w:b/>
          <w:bCs/>
          <w:sz w:val="24"/>
          <w:szCs w:val="24"/>
          <w:lang w:val="zh-CN"/>
        </w:rPr>
        <w:t>总体要求</w:t>
      </w:r>
    </w:p>
    <w:p w14:paraId="4F946721">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提供软件系统的技术支持服务。</w:t>
      </w:r>
    </w:p>
    <w:p w14:paraId="1936A6F9">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提供软件系统小版本更新不再产生费用。</w:t>
      </w:r>
    </w:p>
    <w:p w14:paraId="6A098DAF">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提供7×24小时咨询服务，包括：日常的电话/传真/电子邮件技术服务、问题解答。</w:t>
      </w:r>
    </w:p>
    <w:p w14:paraId="2734CBAA">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提供运维系统软件故障免费上门解决、排除服务。服务响应时间：1小时内响应，紧急情况下2小时内安排技术工程师上门服务。</w:t>
      </w:r>
    </w:p>
    <w:p w14:paraId="451121BC">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数据备份与恢复：定期备份系统数据，并进行数据恢复测试，确保数据的完整性和可用性，防止数据丢失或损坏。</w:t>
      </w:r>
    </w:p>
    <w:p w14:paraId="0DD00347">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每季度一次的系统巡检服务，在应用系统出现初期故障征兆时，即能及时解决问题，最大限度保证系统正常高效运行。每次服务结束后需提供一式两份的书面的巡检单或维护单并请使用科室和信息中心负责人签字确认，由医院信息部门负责对维保项目进行质量考核。</w:t>
      </w:r>
    </w:p>
    <w:p w14:paraId="70F0F768">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根据需要随时为医院相关人员提供产品功能和使用培训，确保工作人员熟练掌握系统软件的应用及基本的运维知识。</w:t>
      </w:r>
    </w:p>
    <w:p w14:paraId="3643F54D">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针对最终用户方提出的一些合理的功能微调，若当前软件本身能够解决的，需予以解决。</w:t>
      </w:r>
    </w:p>
    <w:p w14:paraId="111E5962">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需定期对院方现有系统进行分析，并及时针对院方系统使用科室的实际工作需求提供系统优化扩展方案。</w:t>
      </w:r>
    </w:p>
    <w:p w14:paraId="55F049CC">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需遵守医院的信息安全规定，对医院的网络、主机、系统软件、应用软件等的密码、核心参数、业务数据等负有保密责任，未经医院书面同意不得随意复制和传播。</w:t>
      </w:r>
    </w:p>
    <w:p w14:paraId="3F803C5C">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及时响应院方的重大维护保障需求，对于医院机房、网络、服务器调整或搬迁等重大维护配合要求，医院将提前5个工作日书面通知乙方，乙方需安排技术人员按时提供协助配合。</w:t>
      </w:r>
    </w:p>
    <w:p w14:paraId="700D5A3F">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用户培训和支持：定期开展系统使用培训和技术支持工作，提供解决方案和在线支持，帮助用户更好地使用系统。</w:t>
      </w:r>
    </w:p>
    <w:p w14:paraId="7EAAB494">
      <w:pPr>
        <w:pStyle w:val="13"/>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3</w:t>
      </w:r>
      <w:r>
        <w:rPr>
          <w:rFonts w:hint="eastAsia" w:ascii="仿宋" w:hAnsi="仿宋" w:eastAsia="仿宋" w:cs="仿宋"/>
          <w:b/>
          <w:bCs/>
          <w:sz w:val="24"/>
          <w:szCs w:val="24"/>
          <w:lang w:val="zh-CN"/>
        </w:rPr>
        <w:t>. 用户支持</w:t>
      </w:r>
    </w:p>
    <w:p w14:paraId="1FF6B8B9">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提供培训：为医疗工作人员提供软件使用培训和技术支持，确保他们能够充分利用软件系统的功能。</w:t>
      </w:r>
    </w:p>
    <w:p w14:paraId="69159C1D">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收集反馈：定期收集用户对软件系统的使用反馈，了解用户需求和痛点，为后续的功能优化和升级提供依据。</w:t>
      </w:r>
    </w:p>
    <w:p w14:paraId="11916747">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通过遵循以上要求，医疗软件重构将能够确保软件系统的稳定性、安全性、可维护性和可扩展性，为医疗行业提供可靠的技术支持。</w:t>
      </w:r>
    </w:p>
    <w:p w14:paraId="4B3478C9">
      <w:pPr>
        <w:pStyle w:val="13"/>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rPr>
        <w:t>4.信息安全要求</w:t>
      </w:r>
    </w:p>
    <w:p w14:paraId="55B188DA">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1FBDC189">
      <w:pPr>
        <w:pStyle w:val="2"/>
        <w:rPr>
          <w:rFonts w:hint="eastAsia" w:ascii="仿宋" w:hAnsi="仿宋" w:eastAsia="仿宋" w:cs="仿宋"/>
        </w:rPr>
      </w:pPr>
    </w:p>
    <w:p w14:paraId="2A3A57BB">
      <w:pPr>
        <w:pStyle w:val="13"/>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5.</w:t>
      </w:r>
      <w:r>
        <w:rPr>
          <w:rFonts w:hint="eastAsia" w:ascii="仿宋" w:hAnsi="仿宋" w:eastAsia="仿宋" w:cs="仿宋"/>
          <w:b/>
          <w:bCs/>
          <w:sz w:val="24"/>
          <w:szCs w:val="24"/>
          <w:lang w:val="zh-CN"/>
        </w:rPr>
        <w:t>其他要求</w:t>
      </w:r>
    </w:p>
    <w:p w14:paraId="6326297B">
      <w:pPr>
        <w:pStyle w:val="13"/>
        <w:numPr>
          <w:ilvl w:val="0"/>
          <w:numId w:val="5"/>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合规性：软件产品应符合相关的法律法规、技术标准、相关的国家标准和规范。</w:t>
      </w:r>
    </w:p>
    <w:p w14:paraId="50BE53EA">
      <w:pPr>
        <w:pStyle w:val="13"/>
        <w:numPr>
          <w:ilvl w:val="0"/>
          <w:numId w:val="5"/>
        </w:numPr>
        <w:spacing w:line="360" w:lineRule="auto"/>
        <w:rPr>
          <w:rFonts w:hint="eastAsia" w:ascii="仿宋" w:hAnsi="仿宋" w:eastAsia="仿宋" w:cs="仿宋"/>
          <w:sz w:val="24"/>
          <w:szCs w:val="24"/>
          <w:lang w:val="zh-CN"/>
        </w:rPr>
      </w:pPr>
      <w:r>
        <w:rPr>
          <w:rFonts w:hint="eastAsia" w:ascii="仿宋" w:hAnsi="仿宋" w:eastAsia="仿宋" w:cs="仿宋"/>
          <w:sz w:val="24"/>
          <w:szCs w:val="24"/>
        </w:rPr>
        <w:t>评价</w:t>
      </w:r>
      <w:r>
        <w:rPr>
          <w:rFonts w:hint="eastAsia" w:ascii="仿宋" w:hAnsi="仿宋" w:eastAsia="仿宋" w:cs="仿宋"/>
          <w:sz w:val="24"/>
          <w:szCs w:val="24"/>
          <w:lang w:val="zh-CN"/>
        </w:rPr>
        <w:t>报告：对软件</w:t>
      </w:r>
      <w:r>
        <w:rPr>
          <w:rFonts w:hint="eastAsia" w:ascii="仿宋" w:hAnsi="仿宋" w:eastAsia="仿宋" w:cs="仿宋"/>
          <w:sz w:val="24"/>
          <w:szCs w:val="24"/>
        </w:rPr>
        <w:t>维保服务</w:t>
      </w:r>
      <w:r>
        <w:rPr>
          <w:rFonts w:hint="eastAsia" w:ascii="仿宋" w:hAnsi="仿宋" w:eastAsia="仿宋" w:cs="仿宋"/>
          <w:sz w:val="24"/>
          <w:szCs w:val="24"/>
          <w:lang w:val="zh-CN"/>
        </w:rPr>
        <w:t>进行</w:t>
      </w:r>
      <w:r>
        <w:rPr>
          <w:rFonts w:hint="eastAsia" w:ascii="仿宋" w:hAnsi="仿宋" w:eastAsia="仿宋" w:cs="仿宋"/>
          <w:sz w:val="24"/>
          <w:szCs w:val="24"/>
        </w:rPr>
        <w:t>评价</w:t>
      </w:r>
      <w:r>
        <w:rPr>
          <w:rFonts w:hint="eastAsia" w:ascii="仿宋" w:hAnsi="仿宋" w:eastAsia="仿宋" w:cs="仿宋"/>
          <w:sz w:val="24"/>
          <w:szCs w:val="24"/>
          <w:lang w:val="zh-CN"/>
        </w:rPr>
        <w:t>后，应编制</w:t>
      </w:r>
      <w:r>
        <w:rPr>
          <w:rFonts w:hint="eastAsia" w:ascii="仿宋" w:hAnsi="仿宋" w:eastAsia="仿宋" w:cs="仿宋"/>
          <w:sz w:val="24"/>
          <w:szCs w:val="24"/>
        </w:rPr>
        <w:t>评价</w:t>
      </w:r>
      <w:r>
        <w:rPr>
          <w:rFonts w:hint="eastAsia" w:ascii="仿宋" w:hAnsi="仿宋" w:eastAsia="仿宋" w:cs="仿宋"/>
          <w:sz w:val="24"/>
          <w:szCs w:val="24"/>
          <w:lang w:val="zh-CN"/>
        </w:rPr>
        <w:t>报告，</w:t>
      </w:r>
      <w:r>
        <w:rPr>
          <w:rFonts w:hint="eastAsia" w:ascii="仿宋" w:hAnsi="仿宋" w:eastAsia="仿宋" w:cs="仿宋"/>
          <w:sz w:val="24"/>
          <w:szCs w:val="24"/>
        </w:rPr>
        <w:t>包含用户评价</w:t>
      </w:r>
      <w:r>
        <w:rPr>
          <w:rFonts w:hint="eastAsia" w:ascii="仿宋" w:hAnsi="仿宋" w:eastAsia="仿宋" w:cs="仿宋"/>
          <w:sz w:val="24"/>
          <w:szCs w:val="24"/>
          <w:lang w:val="zh-CN"/>
        </w:rPr>
        <w:t>以及存在的问题和改进建议。</w:t>
      </w:r>
    </w:p>
    <w:p w14:paraId="7718B00D">
      <w:pPr>
        <w:pStyle w:val="5"/>
        <w:numPr>
          <w:ilvl w:val="0"/>
          <w:numId w:val="2"/>
        </w:numPr>
        <w:snapToGrid w:val="0"/>
        <w:spacing w:before="0" w:after="0" w:line="360" w:lineRule="auto"/>
        <w:ind w:firstLine="641" w:firstLineChars="266"/>
        <w:jc w:val="left"/>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售后服务内容</w:t>
      </w:r>
    </w:p>
    <w:p w14:paraId="33FAB8D8">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（1）技术咨询：乙方为甲方提供免费技术服务热线，在接到甲方请求后，乙方根据请求情况协调资源，第一时间给甲方反馈并解决问题。</w:t>
      </w:r>
    </w:p>
    <w:p w14:paraId="2F4105DF">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（2）应用软件运行维护：乙方应用软件自身缺陷的调整，及时解决日常运行中出现的问题。</w:t>
      </w:r>
    </w:p>
    <w:p w14:paraId="1138F7DD">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（3）及时响应需求变更：乙方在要求的时限内完成对应用系统的修改或调整。</w:t>
      </w:r>
    </w:p>
    <w:p w14:paraId="1EF6459E">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4）应用软件技术改造与升级服务：如有软件系统小版本更新时，乙方将最新的技术成果和先进的管理模式升级到原有系统，使应用系统保持先进性。若因甲方其他系统升级或其他新系统需接入，需乙方配合的，乙方提供技术服务。</w:t>
      </w:r>
    </w:p>
    <w:p w14:paraId="4796E174">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（5）数据库支持服务：乙方提供长期的数据库优化及技术支持服务，以及异常数据修正、批量数据处理、数据备份等数据维护工作，每月清理服务器系统日志文件，磁盘垃圾、碎片文件等。</w:t>
      </w:r>
    </w:p>
    <w:p w14:paraId="7F8F3D8B">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（6）定期系统巡检：乙方定期到现场对应用系统运行情况，主机运行情况，数据库系统情况进行检查和维护。</w:t>
      </w:r>
    </w:p>
    <w:p w14:paraId="6B75A6F5">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7）系统调优服务：乙方提供性能分析及专业的系统优化服务来提高甲方系统的安全性、稳定性、应用性能及实用性，将系统故障进行规避。根据业务发展情况进行跟踪，针对业务情况及应用变化调整系统和应用的结合。乙方资深专家通过对系统运行状况、问题进行周期性检查、评估、分析后，为甲方提出指导性建议。</w:t>
      </w:r>
    </w:p>
    <w:p w14:paraId="22DB46A6">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（8）乙方向甲方开放数据库表结构。</w:t>
      </w:r>
    </w:p>
    <w:p w14:paraId="2C7415A7">
      <w:pPr>
        <w:pStyle w:val="5"/>
        <w:numPr>
          <w:ilvl w:val="0"/>
          <w:numId w:val="2"/>
        </w:numPr>
        <w:snapToGrid w:val="0"/>
        <w:spacing w:before="0" w:after="0" w:line="360" w:lineRule="auto"/>
        <w:ind w:firstLine="641" w:firstLineChars="266"/>
        <w:jc w:val="left"/>
        <w:rPr>
          <w:rFonts w:hint="eastAsia" w:ascii="仿宋" w:hAnsi="仿宋" w:eastAsia="仿宋" w:cs="仿宋"/>
          <w:b/>
          <w:bCs w:val="0"/>
          <w:sz w:val="24"/>
          <w:szCs w:val="24"/>
          <w:lang w:val="zh-CN"/>
        </w:rPr>
      </w:pPr>
      <w:r>
        <w:rPr>
          <w:rFonts w:hint="eastAsia" w:ascii="仿宋" w:hAnsi="仿宋" w:eastAsia="仿宋" w:cs="仿宋"/>
          <w:b/>
          <w:bCs w:val="0"/>
          <w:sz w:val="24"/>
          <w:szCs w:val="24"/>
        </w:rPr>
        <w:t>服务方式</w:t>
      </w:r>
    </w:p>
    <w:p w14:paraId="58C69C38">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甲方可获得乙方7*24小时的技术支持中心客户热线电话、传真、EMAIL、在线支持以及现场服务，解答软件系统应用中的各种问题。</w:t>
      </w:r>
    </w:p>
    <w:p w14:paraId="1EE0F35C">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合同服务项下的所有项目提交物均已提交，如不符合验收要求，乙方须继续投入技术支持进行整改，在双方协定的日期内改进服务质量。</w:t>
      </w:r>
    </w:p>
    <w:p w14:paraId="53FCB3E1">
      <w:pPr>
        <w:pStyle w:val="4"/>
        <w:numPr>
          <w:ilvl w:val="0"/>
          <w:numId w:val="1"/>
        </w:numPr>
        <w:snapToGrid w:val="0"/>
        <w:spacing w:before="0" w:after="0" w:line="360" w:lineRule="auto"/>
        <w:jc w:val="left"/>
        <w:rPr>
          <w:rFonts w:hint="eastAsia" w:ascii="仿宋" w:hAnsi="仿宋" w:eastAsia="仿宋" w:cs="仿宋"/>
          <w:sz w:val="24"/>
          <w:szCs w:val="24"/>
          <w:lang w:val="zh-CN"/>
        </w:rPr>
      </w:pPr>
      <w:r>
        <w:rPr>
          <w:rFonts w:hint="eastAsia" w:ascii="仿宋" w:hAnsi="仿宋" w:eastAsia="仿宋" w:cs="仿宋"/>
          <w:sz w:val="24"/>
          <w:szCs w:val="24"/>
          <w:lang w:val="zh-CN"/>
        </w:rPr>
        <w:t>商务要求</w:t>
      </w:r>
    </w:p>
    <w:p w14:paraId="051FD07A">
      <w:pPr>
        <w:snapToGrid w:val="0"/>
        <w:spacing w:line="360" w:lineRule="auto"/>
        <w:ind w:firstLine="480" w:firstLineChars="200"/>
        <w:jc w:val="left"/>
        <w:outlineLvl w:val="2"/>
        <w:rPr>
          <w:rFonts w:hint="eastAsia" w:ascii="仿宋" w:hAnsi="仿宋" w:eastAsia="仿宋" w:cs="仿宋"/>
          <w:color w:val="000000"/>
          <w:sz w:val="24"/>
          <w:szCs w:val="24"/>
        </w:rPr>
      </w:pPr>
      <w:r>
        <w:rPr>
          <w:rFonts w:hint="eastAsia" w:ascii="仿宋" w:hAnsi="仿宋" w:eastAsia="仿宋" w:cs="仿宋"/>
          <w:color w:val="000000"/>
          <w:sz w:val="24"/>
          <w:szCs w:val="24"/>
        </w:rPr>
        <w:t>（一）项目提交物</w:t>
      </w:r>
    </w:p>
    <w:p w14:paraId="269F3F4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向甲方提交项目交付物，包括但不限于：巡检报告、系统维保服务评价报告（见附件1）、安全检测报告、需求沟通会议纪要（如有）、需求变更改造清单（如有）、用户培训记录（如有）、系统调优记录（如有）。</w:t>
      </w:r>
    </w:p>
    <w:p w14:paraId="16B8EEF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每三个月甲方对乙方服务评价一次，由甲方使用科室及信息科签署《维保服务评价报告》（见附件1）。</w:t>
      </w:r>
    </w:p>
    <w:p w14:paraId="24379468">
      <w:pPr>
        <w:snapToGrid w:val="0"/>
        <w:spacing w:line="360" w:lineRule="auto"/>
        <w:ind w:firstLine="480" w:firstLineChars="200"/>
        <w:jc w:val="left"/>
        <w:outlineLvl w:val="2"/>
        <w:rPr>
          <w:rFonts w:hint="eastAsia" w:ascii="仿宋" w:hAnsi="仿宋" w:eastAsia="仿宋" w:cs="仿宋"/>
          <w:color w:val="000000"/>
          <w:sz w:val="24"/>
          <w:szCs w:val="24"/>
        </w:rPr>
      </w:pPr>
      <w:r>
        <w:rPr>
          <w:rFonts w:hint="eastAsia" w:ascii="仿宋" w:hAnsi="仿宋" w:eastAsia="仿宋" w:cs="仿宋"/>
          <w:color w:val="000000"/>
          <w:sz w:val="24"/>
          <w:szCs w:val="24"/>
        </w:rPr>
        <w:t>（二）付款方式</w:t>
      </w:r>
    </w:p>
    <w:p w14:paraId="1FCFE3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0%作为首付款，即人民币      万元整（￥     .00 元）。</w:t>
      </w:r>
    </w:p>
    <w:p w14:paraId="03CF22D2">
      <w:pPr>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进度款：服务期满6个月，两个季度《维保服务评价报告》均为合格及以上，并提交所有项目提交物后，甲方收到乙方开具相应税票的10个工作日内，甲方向乙方支付合同总金额的30%作为进度款，</w:t>
      </w:r>
      <w:r>
        <w:rPr>
          <w:rFonts w:hint="eastAsia" w:ascii="仿宋" w:hAnsi="仿宋" w:eastAsia="仿宋" w:cs="仿宋"/>
          <w:sz w:val="24"/>
          <w:szCs w:val="24"/>
        </w:rPr>
        <w:t>即人民币      万元整（￥     .00 元）。</w:t>
      </w:r>
    </w:p>
    <w:p w14:paraId="05E09C32">
      <w:pPr>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前序季度《维保服务评价报告》均为合格及以上，并提交所有项目提交物后，</w:t>
      </w:r>
      <w:r>
        <w:rPr>
          <w:rFonts w:hint="eastAsia" w:ascii="仿宋" w:hAnsi="仿宋" w:eastAsia="仿宋"/>
          <w:sz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若存在《维保服务评价报告》不合格情况，按监理和审计出具报告执行。</w:t>
      </w:r>
    </w:p>
    <w:p w14:paraId="6BF91275">
      <w:pPr>
        <w:pStyle w:val="21"/>
        <w:topLinePunct/>
        <w:spacing w:line="360" w:lineRule="auto"/>
        <w:ind w:firstLine="480"/>
        <w:rPr>
          <w:rFonts w:hint="eastAsia" w:ascii="仿宋" w:hAnsi="仿宋" w:eastAsia="仿宋" w:cs="仿宋"/>
          <w:color w:val="000000"/>
          <w:kern w:val="0"/>
          <w:sz w:val="24"/>
          <w:szCs w:val="24"/>
        </w:rPr>
      </w:pPr>
      <w:r>
        <w:rPr>
          <w:rFonts w:hint="eastAsia" w:ascii="仿宋" w:hAnsi="仿宋" w:eastAsia="仿宋"/>
          <w:color w:val="000000"/>
          <w:kern w:val="0"/>
          <w:sz w:val="24"/>
          <w:szCs w:val="24"/>
        </w:rPr>
        <w:t>乙方开具相应金额的发票给甲方后，甲方采用银行电汇的方式付款。</w:t>
      </w:r>
      <w:r>
        <w:rPr>
          <w:rFonts w:hint="eastAsia" w:ascii="仿宋" w:hAnsi="仿宋" w:eastAsia="仿宋" w:cs="仿宋"/>
          <w:color w:val="000000"/>
          <w:kern w:val="0"/>
          <w:sz w:val="24"/>
          <w:szCs w:val="24"/>
        </w:rPr>
        <w:t xml:space="preserve"> </w:t>
      </w:r>
    </w:p>
    <w:p w14:paraId="7861F581">
      <w:pPr>
        <w:snapToGrid w:val="0"/>
        <w:spacing w:line="360" w:lineRule="auto"/>
        <w:ind w:firstLine="480" w:firstLineChars="200"/>
        <w:jc w:val="left"/>
        <w:outlineLvl w:val="2"/>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三</w:t>
      </w: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服务续签</w:t>
      </w:r>
    </w:p>
    <w:p w14:paraId="64272FB5">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》），如考评结果合格，甲乙双方无异议可参照上一年度条款续签服务合同，最多可续签2次。</w:t>
      </w:r>
    </w:p>
    <w:p w14:paraId="6021EA3A">
      <w:pPr>
        <w:snapToGrid w:val="0"/>
        <w:spacing w:line="360" w:lineRule="auto"/>
        <w:ind w:firstLine="480" w:firstLineChars="200"/>
        <w:jc w:val="left"/>
        <w:outlineLvl w:val="2"/>
        <w:rPr>
          <w:rFonts w:hint="eastAsia" w:ascii="仿宋" w:hAnsi="仿宋" w:eastAsia="仿宋" w:cs="仿宋"/>
          <w:color w:val="000000"/>
          <w:sz w:val="24"/>
          <w:szCs w:val="24"/>
        </w:rPr>
      </w:pP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四</w:t>
      </w:r>
      <w:r>
        <w:rPr>
          <w:rFonts w:hint="eastAsia" w:ascii="仿宋" w:hAnsi="仿宋" w:eastAsia="仿宋" w:cs="仿宋"/>
          <w:color w:val="000000"/>
          <w:sz w:val="24"/>
          <w:szCs w:val="24"/>
        </w:rPr>
        <w:t>）违约责任</w:t>
      </w:r>
    </w:p>
    <w:p w14:paraId="32796611">
      <w:pPr>
        <w:pStyle w:val="21"/>
        <w:topLinePunct/>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乙方签署合同但不提供相应的技术维护服务，或甲方评价乙方服务合格，但拒绝支付服务费用的情况，视为违约。违约方需向对方支付违约金，违约金每5个工作日为合同总价的1%，违约金的总额不超过合同总价的10%。</w:t>
      </w:r>
    </w:p>
    <w:p w14:paraId="3896D1EC">
      <w:pPr>
        <w:pStyle w:val="21"/>
        <w:topLinePunct/>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如果非乙方原因或乙方不可抗力因素造成乙方未按期完成工作的，则乙方不承担由此产生的逾期未完成工作的责任。</w:t>
      </w:r>
    </w:p>
    <w:p w14:paraId="68282DF1">
      <w:pPr>
        <w:rPr>
          <w:rFonts w:hint="eastAsia" w:ascii="仿宋" w:hAnsi="仿宋" w:eastAsia="仿宋" w:cs="仿宋"/>
          <w:sz w:val="24"/>
          <w:szCs w:val="24"/>
        </w:rPr>
      </w:pPr>
      <w:r>
        <w:rPr>
          <w:rFonts w:hint="eastAsia" w:ascii="仿宋" w:hAnsi="仿宋" w:eastAsia="仿宋" w:cs="仿宋"/>
          <w:sz w:val="24"/>
          <w:szCs w:val="24"/>
        </w:rPr>
        <w:br w:type="page"/>
      </w:r>
    </w:p>
    <w:p w14:paraId="65960472">
      <w:pPr>
        <w:jc w:val="left"/>
        <w:outlineLvl w:val="1"/>
        <w:rPr>
          <w:rFonts w:hint="eastAsia" w:ascii="仿宋" w:hAnsi="仿宋" w:eastAsia="仿宋" w:cs="仿宋"/>
          <w:sz w:val="24"/>
          <w:szCs w:val="24"/>
        </w:rPr>
      </w:pPr>
      <w:r>
        <w:rPr>
          <w:rFonts w:hint="eastAsia" w:ascii="仿宋" w:hAnsi="仿宋" w:eastAsia="仿宋" w:cs="仿宋"/>
          <w:sz w:val="24"/>
          <w:szCs w:val="24"/>
        </w:rPr>
        <w:t>附件1：</w:t>
      </w:r>
    </w:p>
    <w:p w14:paraId="1753FF36">
      <w:pPr>
        <w:jc w:val="center"/>
        <w:rPr>
          <w:rFonts w:hint="eastAsia" w:ascii="仿宋" w:hAnsi="仿宋" w:eastAsia="仿宋" w:cs="仿宋"/>
          <w:sz w:val="32"/>
          <w:szCs w:val="32"/>
        </w:rPr>
      </w:pPr>
      <w:r>
        <w:rPr>
          <w:rFonts w:hint="eastAsia" w:ascii="仿宋" w:hAnsi="仿宋" w:eastAsia="仿宋" w:cs="仿宋"/>
          <w:sz w:val="32"/>
          <w:szCs w:val="32"/>
        </w:rPr>
        <w:t>系统维保服务评价报告（模板）</w:t>
      </w:r>
    </w:p>
    <w:tbl>
      <w:tblPr>
        <w:tblStyle w:val="18"/>
        <w:tblW w:w="8271" w:type="dxa"/>
        <w:tblInd w:w="113" w:type="dxa"/>
        <w:tblLayout w:type="fixed"/>
        <w:tblCellMar>
          <w:top w:w="0" w:type="dxa"/>
          <w:left w:w="108" w:type="dxa"/>
          <w:bottom w:w="0" w:type="dxa"/>
          <w:right w:w="108" w:type="dxa"/>
        </w:tblCellMar>
      </w:tblPr>
      <w:tblGrid>
        <w:gridCol w:w="1429"/>
        <w:gridCol w:w="2699"/>
        <w:gridCol w:w="4143"/>
      </w:tblGrid>
      <w:tr w14:paraId="5E72B2C1">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0D301507">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552A497">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　</w:t>
            </w:r>
          </w:p>
        </w:tc>
      </w:tr>
      <w:tr w14:paraId="71B1402B">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46432BE3">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D1C5376">
            <w:pPr>
              <w:widowControl/>
              <w:jc w:val="center"/>
              <w:rPr>
                <w:rFonts w:hint="eastAsia" w:ascii="仿宋" w:hAnsi="仿宋" w:eastAsia="仿宋" w:cs="仿宋"/>
                <w:kern w:val="0"/>
                <w:sz w:val="24"/>
                <w:szCs w:val="24"/>
              </w:rPr>
            </w:pPr>
          </w:p>
        </w:tc>
      </w:tr>
      <w:tr w14:paraId="609BF159">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6217D8B4">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E1B9C90">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 xml:space="preserve">    年  月  日 至     年  月  日</w:t>
            </w:r>
          </w:p>
        </w:tc>
      </w:tr>
      <w:tr w14:paraId="4F6D57F2">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0BC9DD1F">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服务水平</w:t>
            </w:r>
          </w:p>
          <w:p w14:paraId="6DB40817">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评价</w:t>
            </w:r>
          </w:p>
          <w:p w14:paraId="66122598">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1AEA276">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服务效果抽查合格率：□优秀 □良好 □合格 □不合格</w:t>
            </w:r>
          </w:p>
          <w:p w14:paraId="2AD1F6F6">
            <w:pPr>
              <w:widowControl/>
              <w:jc w:val="left"/>
              <w:rPr>
                <w:rFonts w:hint="eastAsia" w:ascii="仿宋" w:hAnsi="仿宋" w:eastAsia="仿宋" w:cs="仿宋"/>
                <w:kern w:val="0"/>
                <w:sz w:val="24"/>
                <w:szCs w:val="24"/>
              </w:rPr>
            </w:pPr>
            <w:r>
              <w:rPr>
                <w:rFonts w:hint="eastAsia" w:ascii="仿宋" w:hAnsi="仿宋" w:eastAsia="仿宋" w:cs="仿宋"/>
                <w:kern w:val="0"/>
                <w:sz w:val="22"/>
              </w:rPr>
              <w:t>达到100%为优秀，≥90%为良好，≥80%为合格，＜80%为不合格</w:t>
            </w:r>
          </w:p>
        </w:tc>
      </w:tr>
      <w:tr w14:paraId="1E176B52">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4CC737E5">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D412172">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无恶性事件发生情况：□优秀 □良好 □合格 □不合格</w:t>
            </w:r>
          </w:p>
          <w:p w14:paraId="7DA60EDD">
            <w:pPr>
              <w:widowControl/>
              <w:jc w:val="left"/>
              <w:rPr>
                <w:rFonts w:hint="eastAsia" w:ascii="仿宋" w:hAnsi="仿宋" w:eastAsia="仿宋" w:cs="仿宋"/>
                <w:kern w:val="0"/>
                <w:sz w:val="24"/>
                <w:szCs w:val="24"/>
              </w:rPr>
            </w:pPr>
            <w:r>
              <w:rPr>
                <w:rFonts w:hint="eastAsia" w:ascii="仿宋" w:hAnsi="仿宋" w:eastAsia="仿宋" w:cs="仿宋"/>
                <w:kern w:val="0"/>
                <w:sz w:val="22"/>
              </w:rPr>
              <w:t>因服务问题导致的不良事件发生，服务期间评价直接给予不合格评价</w:t>
            </w:r>
          </w:p>
        </w:tc>
      </w:tr>
      <w:tr w14:paraId="4044157B">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3E8FC0BB">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8F92929">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其他：</w:t>
            </w:r>
          </w:p>
        </w:tc>
      </w:tr>
      <w:tr w14:paraId="3DB5B0E1">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094A4ED1">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806BA73">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评价人：               </w:t>
            </w:r>
          </w:p>
          <w:p w14:paraId="4737FDE3">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评价日期：  </w:t>
            </w:r>
          </w:p>
        </w:tc>
      </w:tr>
      <w:tr w14:paraId="4B0368B0">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4C78D3">
            <w:pPr>
              <w:jc w:val="center"/>
              <w:rPr>
                <w:rFonts w:hint="eastAsia" w:ascii="仿宋" w:hAnsi="仿宋" w:eastAsia="仿宋" w:cs="仿宋"/>
                <w:sz w:val="24"/>
                <w:szCs w:val="24"/>
              </w:rPr>
            </w:pPr>
            <w:r>
              <w:rPr>
                <w:rFonts w:hint="eastAsia" w:ascii="仿宋" w:hAnsi="仿宋" w:eastAsia="仿宋" w:cs="仿宋"/>
                <w:sz w:val="24"/>
                <w:szCs w:val="24"/>
              </w:rPr>
              <w:t>服务质量</w:t>
            </w:r>
          </w:p>
          <w:p w14:paraId="582068A5">
            <w:pPr>
              <w:jc w:val="center"/>
              <w:rPr>
                <w:rFonts w:hint="eastAsia" w:ascii="仿宋" w:hAnsi="仿宋" w:eastAsia="仿宋" w:cs="仿宋"/>
                <w:sz w:val="24"/>
                <w:szCs w:val="24"/>
              </w:rPr>
            </w:pPr>
            <w:r>
              <w:rPr>
                <w:rFonts w:hint="eastAsia" w:ascii="仿宋" w:hAnsi="仿宋" w:eastAsia="仿宋" w:cs="仿宋"/>
                <w:sz w:val="24"/>
                <w:szCs w:val="24"/>
              </w:rPr>
              <w:t>评价</w:t>
            </w:r>
          </w:p>
          <w:p w14:paraId="3DA94D90">
            <w:pPr>
              <w:jc w:val="center"/>
              <w:rPr>
                <w:rFonts w:hint="eastAsia" w:ascii="仿宋" w:hAnsi="仿宋" w:eastAsia="仿宋" w:cs="仿宋"/>
                <w:kern w:val="0"/>
                <w:szCs w:val="24"/>
              </w:rPr>
            </w:pPr>
            <w:r>
              <w:rPr>
                <w:rFonts w:hint="eastAsia" w:ascii="仿宋" w:hAnsi="仿宋" w:eastAsia="仿宋" w:cs="仿宋"/>
                <w:sz w:val="24"/>
                <w:szCs w:val="24"/>
              </w:rPr>
              <w:t>（信息中心评价</w:t>
            </w:r>
            <w:r>
              <w:rPr>
                <w:rFonts w:hint="eastAsia" w:ascii="仿宋" w:hAnsi="仿宋" w:eastAsia="仿宋" w:cs="仿宋"/>
                <w:kern w:val="0"/>
                <w:sz w:val="24"/>
                <w:szCs w:val="24"/>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302FB99E">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服务效果抽查合格率：□优秀 □良好 □合格 □不合格</w:t>
            </w:r>
          </w:p>
          <w:p w14:paraId="5A09CDF6">
            <w:pPr>
              <w:widowControl/>
              <w:jc w:val="left"/>
              <w:rPr>
                <w:rFonts w:hint="eastAsia" w:ascii="仿宋" w:hAnsi="仿宋" w:eastAsia="仿宋" w:cs="仿宋"/>
                <w:kern w:val="0"/>
                <w:sz w:val="24"/>
                <w:szCs w:val="24"/>
              </w:rPr>
            </w:pPr>
            <w:r>
              <w:rPr>
                <w:rFonts w:hint="eastAsia" w:ascii="仿宋" w:hAnsi="仿宋" w:eastAsia="仿宋" w:cs="仿宋"/>
                <w:kern w:val="0"/>
                <w:sz w:val="22"/>
              </w:rPr>
              <w:t>达到100%为优秀，≥90%为良好，≥80%为合格，＜80%为不合格</w:t>
            </w:r>
          </w:p>
        </w:tc>
      </w:tr>
      <w:tr w14:paraId="35C0BCB0">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7B4D8D">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BE96826">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无恶性事件发生情况：□优秀 □良好 □合格 □不合格</w:t>
            </w:r>
          </w:p>
          <w:p w14:paraId="4E0D7B74">
            <w:pPr>
              <w:widowControl/>
              <w:jc w:val="left"/>
              <w:rPr>
                <w:rFonts w:hint="eastAsia" w:ascii="仿宋" w:hAnsi="仿宋" w:eastAsia="仿宋" w:cs="仿宋"/>
                <w:kern w:val="0"/>
                <w:sz w:val="24"/>
                <w:szCs w:val="24"/>
              </w:rPr>
            </w:pPr>
            <w:r>
              <w:rPr>
                <w:rFonts w:hint="eastAsia" w:ascii="仿宋" w:hAnsi="仿宋" w:eastAsia="仿宋" w:cs="仿宋"/>
                <w:kern w:val="0"/>
                <w:sz w:val="22"/>
              </w:rPr>
              <w:t>因服务问题导致的不良事件发生，服务期间评价直接给予不合格评价</w:t>
            </w:r>
          </w:p>
        </w:tc>
      </w:tr>
      <w:tr w14:paraId="49362924">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45C2D3">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1546D50">
            <w:pPr>
              <w:widowControl/>
              <w:jc w:val="left"/>
              <w:rPr>
                <w:rFonts w:hint="eastAsia" w:ascii="仿宋" w:hAnsi="仿宋" w:eastAsia="仿宋" w:cs="仿宋"/>
                <w:kern w:val="0"/>
                <w:sz w:val="22"/>
              </w:rPr>
            </w:pPr>
            <w:r>
              <w:rPr>
                <w:rFonts w:hint="eastAsia" w:ascii="仿宋" w:hAnsi="仿宋" w:eastAsia="仿宋" w:cs="仿宋"/>
                <w:kern w:val="0"/>
                <w:sz w:val="22"/>
              </w:rPr>
              <w:t>1.服务响应效率：大于1小时次数</w:t>
            </w:r>
            <w:r>
              <w:rPr>
                <w:rFonts w:hint="eastAsia" w:ascii="仿宋" w:hAnsi="仿宋" w:eastAsia="仿宋" w:cs="仿宋"/>
                <w:kern w:val="0"/>
                <w:sz w:val="22"/>
                <w:u w:val="single"/>
              </w:rPr>
              <w:t xml:space="preserve">  </w:t>
            </w:r>
            <w:r>
              <w:rPr>
                <w:rFonts w:hint="eastAsia" w:ascii="仿宋" w:hAnsi="仿宋" w:eastAsia="仿宋" w:cs="仿宋"/>
                <w:kern w:val="0"/>
                <w:sz w:val="22"/>
              </w:rPr>
              <w:t>次</w:t>
            </w:r>
          </w:p>
          <w:p w14:paraId="6F6CB4AE">
            <w:pPr>
              <w:widowControl/>
              <w:jc w:val="left"/>
              <w:rPr>
                <w:rFonts w:hint="eastAsia" w:ascii="仿宋" w:hAnsi="仿宋" w:eastAsia="仿宋" w:cs="仿宋"/>
                <w:kern w:val="0"/>
                <w:sz w:val="22"/>
              </w:rPr>
            </w:pPr>
            <w:r>
              <w:rPr>
                <w:rFonts w:hint="eastAsia" w:ascii="仿宋" w:hAnsi="仿宋" w:eastAsia="仿宋" w:cs="仿宋"/>
                <w:kern w:val="0"/>
                <w:sz w:val="22"/>
              </w:rPr>
              <w:t>响应问题及处理问题时间大于1小时一次，则扣减1%合同款，按次数累计。</w:t>
            </w:r>
          </w:p>
          <w:p w14:paraId="183A7266">
            <w:pPr>
              <w:widowControl/>
              <w:jc w:val="left"/>
              <w:rPr>
                <w:rFonts w:hint="eastAsia" w:ascii="仿宋" w:hAnsi="仿宋" w:eastAsia="仿宋" w:cs="仿宋"/>
                <w:sz w:val="22"/>
              </w:rPr>
            </w:pPr>
            <w:r>
              <w:rPr>
                <w:rFonts w:hint="eastAsia" w:ascii="仿宋" w:hAnsi="仿宋" w:eastAsia="仿宋" w:cs="仿宋"/>
                <w:sz w:val="22"/>
              </w:rPr>
              <w:t>2.因乙方未提前通知导致甲方系统故障：故障次数</w:t>
            </w:r>
            <w:r>
              <w:rPr>
                <w:rFonts w:hint="eastAsia" w:ascii="仿宋" w:hAnsi="仿宋" w:eastAsia="仿宋" w:cs="仿宋"/>
                <w:kern w:val="0"/>
                <w:sz w:val="22"/>
                <w:u w:val="single"/>
              </w:rPr>
              <w:t xml:space="preserve">  </w:t>
            </w:r>
            <w:r>
              <w:rPr>
                <w:rFonts w:hint="eastAsia" w:ascii="仿宋" w:hAnsi="仿宋" w:eastAsia="仿宋" w:cs="仿宋"/>
                <w:kern w:val="0"/>
                <w:sz w:val="22"/>
              </w:rPr>
              <w:t>次</w:t>
            </w:r>
          </w:p>
          <w:p w14:paraId="56D7533D">
            <w:pPr>
              <w:widowControl/>
              <w:jc w:val="left"/>
              <w:rPr>
                <w:rFonts w:hint="eastAsia" w:ascii="仿宋" w:hAnsi="仿宋" w:eastAsia="仿宋" w:cs="仿宋"/>
                <w:kern w:val="0"/>
                <w:sz w:val="24"/>
                <w:szCs w:val="24"/>
              </w:rPr>
            </w:pPr>
            <w:r>
              <w:rPr>
                <w:rFonts w:hint="eastAsia" w:ascii="仿宋" w:hAnsi="仿宋" w:eastAsia="仿宋" w:cs="仿宋"/>
                <w:kern w:val="0"/>
                <w:sz w:val="22"/>
              </w:rPr>
              <w:t>一次致命故障扣</w:t>
            </w:r>
            <w:r>
              <w:rPr>
                <w:rFonts w:hint="eastAsia" w:ascii="仿宋" w:hAnsi="仿宋" w:eastAsia="仿宋" w:cs="仿宋"/>
                <w:kern w:val="0"/>
                <w:sz w:val="22"/>
                <w:lang w:val="en-US" w:eastAsia="zh-CN"/>
              </w:rPr>
              <w:t>违约金为</w:t>
            </w:r>
            <w:r>
              <w:rPr>
                <w:rFonts w:hint="eastAsia" w:ascii="仿宋" w:hAnsi="仿宋" w:eastAsia="仿宋" w:cs="仿宋"/>
                <w:kern w:val="0"/>
                <w:sz w:val="22"/>
              </w:rPr>
              <w:t>合同金额的5%，一次严重故障扣</w:t>
            </w:r>
            <w:r>
              <w:rPr>
                <w:rFonts w:hint="eastAsia" w:ascii="仿宋" w:hAnsi="仿宋" w:eastAsia="仿宋" w:cs="仿宋"/>
                <w:kern w:val="0"/>
                <w:sz w:val="22"/>
                <w:lang w:val="en-US" w:eastAsia="zh-CN"/>
              </w:rPr>
              <w:t>违约金为</w:t>
            </w:r>
            <w:r>
              <w:rPr>
                <w:rFonts w:hint="eastAsia" w:ascii="仿宋" w:hAnsi="仿宋" w:eastAsia="仿宋" w:cs="仿宋"/>
                <w:kern w:val="0"/>
                <w:sz w:val="22"/>
              </w:rPr>
              <w:t>合同金额的3%，一次一般故障扣</w:t>
            </w:r>
            <w:r>
              <w:rPr>
                <w:rFonts w:hint="eastAsia" w:ascii="仿宋" w:hAnsi="仿宋" w:eastAsia="仿宋" w:cs="仿宋"/>
                <w:kern w:val="0"/>
                <w:sz w:val="22"/>
                <w:lang w:val="en-US" w:eastAsia="zh-CN"/>
              </w:rPr>
              <w:t>违约金为</w:t>
            </w:r>
            <w:r>
              <w:rPr>
                <w:rFonts w:hint="eastAsia" w:ascii="仿宋" w:hAnsi="仿宋" w:eastAsia="仿宋" w:cs="仿宋"/>
                <w:kern w:val="0"/>
                <w:sz w:val="22"/>
              </w:rPr>
              <w:t>合同金额的1%。</w:t>
            </w:r>
          </w:p>
        </w:tc>
      </w:tr>
      <w:tr w14:paraId="35E467E3">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F478CB">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3A7ABCE5">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其他：</w:t>
            </w:r>
          </w:p>
        </w:tc>
      </w:tr>
      <w:tr w14:paraId="1A1C1611">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F303BE">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73024C9">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评价人：              </w:t>
            </w:r>
          </w:p>
          <w:p w14:paraId="6DBCC492">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评价日期：</w:t>
            </w:r>
          </w:p>
        </w:tc>
      </w:tr>
      <w:tr w14:paraId="5E7192C8">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097C8">
            <w:pPr>
              <w:rPr>
                <w:rFonts w:hint="eastAsia" w:ascii="仿宋" w:hAnsi="仿宋" w:eastAsia="仿宋" w:cs="仿宋"/>
                <w:bCs/>
                <w:sz w:val="24"/>
                <w:szCs w:val="24"/>
              </w:rPr>
            </w:pPr>
            <w:r>
              <w:rPr>
                <w:rFonts w:hint="eastAsia" w:ascii="仿宋" w:hAnsi="仿宋" w:eastAsia="仿宋" w:cs="仿宋"/>
                <w:bCs/>
                <w:sz w:val="24"/>
                <w:szCs w:val="24"/>
              </w:rPr>
              <w:t>监理单位（盖章）：</w:t>
            </w:r>
          </w:p>
          <w:p w14:paraId="170472C4">
            <w:pPr>
              <w:rPr>
                <w:rFonts w:hint="eastAsia" w:ascii="仿宋" w:hAnsi="仿宋" w:eastAsia="仿宋" w:cs="仿宋"/>
                <w:bCs/>
                <w:sz w:val="22"/>
              </w:rPr>
            </w:pPr>
          </w:p>
          <w:p w14:paraId="16D2EA66">
            <w:pPr>
              <w:rPr>
                <w:rFonts w:hint="eastAsia" w:ascii="仿宋" w:hAnsi="仿宋" w:eastAsia="仿宋" w:cs="仿宋"/>
                <w:bCs/>
                <w:sz w:val="22"/>
              </w:rPr>
            </w:pPr>
          </w:p>
          <w:p w14:paraId="1911300D">
            <w:pPr>
              <w:rPr>
                <w:rFonts w:hint="eastAsia" w:ascii="仿宋" w:hAnsi="仿宋" w:eastAsia="仿宋" w:cs="仿宋"/>
                <w:sz w:val="24"/>
                <w:szCs w:val="24"/>
              </w:rPr>
            </w:pPr>
            <w:r>
              <w:rPr>
                <w:rFonts w:hint="eastAsia" w:ascii="仿宋" w:hAnsi="仿宋" w:eastAsia="仿宋" w:cs="仿宋"/>
                <w:bCs/>
                <w:sz w:val="24"/>
                <w:szCs w:val="24"/>
              </w:rPr>
              <w:t>监理工程师：</w:t>
            </w:r>
            <w:r>
              <w:rPr>
                <w:rFonts w:hint="eastAsia" w:ascii="仿宋" w:hAnsi="仿宋" w:eastAsia="仿宋" w:cs="仿宋"/>
                <w:sz w:val="24"/>
                <w:szCs w:val="24"/>
              </w:rPr>
              <w:t>____________</w:t>
            </w:r>
          </w:p>
          <w:p w14:paraId="529F61EA">
            <w:pPr>
              <w:rPr>
                <w:rFonts w:hint="eastAsia" w:ascii="仿宋" w:hAnsi="仿宋" w:eastAsia="仿宋" w:cs="仿宋"/>
                <w:sz w:val="22"/>
                <w:szCs w:val="21"/>
              </w:rPr>
            </w:pPr>
            <w:r>
              <w:rPr>
                <w:rFonts w:hint="eastAsia" w:ascii="仿宋" w:hAnsi="仿宋" w:eastAsia="仿宋" w:cs="仿宋"/>
                <w:bCs/>
                <w:sz w:val="24"/>
                <w:szCs w:val="24"/>
              </w:rPr>
              <w:t>日      期：</w:t>
            </w:r>
            <w:r>
              <w:rPr>
                <w:rFonts w:hint="eastAsia" w:ascii="仿宋" w:hAnsi="仿宋" w:eastAsia="仿宋" w:cs="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453E7ABE">
            <w:pPr>
              <w:rPr>
                <w:rFonts w:hint="eastAsia" w:ascii="仿宋" w:hAnsi="仿宋" w:eastAsia="仿宋" w:cs="仿宋"/>
                <w:bCs/>
                <w:sz w:val="24"/>
                <w:szCs w:val="24"/>
              </w:rPr>
            </w:pPr>
            <w:r>
              <w:rPr>
                <w:rFonts w:hint="eastAsia" w:ascii="仿宋" w:hAnsi="仿宋" w:eastAsia="仿宋" w:cs="仿宋"/>
                <w:bCs/>
                <w:sz w:val="24"/>
                <w:szCs w:val="24"/>
              </w:rPr>
              <w:t>审计单位（盖章）：</w:t>
            </w:r>
          </w:p>
          <w:p w14:paraId="00523A4E">
            <w:pPr>
              <w:rPr>
                <w:rFonts w:hint="eastAsia" w:ascii="仿宋" w:hAnsi="仿宋" w:eastAsia="仿宋" w:cs="仿宋"/>
                <w:bCs/>
                <w:sz w:val="22"/>
              </w:rPr>
            </w:pPr>
          </w:p>
          <w:p w14:paraId="1C14123F">
            <w:pPr>
              <w:rPr>
                <w:rFonts w:hint="eastAsia" w:ascii="仿宋" w:hAnsi="仿宋" w:eastAsia="仿宋" w:cs="仿宋"/>
                <w:bCs/>
                <w:sz w:val="22"/>
              </w:rPr>
            </w:pPr>
          </w:p>
          <w:p w14:paraId="72A73AC4">
            <w:pPr>
              <w:rPr>
                <w:rFonts w:hint="eastAsia" w:ascii="仿宋" w:hAnsi="仿宋" w:eastAsia="仿宋" w:cs="仿宋"/>
                <w:sz w:val="24"/>
                <w:szCs w:val="24"/>
              </w:rPr>
            </w:pPr>
            <w:r>
              <w:rPr>
                <w:rFonts w:hint="eastAsia" w:ascii="仿宋" w:hAnsi="仿宋" w:eastAsia="仿宋" w:cs="仿宋"/>
                <w:bCs/>
                <w:sz w:val="24"/>
                <w:szCs w:val="24"/>
              </w:rPr>
              <w:t>单位代表：</w:t>
            </w:r>
            <w:r>
              <w:rPr>
                <w:rFonts w:hint="eastAsia" w:ascii="仿宋" w:hAnsi="仿宋" w:eastAsia="仿宋" w:cs="仿宋"/>
                <w:sz w:val="24"/>
                <w:szCs w:val="24"/>
              </w:rPr>
              <w:t>____________</w:t>
            </w:r>
          </w:p>
          <w:p w14:paraId="22D1EDBE">
            <w:pPr>
              <w:widowControl/>
              <w:jc w:val="left"/>
              <w:rPr>
                <w:rFonts w:hint="eastAsia" w:ascii="仿宋" w:hAnsi="仿宋" w:eastAsia="仿宋" w:cs="仿宋"/>
                <w:kern w:val="0"/>
                <w:sz w:val="24"/>
                <w:szCs w:val="24"/>
              </w:rPr>
            </w:pPr>
            <w:r>
              <w:rPr>
                <w:rFonts w:hint="eastAsia" w:ascii="仿宋" w:hAnsi="仿宋" w:eastAsia="仿宋" w:cs="仿宋"/>
                <w:bCs/>
                <w:sz w:val="24"/>
                <w:szCs w:val="24"/>
              </w:rPr>
              <w:t>日    期：</w:t>
            </w:r>
            <w:r>
              <w:rPr>
                <w:rFonts w:hint="eastAsia" w:ascii="仿宋" w:hAnsi="仿宋" w:eastAsia="仿宋" w:cs="仿宋"/>
                <w:sz w:val="24"/>
                <w:szCs w:val="24"/>
              </w:rPr>
              <w:t>____________</w:t>
            </w:r>
          </w:p>
        </w:tc>
      </w:tr>
    </w:tbl>
    <w:p w14:paraId="57593FA4">
      <w:pPr>
        <w:pStyle w:val="12"/>
        <w:rPr>
          <w:rFonts w:hint="eastAsia" w:ascii="仿宋" w:hAnsi="仿宋" w:eastAsia="仿宋" w:cs="仿宋"/>
          <w:kern w:val="0"/>
          <w:sz w:val="22"/>
        </w:rPr>
      </w:pPr>
      <w:r>
        <w:rPr>
          <w:rFonts w:hint="eastAsia" w:ascii="仿宋" w:hAnsi="仿宋" w:eastAsia="仿宋" w:cs="仿宋"/>
        </w:rPr>
        <w:t xml:space="preserve"> </w:t>
      </w:r>
      <w:r>
        <w:rPr>
          <w:rFonts w:hint="eastAsia" w:ascii="仿宋" w:hAnsi="仿宋" w:eastAsia="仿宋" w:cs="仿宋"/>
          <w:kern w:val="0"/>
          <w:sz w:val="22"/>
        </w:rPr>
        <w:t>注：可根据实际情况修改</w:t>
      </w:r>
    </w:p>
    <w:p w14:paraId="05182A18">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长城仿宋">
    <w:altName w:val="微软雅黑"/>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0F01D">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7F617B21">
                          <w:pPr>
                            <w:pStyle w:val="14"/>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7F617B21">
                    <w:pPr>
                      <w:pStyle w:val="14"/>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CA8ABB7"/>
    <w:multiLevelType w:val="singleLevel"/>
    <w:tmpl w:val="0CA8ABB7"/>
    <w:lvl w:ilvl="0" w:tentative="0">
      <w:start w:val="1"/>
      <w:numFmt w:val="decimal"/>
      <w:lvlText w:val="(%1)"/>
      <w:lvlJc w:val="left"/>
      <w:pPr>
        <w:ind w:left="425" w:hanging="425"/>
      </w:pPr>
      <w:rPr>
        <w:rFonts w:hint="default"/>
      </w:rPr>
    </w:lvl>
  </w:abstractNum>
  <w:abstractNum w:abstractNumId="2">
    <w:nsid w:val="5B01ADC1"/>
    <w:multiLevelType w:val="singleLevel"/>
    <w:tmpl w:val="5B01ADC1"/>
    <w:lvl w:ilvl="0" w:tentative="0">
      <w:start w:val="1"/>
      <w:numFmt w:val="decimal"/>
      <w:lvlText w:val="(%1)"/>
      <w:lvlJc w:val="left"/>
      <w:pPr>
        <w:ind w:left="425" w:hanging="425"/>
      </w:pPr>
      <w:rPr>
        <w:rFonts w:hint="default"/>
      </w:rPr>
    </w:lvl>
  </w:abstractNum>
  <w:abstractNum w:abstractNumId="3">
    <w:nsid w:val="66111CA5"/>
    <w:multiLevelType w:val="singleLevel"/>
    <w:tmpl w:val="66111CA5"/>
    <w:lvl w:ilvl="0" w:tentative="0">
      <w:start w:val="1"/>
      <w:numFmt w:val="chineseCounting"/>
      <w:suff w:val="nothing"/>
      <w:lvlText w:val="（%1）"/>
      <w:lvlJc w:val="left"/>
      <w:rPr>
        <w:rFonts w:hint="eastAsia"/>
      </w:rPr>
    </w:lvl>
  </w:abstractNum>
  <w:abstractNum w:abstractNumId="4">
    <w:nsid w:val="70566901"/>
    <w:multiLevelType w:val="singleLevel"/>
    <w:tmpl w:val="70566901"/>
    <w:lvl w:ilvl="0" w:tentative="0">
      <w:start w:val="1"/>
      <w:numFmt w:val="decimal"/>
      <w:lvlText w:val="(%1)"/>
      <w:lvlJc w:val="left"/>
      <w:pPr>
        <w:ind w:left="425" w:hanging="425"/>
      </w:pPr>
      <w:rPr>
        <w:rFont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jMjZmZmM4OTVkYjdmYjM0ZGIwYzdlMDExOTkxODgifQ=="/>
  </w:docVars>
  <w:rsids>
    <w:rsidRoot w:val="7D6E4020"/>
    <w:rsid w:val="001669D4"/>
    <w:rsid w:val="0023497B"/>
    <w:rsid w:val="00277B2C"/>
    <w:rsid w:val="0028501B"/>
    <w:rsid w:val="003A2DF1"/>
    <w:rsid w:val="003E3EC5"/>
    <w:rsid w:val="00417DB0"/>
    <w:rsid w:val="004277C9"/>
    <w:rsid w:val="00485BD8"/>
    <w:rsid w:val="004D32A7"/>
    <w:rsid w:val="007423D5"/>
    <w:rsid w:val="00791462"/>
    <w:rsid w:val="00862FFF"/>
    <w:rsid w:val="00877A82"/>
    <w:rsid w:val="008D25A7"/>
    <w:rsid w:val="008E2F04"/>
    <w:rsid w:val="0092257C"/>
    <w:rsid w:val="00987283"/>
    <w:rsid w:val="00A30C08"/>
    <w:rsid w:val="00A364E9"/>
    <w:rsid w:val="00A52916"/>
    <w:rsid w:val="00B24CCB"/>
    <w:rsid w:val="00BB6565"/>
    <w:rsid w:val="00C83164"/>
    <w:rsid w:val="00D11A55"/>
    <w:rsid w:val="00DE56A5"/>
    <w:rsid w:val="00DF272C"/>
    <w:rsid w:val="00DF586D"/>
    <w:rsid w:val="00E00669"/>
    <w:rsid w:val="00E806DD"/>
    <w:rsid w:val="00E94DDB"/>
    <w:rsid w:val="00F00D9D"/>
    <w:rsid w:val="00F079C1"/>
    <w:rsid w:val="00F16758"/>
    <w:rsid w:val="00F72B62"/>
    <w:rsid w:val="01001B5E"/>
    <w:rsid w:val="01761E20"/>
    <w:rsid w:val="01B41878"/>
    <w:rsid w:val="02262316"/>
    <w:rsid w:val="0241242E"/>
    <w:rsid w:val="02647ECA"/>
    <w:rsid w:val="02CB70B6"/>
    <w:rsid w:val="02D16896"/>
    <w:rsid w:val="03604B36"/>
    <w:rsid w:val="03685798"/>
    <w:rsid w:val="03CA4BC5"/>
    <w:rsid w:val="0446301E"/>
    <w:rsid w:val="04640655"/>
    <w:rsid w:val="04700DA8"/>
    <w:rsid w:val="04A70542"/>
    <w:rsid w:val="05157BA2"/>
    <w:rsid w:val="052676B9"/>
    <w:rsid w:val="057051D0"/>
    <w:rsid w:val="05B178CA"/>
    <w:rsid w:val="05FB0AA5"/>
    <w:rsid w:val="06084DCB"/>
    <w:rsid w:val="06336531"/>
    <w:rsid w:val="0644429B"/>
    <w:rsid w:val="066466EB"/>
    <w:rsid w:val="076646E5"/>
    <w:rsid w:val="08053EFD"/>
    <w:rsid w:val="08055CAB"/>
    <w:rsid w:val="0842480A"/>
    <w:rsid w:val="086A053C"/>
    <w:rsid w:val="08DF719C"/>
    <w:rsid w:val="090C6859"/>
    <w:rsid w:val="095858F4"/>
    <w:rsid w:val="097F383C"/>
    <w:rsid w:val="09BE4364"/>
    <w:rsid w:val="0AEF054D"/>
    <w:rsid w:val="0AFD0EBC"/>
    <w:rsid w:val="0B41349E"/>
    <w:rsid w:val="0B6F074F"/>
    <w:rsid w:val="0DC43CFC"/>
    <w:rsid w:val="0E3015A8"/>
    <w:rsid w:val="0EE5365C"/>
    <w:rsid w:val="0F047181"/>
    <w:rsid w:val="0F455F66"/>
    <w:rsid w:val="0F474788"/>
    <w:rsid w:val="0F9C6A04"/>
    <w:rsid w:val="109202F8"/>
    <w:rsid w:val="114C04A7"/>
    <w:rsid w:val="119500A0"/>
    <w:rsid w:val="120C1E5B"/>
    <w:rsid w:val="120E7E53"/>
    <w:rsid w:val="12883761"/>
    <w:rsid w:val="12A54313"/>
    <w:rsid w:val="12A9338F"/>
    <w:rsid w:val="12B83874"/>
    <w:rsid w:val="137D5290"/>
    <w:rsid w:val="13C609E5"/>
    <w:rsid w:val="146D70B2"/>
    <w:rsid w:val="146F2E2A"/>
    <w:rsid w:val="14C667C2"/>
    <w:rsid w:val="157E709D"/>
    <w:rsid w:val="158A3C94"/>
    <w:rsid w:val="160457F4"/>
    <w:rsid w:val="16FA50C1"/>
    <w:rsid w:val="1707445B"/>
    <w:rsid w:val="179A2437"/>
    <w:rsid w:val="18014A84"/>
    <w:rsid w:val="181D5F2A"/>
    <w:rsid w:val="18495740"/>
    <w:rsid w:val="199930AE"/>
    <w:rsid w:val="19CF4B5B"/>
    <w:rsid w:val="1A5328A6"/>
    <w:rsid w:val="1A65516F"/>
    <w:rsid w:val="1AD0039B"/>
    <w:rsid w:val="1BBC447B"/>
    <w:rsid w:val="1CE66C90"/>
    <w:rsid w:val="1E4335C2"/>
    <w:rsid w:val="1E65704C"/>
    <w:rsid w:val="1F6A2B6C"/>
    <w:rsid w:val="1FF2755E"/>
    <w:rsid w:val="2000702C"/>
    <w:rsid w:val="20174376"/>
    <w:rsid w:val="20FC3C98"/>
    <w:rsid w:val="223B6BE7"/>
    <w:rsid w:val="225A431E"/>
    <w:rsid w:val="226979B7"/>
    <w:rsid w:val="22DE7198"/>
    <w:rsid w:val="22F55AC0"/>
    <w:rsid w:val="23403BE4"/>
    <w:rsid w:val="239D4B92"/>
    <w:rsid w:val="244119C2"/>
    <w:rsid w:val="24653902"/>
    <w:rsid w:val="247578BD"/>
    <w:rsid w:val="255319AC"/>
    <w:rsid w:val="258E6E89"/>
    <w:rsid w:val="26E56F7C"/>
    <w:rsid w:val="27604855"/>
    <w:rsid w:val="27ED199F"/>
    <w:rsid w:val="289D1E48"/>
    <w:rsid w:val="2920311A"/>
    <w:rsid w:val="2AD9410F"/>
    <w:rsid w:val="2AEF2177"/>
    <w:rsid w:val="2B597F39"/>
    <w:rsid w:val="2C167BD8"/>
    <w:rsid w:val="2C1764CE"/>
    <w:rsid w:val="2C414C55"/>
    <w:rsid w:val="2CD23AFF"/>
    <w:rsid w:val="2DBB27E5"/>
    <w:rsid w:val="2E13617D"/>
    <w:rsid w:val="2E2C79CF"/>
    <w:rsid w:val="2F4607D4"/>
    <w:rsid w:val="2F4835BE"/>
    <w:rsid w:val="2FA71273"/>
    <w:rsid w:val="2FBB2F70"/>
    <w:rsid w:val="30406145"/>
    <w:rsid w:val="304C3BC8"/>
    <w:rsid w:val="30A34BEA"/>
    <w:rsid w:val="30F027A5"/>
    <w:rsid w:val="31091AB9"/>
    <w:rsid w:val="31EF7018"/>
    <w:rsid w:val="321E33AC"/>
    <w:rsid w:val="32914DBA"/>
    <w:rsid w:val="32C06ACD"/>
    <w:rsid w:val="32F00F21"/>
    <w:rsid w:val="33095DA0"/>
    <w:rsid w:val="331704BD"/>
    <w:rsid w:val="33AF6948"/>
    <w:rsid w:val="33D75E9F"/>
    <w:rsid w:val="33DB773D"/>
    <w:rsid w:val="34EC7728"/>
    <w:rsid w:val="35613C72"/>
    <w:rsid w:val="361F7762"/>
    <w:rsid w:val="365B2DB7"/>
    <w:rsid w:val="36873BAC"/>
    <w:rsid w:val="36E64AC3"/>
    <w:rsid w:val="37773C20"/>
    <w:rsid w:val="37826121"/>
    <w:rsid w:val="384D2BD3"/>
    <w:rsid w:val="38AF73EA"/>
    <w:rsid w:val="397C107A"/>
    <w:rsid w:val="39A700C1"/>
    <w:rsid w:val="3B40257B"/>
    <w:rsid w:val="3B60005A"/>
    <w:rsid w:val="3BC9431F"/>
    <w:rsid w:val="3BCA412D"/>
    <w:rsid w:val="3BF96E10"/>
    <w:rsid w:val="3CD218F9"/>
    <w:rsid w:val="3D66208B"/>
    <w:rsid w:val="3DDD67A7"/>
    <w:rsid w:val="3DED69EA"/>
    <w:rsid w:val="3E1C72D0"/>
    <w:rsid w:val="3E304B60"/>
    <w:rsid w:val="3E377C66"/>
    <w:rsid w:val="3E4E4FAF"/>
    <w:rsid w:val="3E554590"/>
    <w:rsid w:val="3EF43DA9"/>
    <w:rsid w:val="3F081602"/>
    <w:rsid w:val="3F3643C1"/>
    <w:rsid w:val="3FB84DD6"/>
    <w:rsid w:val="3FE77469"/>
    <w:rsid w:val="404B17A6"/>
    <w:rsid w:val="406477B5"/>
    <w:rsid w:val="40DF0EB0"/>
    <w:rsid w:val="416A64CB"/>
    <w:rsid w:val="418331C2"/>
    <w:rsid w:val="41FD2F74"/>
    <w:rsid w:val="41FF0A9A"/>
    <w:rsid w:val="42133BE7"/>
    <w:rsid w:val="4267663F"/>
    <w:rsid w:val="42BE0955"/>
    <w:rsid w:val="45054EF4"/>
    <w:rsid w:val="461D1CC4"/>
    <w:rsid w:val="46405B25"/>
    <w:rsid w:val="46511AE0"/>
    <w:rsid w:val="465D66D7"/>
    <w:rsid w:val="46696E2A"/>
    <w:rsid w:val="46BA58D8"/>
    <w:rsid w:val="46C978C9"/>
    <w:rsid w:val="46ED1809"/>
    <w:rsid w:val="47CF53B3"/>
    <w:rsid w:val="47FE1147"/>
    <w:rsid w:val="487F0B87"/>
    <w:rsid w:val="48831983"/>
    <w:rsid w:val="48B16866"/>
    <w:rsid w:val="494E0559"/>
    <w:rsid w:val="497F0713"/>
    <w:rsid w:val="49C600F0"/>
    <w:rsid w:val="49DB003F"/>
    <w:rsid w:val="4BF21670"/>
    <w:rsid w:val="4C2A21D8"/>
    <w:rsid w:val="4D5A74CD"/>
    <w:rsid w:val="4DD70B1D"/>
    <w:rsid w:val="4DF069EE"/>
    <w:rsid w:val="4E1622A9"/>
    <w:rsid w:val="4E9B4950"/>
    <w:rsid w:val="4F5148FF"/>
    <w:rsid w:val="4F6665FD"/>
    <w:rsid w:val="4FD84499"/>
    <w:rsid w:val="50772144"/>
    <w:rsid w:val="51256043"/>
    <w:rsid w:val="512F121B"/>
    <w:rsid w:val="51510956"/>
    <w:rsid w:val="51B014ED"/>
    <w:rsid w:val="522E0F28"/>
    <w:rsid w:val="526101B1"/>
    <w:rsid w:val="52862B12"/>
    <w:rsid w:val="52B4601C"/>
    <w:rsid w:val="52E87329"/>
    <w:rsid w:val="52FE08FA"/>
    <w:rsid w:val="533F163E"/>
    <w:rsid w:val="53C51418"/>
    <w:rsid w:val="53E977FC"/>
    <w:rsid w:val="53EB70D0"/>
    <w:rsid w:val="555E7D76"/>
    <w:rsid w:val="562C77D6"/>
    <w:rsid w:val="56D42182"/>
    <w:rsid w:val="576D686E"/>
    <w:rsid w:val="58202FED"/>
    <w:rsid w:val="58712EA8"/>
    <w:rsid w:val="58D70852"/>
    <w:rsid w:val="58E10AA2"/>
    <w:rsid w:val="5A33357F"/>
    <w:rsid w:val="5A5D05FC"/>
    <w:rsid w:val="5A821E11"/>
    <w:rsid w:val="5AAD1584"/>
    <w:rsid w:val="5AC643F3"/>
    <w:rsid w:val="5C1B6403"/>
    <w:rsid w:val="5C544FEF"/>
    <w:rsid w:val="5C8956D8"/>
    <w:rsid w:val="5C931820"/>
    <w:rsid w:val="5CC606DB"/>
    <w:rsid w:val="5E40270F"/>
    <w:rsid w:val="5EB36A3D"/>
    <w:rsid w:val="5ECD3241"/>
    <w:rsid w:val="5F0059FA"/>
    <w:rsid w:val="5F7F2518"/>
    <w:rsid w:val="5FB10752"/>
    <w:rsid w:val="5FBE6A00"/>
    <w:rsid w:val="5FF05A6E"/>
    <w:rsid w:val="60031C46"/>
    <w:rsid w:val="606049A2"/>
    <w:rsid w:val="607B7A2E"/>
    <w:rsid w:val="609805E0"/>
    <w:rsid w:val="61314591"/>
    <w:rsid w:val="61370E69"/>
    <w:rsid w:val="614B38A4"/>
    <w:rsid w:val="619F774C"/>
    <w:rsid w:val="623954AB"/>
    <w:rsid w:val="623B7475"/>
    <w:rsid w:val="626C2114"/>
    <w:rsid w:val="62AF08F4"/>
    <w:rsid w:val="62CA07C4"/>
    <w:rsid w:val="62D45EE4"/>
    <w:rsid w:val="62E775FD"/>
    <w:rsid w:val="62EC4C13"/>
    <w:rsid w:val="63251B06"/>
    <w:rsid w:val="635F4F07"/>
    <w:rsid w:val="636B1FDC"/>
    <w:rsid w:val="65424FBE"/>
    <w:rsid w:val="659155FE"/>
    <w:rsid w:val="65EE6DAE"/>
    <w:rsid w:val="664C46D4"/>
    <w:rsid w:val="66753212"/>
    <w:rsid w:val="669030F5"/>
    <w:rsid w:val="6692787F"/>
    <w:rsid w:val="67281F92"/>
    <w:rsid w:val="675D1C3B"/>
    <w:rsid w:val="67E1461B"/>
    <w:rsid w:val="683B1F5B"/>
    <w:rsid w:val="68491A54"/>
    <w:rsid w:val="6874548F"/>
    <w:rsid w:val="68991C29"/>
    <w:rsid w:val="68993147"/>
    <w:rsid w:val="69226254"/>
    <w:rsid w:val="6959133C"/>
    <w:rsid w:val="6A8614A9"/>
    <w:rsid w:val="6ACE4BFE"/>
    <w:rsid w:val="6ADE12E5"/>
    <w:rsid w:val="6AE4362B"/>
    <w:rsid w:val="6CB247D7"/>
    <w:rsid w:val="6D3C0545"/>
    <w:rsid w:val="6D984D2F"/>
    <w:rsid w:val="6E95615F"/>
    <w:rsid w:val="6EC7455C"/>
    <w:rsid w:val="6F7E4E45"/>
    <w:rsid w:val="6F80296B"/>
    <w:rsid w:val="711D41EA"/>
    <w:rsid w:val="71551BD5"/>
    <w:rsid w:val="716A5681"/>
    <w:rsid w:val="72F83160"/>
    <w:rsid w:val="74341F76"/>
    <w:rsid w:val="74560177"/>
    <w:rsid w:val="74E67714"/>
    <w:rsid w:val="757005AB"/>
    <w:rsid w:val="75766EB3"/>
    <w:rsid w:val="75CA033B"/>
    <w:rsid w:val="766D0681"/>
    <w:rsid w:val="76CC781D"/>
    <w:rsid w:val="76F00AAF"/>
    <w:rsid w:val="77B92EBE"/>
    <w:rsid w:val="77D51D15"/>
    <w:rsid w:val="78591FAB"/>
    <w:rsid w:val="78DA2614"/>
    <w:rsid w:val="79D97847"/>
    <w:rsid w:val="7A3F966F"/>
    <w:rsid w:val="7B454238"/>
    <w:rsid w:val="7B9F686F"/>
    <w:rsid w:val="7C0E4E57"/>
    <w:rsid w:val="7C266551"/>
    <w:rsid w:val="7C9B5288"/>
    <w:rsid w:val="7CA73C2D"/>
    <w:rsid w:val="7CBE0F77"/>
    <w:rsid w:val="7D6E4020"/>
    <w:rsid w:val="7DFB7D0E"/>
    <w:rsid w:val="7E140335"/>
    <w:rsid w:val="7E17093E"/>
    <w:rsid w:val="7E9E696A"/>
    <w:rsid w:val="7EE14738"/>
    <w:rsid w:val="EF1F1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9"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99"/>
    <w:pPr>
      <w:keepNext/>
      <w:keepLines/>
      <w:spacing w:before="340" w:after="330" w:line="578" w:lineRule="auto"/>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6"/>
    <w:autoRedefine/>
    <w:unhideWhenUsed/>
    <w:qFormat/>
    <w:uiPriority w:val="9"/>
    <w:pPr>
      <w:adjustRightInd w:val="0"/>
      <w:spacing w:before="160" w:after="160" w:line="560" w:lineRule="exact"/>
      <w:ind w:firstLine="200" w:firstLineChars="200"/>
      <w:outlineLvl w:val="2"/>
    </w:pPr>
    <w:rPr>
      <w:rFonts w:eastAsia="楷体"/>
      <w:bCs/>
      <w:szCs w:val="32"/>
    </w:rPr>
  </w:style>
  <w:style w:type="paragraph" w:styleId="7">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Cs/>
      <w:sz w:val="28"/>
      <w:szCs w:val="28"/>
    </w:rPr>
  </w:style>
  <w:style w:type="paragraph" w:styleId="8">
    <w:name w:val="heading 5"/>
    <w:basedOn w:val="1"/>
    <w:next w:val="1"/>
    <w:unhideWhenUsed/>
    <w:qFormat/>
    <w:uiPriority w:val="0"/>
    <w:pPr>
      <w:keepNext/>
      <w:keepLines/>
      <w:spacing w:before="280" w:after="290" w:line="372" w:lineRule="auto"/>
      <w:outlineLvl w:val="4"/>
    </w:pPr>
    <w:rPr>
      <w:b/>
      <w:sz w:val="28"/>
    </w:rPr>
  </w:style>
  <w:style w:type="paragraph" w:styleId="9">
    <w:name w:val="heading 6"/>
    <w:basedOn w:val="1"/>
    <w:next w:val="1"/>
    <w:link w:val="24"/>
    <w:autoRedefine/>
    <w:unhideWhenUsed/>
    <w:qFormat/>
    <w:uiPriority w:val="0"/>
    <w:pPr>
      <w:keepNext/>
      <w:keepLines/>
      <w:spacing w:before="240" w:after="64" w:line="317" w:lineRule="auto"/>
      <w:outlineLvl w:val="5"/>
    </w:pPr>
    <w:rPr>
      <w:rFonts w:ascii="Arial" w:hAnsi="Arial" w:eastAsia="黑体"/>
      <w:b/>
      <w:sz w:val="24"/>
    </w:rPr>
  </w:style>
  <w:style w:type="paragraph" w:styleId="10">
    <w:name w:val="heading 7"/>
    <w:basedOn w:val="1"/>
    <w:next w:val="1"/>
    <w:autoRedefine/>
    <w:unhideWhenUsed/>
    <w:qFormat/>
    <w:uiPriority w:val="0"/>
    <w:pPr>
      <w:keepNext/>
      <w:keepLines/>
      <w:spacing w:before="240" w:after="64" w:line="317" w:lineRule="auto"/>
      <w:outlineLvl w:val="6"/>
    </w:pPr>
    <w:rPr>
      <w:b/>
      <w:sz w:val="24"/>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1"/>
    <w:qFormat/>
    <w:uiPriority w:val="0"/>
    <w:pPr>
      <w:adjustRightInd w:val="0"/>
      <w:spacing w:line="360" w:lineRule="auto"/>
      <w:textAlignment w:val="baseline"/>
    </w:pPr>
    <w:rPr>
      <w:rFonts w:ascii="Arial" w:hAnsi="Arial" w:eastAsia="仿宋_GB2312"/>
      <w:kern w:val="0"/>
      <w:sz w:val="24"/>
      <w:szCs w:val="24"/>
    </w:rPr>
  </w:style>
  <w:style w:type="paragraph" w:customStyle="1" w:styleId="6">
    <w:name w:val="文档正文"/>
    <w:basedOn w:val="1"/>
    <w:autoRedefine/>
    <w:qFormat/>
    <w:uiPriority w:val="0"/>
    <w:pPr>
      <w:ind w:firstLine="567"/>
    </w:pPr>
    <w:rPr>
      <w:rFonts w:ascii="长城仿宋" w:hAnsi="Times New Roman" w:eastAsia="长城仿宋" w:cs="Times New Roman"/>
      <w:sz w:val="28"/>
      <w:szCs w:val="20"/>
    </w:rPr>
  </w:style>
  <w:style w:type="paragraph" w:styleId="11">
    <w:name w:val="Normal Indent"/>
    <w:basedOn w:val="1"/>
    <w:next w:val="1"/>
    <w:autoRedefine/>
    <w:qFormat/>
    <w:uiPriority w:val="0"/>
    <w:rPr>
      <w:rFonts w:ascii="Times New Roman" w:hAnsi="Times New Roman" w:eastAsia="宋体" w:cs="Times New Roman"/>
      <w:color w:val="000000"/>
      <w:szCs w:val="20"/>
    </w:rPr>
  </w:style>
  <w:style w:type="paragraph" w:styleId="12">
    <w:name w:val="annotation text"/>
    <w:basedOn w:val="1"/>
    <w:autoRedefine/>
    <w:unhideWhenUsed/>
    <w:qFormat/>
    <w:uiPriority w:val="0"/>
    <w:pPr>
      <w:jc w:val="left"/>
    </w:pPr>
  </w:style>
  <w:style w:type="paragraph" w:styleId="13">
    <w:name w:val="Body Text"/>
    <w:basedOn w:val="1"/>
    <w:autoRedefine/>
    <w:qFormat/>
    <w:uiPriority w:val="99"/>
    <w:pPr>
      <w:spacing w:after="120"/>
    </w:pPr>
  </w:style>
  <w:style w:type="paragraph" w:styleId="14">
    <w:name w:val="footer"/>
    <w:basedOn w:val="1"/>
    <w:autoRedefine/>
    <w:qFormat/>
    <w:uiPriority w:val="99"/>
    <w:pPr>
      <w:tabs>
        <w:tab w:val="center" w:pos="4153"/>
        <w:tab w:val="right" w:pos="8306"/>
      </w:tabs>
      <w:snapToGrid w:val="0"/>
      <w:jc w:val="left"/>
    </w:pPr>
    <w:rPr>
      <w:sz w:val="18"/>
      <w:szCs w:val="18"/>
    </w:rPr>
  </w:style>
  <w:style w:type="paragraph" w:styleId="15">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Body Text 2"/>
    <w:basedOn w:val="1"/>
    <w:autoRedefine/>
    <w:qFormat/>
    <w:uiPriority w:val="0"/>
    <w:pPr>
      <w:spacing w:after="120" w:line="480" w:lineRule="auto"/>
    </w:pPr>
  </w:style>
  <w:style w:type="paragraph" w:styleId="17">
    <w:name w:val="Normal (Web)"/>
    <w:basedOn w:val="1"/>
    <w:autoRedefine/>
    <w:qFormat/>
    <w:uiPriority w:val="99"/>
    <w:pPr>
      <w:widowControl/>
      <w:spacing w:before="100" w:beforeAutospacing="1" w:after="100" w:afterAutospacing="1"/>
      <w:jc w:val="left"/>
    </w:pPr>
    <w:rPr>
      <w:rFonts w:hint="eastAsia" w:ascii="宋体" w:hAnsi="宋体"/>
      <w:kern w:val="0"/>
      <w:sz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List Paragraph"/>
    <w:basedOn w:val="1"/>
    <w:autoRedefine/>
    <w:qFormat/>
    <w:uiPriority w:val="34"/>
    <w:pPr>
      <w:ind w:firstLine="420" w:firstLineChars="200"/>
    </w:pPr>
  </w:style>
  <w:style w:type="character" w:customStyle="1" w:styleId="22">
    <w:name w:val="font11"/>
    <w:basedOn w:val="20"/>
    <w:autoRedefine/>
    <w:qFormat/>
    <w:uiPriority w:val="0"/>
    <w:rPr>
      <w:rFonts w:hint="eastAsia" w:ascii="等线" w:hAnsi="等线" w:eastAsia="等线" w:cs="等线"/>
      <w:color w:val="000000"/>
      <w:sz w:val="20"/>
      <w:szCs w:val="20"/>
      <w:u w:val="none"/>
    </w:rPr>
  </w:style>
  <w:style w:type="table" w:customStyle="1" w:styleId="23">
    <w:name w:val="网格型1"/>
    <w:basedOn w:val="18"/>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标题 6 字符"/>
    <w:link w:val="9"/>
    <w:autoRedefine/>
    <w:qFormat/>
    <w:uiPriority w:val="0"/>
    <w:rPr>
      <w:rFonts w:ascii="Arial" w:hAnsi="Arial" w:eastAsia="黑体"/>
      <w:b/>
      <w:sz w:val="24"/>
    </w:rPr>
  </w:style>
  <w:style w:type="paragraph" w:customStyle="1" w:styleId="25">
    <w:name w:val="表格"/>
    <w:basedOn w:val="1"/>
    <w:autoRedefine/>
    <w:qFormat/>
    <w:uiPriority w:val="0"/>
    <w:rPr>
      <w:szCs w:val="20"/>
    </w:rPr>
  </w:style>
  <w:style w:type="paragraph" w:customStyle="1" w:styleId="26">
    <w:name w:val="样式2"/>
    <w:basedOn w:val="1"/>
    <w:autoRedefine/>
    <w:qFormat/>
    <w:uiPriority w:val="0"/>
    <w:pPr>
      <w:spacing w:line="440" w:lineRule="exact"/>
      <w:ind w:firstLine="539"/>
    </w:pPr>
    <w:rPr>
      <w:sz w:val="24"/>
      <w:szCs w:val="20"/>
    </w:rPr>
  </w:style>
  <w:style w:type="paragraph" w:customStyle="1" w:styleId="27">
    <w:name w:val="Table Text"/>
    <w:basedOn w:val="1"/>
    <w:autoRedefine/>
    <w:semiHidden/>
    <w:qFormat/>
    <w:uiPriority w:val="0"/>
    <w:rPr>
      <w:rFonts w:ascii="宋体" w:hAnsi="宋体" w:eastAsia="宋体" w:cs="宋体"/>
      <w:sz w:val="24"/>
      <w:szCs w:val="24"/>
      <w:lang w:eastAsia="en-US"/>
    </w:rPr>
  </w:style>
  <w:style w:type="table" w:customStyle="1" w:styleId="2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3738</Words>
  <Characters>3875</Characters>
  <Lines>123</Lines>
  <Paragraphs>132</Paragraphs>
  <TotalTime>0</TotalTime>
  <ScaleCrop>false</ScaleCrop>
  <LinksUpToDate>false</LinksUpToDate>
  <CharactersWithSpaces>3979</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2024-06-19T12:01:00Z</dcterms:created>
  <dc:creator>郭涵怡</dc:creator>
  <cp:lastModifiedBy>杨谨菲</cp:lastModifiedBy>
  <dcterms:modified xsi:type="dcterms:W3CDTF">2025-11-28T03:10:29Z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9C018EF19F4140A7A703C7E1E735CDEB_13</vt:lpwstr>
  </property>
</Properties>
</file>