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B084B3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需求说明</w:t>
      </w:r>
    </w:p>
    <w:p w14:paraId="76BF68BD">
      <w:pPr>
        <w:rPr>
          <w:rFonts w:hint="default"/>
          <w:lang w:val="en-US" w:eastAsia="zh-CN"/>
        </w:rPr>
      </w:pPr>
    </w:p>
    <w:p w14:paraId="3F147594">
      <w:pPr>
        <w:numPr>
          <w:numId w:val="0"/>
        </w:numPr>
        <w:rPr>
          <w:rFonts w:hint="eastAsia"/>
        </w:rPr>
      </w:pPr>
      <w:bookmarkStart w:id="0" w:name="_GoBack"/>
      <w:r>
        <w:rPr>
          <w:rFonts w:hint="eastAsia"/>
          <w:lang w:val="en-US" w:eastAsia="zh-CN"/>
        </w:rPr>
        <w:t>1.</w:t>
      </w:r>
      <w:r>
        <w:rPr>
          <w:rFonts w:hint="eastAsia"/>
        </w:rPr>
        <w:t>健康档案管理：支持对接或录入60岁以上居民基本信息、既往史、慢病及生活方式等数据，对接可穿戴生命体征监测设备，集中管理监测数据；</w:t>
      </w:r>
    </w:p>
    <w:p w14:paraId="29743D59">
      <w:pPr>
        <w:rPr>
          <w:rFonts w:hint="eastAsia"/>
        </w:rPr>
      </w:pPr>
      <w:r>
        <w:rPr>
          <w:rFonts w:hint="eastAsia"/>
        </w:rPr>
        <w:t>2. 筛查与评估：构建医院-社区两级筛查体系，集成 Fried/FRAIL 等量表，实验室数据、人体成分分析，自动判定衰弱与营养等级，输出结构化报告及转诊提示；</w:t>
      </w:r>
    </w:p>
    <w:p w14:paraId="7F8FCA10">
      <w:pPr>
        <w:rPr>
          <w:rFonts w:hint="eastAsia"/>
        </w:rPr>
      </w:pPr>
      <w:r>
        <w:rPr>
          <w:rFonts w:hint="eastAsia"/>
        </w:rPr>
        <w:t>3. 干预管理：支持按个体化情况分级匹配运动、营养方案并动态调整，同步分级随访与效果评估，触发转诊提醒，进行定期干预；</w:t>
      </w:r>
    </w:p>
    <w:p w14:paraId="13EC99AB">
      <w:r>
        <w:rPr>
          <w:rFonts w:hint="eastAsia"/>
        </w:rPr>
        <w:t>4. 统计分析：支持自动计算筛查率、管理率等指标，支撑质控与科研；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514B3F"/>
    <w:rsid w:val="3774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2024-06-24T02:49:00Z</dcterms:created>
  <dc:creator>Administrator.USER-20240302FO</dc:creator>
  <cp:lastModifiedBy>丹尼</cp:lastModifiedBy>
  <dcterms:modified xsi:type="dcterms:W3CDTF">2025-11-27T06:18:31Z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34F02A88044E4DA49B98F53181106441_12</vt:lpwstr>
  </property>
</Properties>
</file>