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outlineLvl w:val="1"/>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（运行维护服务）</w:t>
      </w:r>
    </w:p>
    <w:p>
      <w:pPr>
        <w:pStyle w:val="3"/>
        <w:rPr>
          <w:rFonts w:hint="eastAsia"/>
          <w:lang w:val="en-US" w:eastAsia="zh-CN"/>
        </w:rPr>
      </w:pPr>
    </w:p>
    <w:tbl>
      <w:tblPr>
        <w:tblStyle w:val="6"/>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5"/>
        <w:gridCol w:w="5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2545" w:type="dxa"/>
            <w:noWrap w:val="0"/>
            <w:vAlign w:val="center"/>
          </w:tcPr>
          <w:p>
            <w:pPr>
              <w:pStyle w:val="2"/>
              <w:jc w:val="both"/>
              <w:rPr>
                <w:rFonts w:hint="eastAsia" w:ascii="仿宋" w:hAnsi="仿宋" w:eastAsia="仿宋" w:cs="仿宋"/>
                <w:szCs w:val="21"/>
              </w:rPr>
            </w:pPr>
            <w:r>
              <w:rPr>
                <w:rFonts w:hint="eastAsia" w:ascii="仿宋" w:hAnsi="仿宋" w:eastAsia="仿宋" w:cs="仿宋"/>
                <w:b/>
                <w:bCs/>
                <w:sz w:val="24"/>
                <w:szCs w:val="24"/>
              </w:rPr>
              <w:t>服务</w:t>
            </w:r>
            <w:r>
              <w:rPr>
                <w:rFonts w:hint="eastAsia" w:ascii="仿宋" w:hAnsi="仿宋" w:eastAsia="仿宋" w:cs="仿宋"/>
                <w:b/>
                <w:bCs/>
                <w:sz w:val="24"/>
                <w:szCs w:val="24"/>
                <w:lang w:val="en-US" w:eastAsia="zh-CN"/>
              </w:rPr>
              <w:t>优惠</w:t>
            </w:r>
            <w:r>
              <w:rPr>
                <w:rFonts w:hint="eastAsia" w:ascii="仿宋" w:hAnsi="仿宋" w:eastAsia="仿宋" w:cs="仿宋"/>
                <w:b/>
                <w:bCs/>
                <w:sz w:val="24"/>
                <w:szCs w:val="24"/>
              </w:rPr>
              <w:t>率</w:t>
            </w:r>
            <w:r>
              <w:rPr>
                <w:rFonts w:hint="eastAsia" w:ascii="仿宋" w:hAnsi="仿宋" w:eastAsia="仿宋" w:cs="仿宋"/>
                <w:b/>
                <w:bCs/>
                <w:sz w:val="24"/>
                <w:szCs w:val="24"/>
                <w:lang w:eastAsia="zh-CN"/>
              </w:rPr>
              <w:t>（</w:t>
            </w:r>
            <w:r>
              <w:rPr>
                <w:rFonts w:hint="eastAsia" w:ascii="仿宋" w:hAnsi="仿宋" w:eastAsia="仿宋" w:cs="仿宋"/>
                <w:b/>
                <w:bCs/>
                <w:sz w:val="24"/>
                <w:szCs w:val="24"/>
              </w:rPr>
              <w:t>%</w:t>
            </w:r>
            <w:r>
              <w:rPr>
                <w:rFonts w:hint="eastAsia" w:ascii="仿宋" w:hAnsi="仿宋" w:eastAsia="仿宋" w:cs="仿宋"/>
                <w:b/>
                <w:bCs/>
                <w:sz w:val="24"/>
                <w:szCs w:val="24"/>
                <w:lang w:eastAsia="zh-CN"/>
              </w:rPr>
              <w:t>）</w:t>
            </w:r>
          </w:p>
        </w:tc>
        <w:tc>
          <w:tcPr>
            <w:tcW w:w="5784" w:type="dxa"/>
            <w:noWrap w:val="0"/>
            <w:vAlign w:val="center"/>
          </w:tcPr>
          <w:p>
            <w:pPr>
              <w:spacing w:line="300" w:lineRule="auto"/>
              <w:jc w:val="center"/>
              <w:rPr>
                <w:rFonts w:hint="default" w:ascii="仿宋" w:hAnsi="仿宋" w:eastAsia="仿宋" w:cs="仿宋"/>
                <w:szCs w:val="21"/>
                <w:lang w:val="en-US" w:eastAsia="zh-CN"/>
              </w:rPr>
            </w:pPr>
          </w:p>
        </w:tc>
      </w:tr>
    </w:tbl>
    <w:p>
      <w:pPr>
        <w:pStyle w:val="3"/>
        <w:keepNext w:val="0"/>
        <w:keepLines w:val="0"/>
        <w:pageBreakBefore w:val="0"/>
        <w:widowControl w:val="0"/>
        <w:kinsoku/>
        <w:wordWrap/>
        <w:overflowPunct/>
        <w:topLinePunct w:val="0"/>
        <w:autoSpaceDE/>
        <w:autoSpaceDN/>
        <w:bidi w:val="0"/>
        <w:adjustRightInd/>
        <w:snapToGrid/>
        <w:spacing w:after="0" w:line="360" w:lineRule="auto"/>
        <w:rPr>
          <w:rFonts w:hint="eastAsia" w:ascii="仿宋" w:hAnsi="仿宋" w:eastAsia="仿宋" w:cstheme="minorBidi"/>
          <w:kern w:val="2"/>
          <w:sz w:val="24"/>
          <w:szCs w:val="24"/>
          <w:lang w:val="en-US" w:eastAsia="zh-CN" w:bidi="ar-SA"/>
        </w:rPr>
      </w:pPr>
    </w:p>
    <w:p>
      <w:pPr>
        <w:pStyle w:val="3"/>
        <w:keepNext w:val="0"/>
        <w:keepLines w:val="0"/>
        <w:pageBreakBefore w:val="0"/>
        <w:widowControl w:val="0"/>
        <w:kinsoku/>
        <w:wordWrap/>
        <w:overflowPunct/>
        <w:topLinePunct w:val="0"/>
        <w:autoSpaceDE/>
        <w:autoSpaceDN/>
        <w:bidi w:val="0"/>
        <w:adjustRightInd/>
        <w:snapToGrid/>
        <w:spacing w:after="0" w:line="360" w:lineRule="auto"/>
        <w:rPr>
          <w:rFonts w:hint="eastAsia" w:ascii="仿宋" w:hAnsi="仿宋" w:eastAsia="仿宋" w:cstheme="minorBidi"/>
          <w:kern w:val="2"/>
          <w:sz w:val="24"/>
          <w:szCs w:val="24"/>
          <w:lang w:val="en-US" w:eastAsia="zh-CN" w:bidi="ar-SA"/>
        </w:rPr>
      </w:pPr>
    </w:p>
    <w:p>
      <w:pPr>
        <w:pStyle w:val="3"/>
        <w:keepNext w:val="0"/>
        <w:keepLines w:val="0"/>
        <w:pageBreakBefore w:val="0"/>
        <w:widowControl w:val="0"/>
        <w:kinsoku/>
        <w:wordWrap/>
        <w:overflowPunct/>
        <w:topLinePunct w:val="0"/>
        <w:autoSpaceDE/>
        <w:autoSpaceDN/>
        <w:bidi w:val="0"/>
        <w:adjustRightInd/>
        <w:snapToGrid/>
        <w:spacing w:after="0" w:line="360" w:lineRule="auto"/>
        <w:outlineLvl w:val="2"/>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说明：</w:t>
      </w:r>
    </w:p>
    <w:p>
      <w:pPr>
        <w:pStyle w:val="3"/>
        <w:keepNext w:val="0"/>
        <w:keepLines w:val="0"/>
        <w:pageBreakBefore w:val="0"/>
        <w:widowControl w:val="0"/>
        <w:numPr>
          <w:numId w:val="0"/>
        </w:numPr>
        <w:kinsoku/>
        <w:wordWrap/>
        <w:overflowPunct/>
        <w:topLinePunct w:val="0"/>
        <w:autoSpaceDE/>
        <w:autoSpaceDN/>
        <w:bidi w:val="0"/>
        <w:adjustRightInd/>
        <w:snapToGrid/>
        <w:spacing w:after="0" w:line="360" w:lineRule="auto"/>
        <w:rPr>
          <w:rFonts w:hint="eastAsia" w:ascii="仿宋" w:hAnsi="仿宋" w:eastAsia="仿宋" w:cstheme="minorBidi"/>
          <w:kern w:val="2"/>
          <w:sz w:val="24"/>
          <w:szCs w:val="24"/>
          <w:lang w:val="en-US" w:eastAsia="zh-CN" w:bidi="ar-SA"/>
        </w:rPr>
      </w:pPr>
      <w:bookmarkStart w:id="0" w:name="_GoBack"/>
      <w:bookmarkEnd w:id="0"/>
      <w:r>
        <w:rPr>
          <w:rFonts w:hint="eastAsia" w:ascii="仿宋" w:hAnsi="仿宋" w:eastAsia="仿宋" w:cstheme="minorBidi"/>
          <w:kern w:val="2"/>
          <w:sz w:val="24"/>
          <w:szCs w:val="24"/>
          <w:lang w:val="en-US" w:eastAsia="zh-CN" w:bidi="ar-SA"/>
        </w:rPr>
        <w:t>优惠率是指供应商与采购人在武汉市政府采购电子商城开展采购活动时，以采购预算或项目的最高限价为基准的优惠幅度。后期供应商应根据采购人提供的采购需求、采购预算等进行报价。若此次所报优惠率为10%，则最后项目的成交价≤预算*（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A093C"/>
    <w:multiLevelType w:val="singleLevel"/>
    <w:tmpl w:val="283A093C"/>
    <w:lvl w:ilvl="0" w:tentative="0">
      <w:start w:val="1"/>
      <w:numFmt w:val="decimal"/>
      <w:pStyle w:val="8"/>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583489"/>
    <w:rsid w:val="047A2B81"/>
    <w:rsid w:val="047C2F89"/>
    <w:rsid w:val="0A015BE3"/>
    <w:rsid w:val="0AC626C6"/>
    <w:rsid w:val="110A36DF"/>
    <w:rsid w:val="190C69E1"/>
    <w:rsid w:val="1ED26A89"/>
    <w:rsid w:val="20DD4E71"/>
    <w:rsid w:val="233915A2"/>
    <w:rsid w:val="23A27717"/>
    <w:rsid w:val="2B1344A3"/>
    <w:rsid w:val="2D0E0AF3"/>
    <w:rsid w:val="3536154B"/>
    <w:rsid w:val="3798224C"/>
    <w:rsid w:val="40B40D9C"/>
    <w:rsid w:val="46A5004F"/>
    <w:rsid w:val="4A994A8E"/>
    <w:rsid w:val="4C583489"/>
    <w:rsid w:val="4FB728F4"/>
    <w:rsid w:val="516746F0"/>
    <w:rsid w:val="543854EA"/>
    <w:rsid w:val="5A1D3BEB"/>
    <w:rsid w:val="60AA2C88"/>
    <w:rsid w:val="64661D74"/>
    <w:rsid w:val="67011D8C"/>
    <w:rsid w:val="673D18C9"/>
    <w:rsid w:val="6D3140E4"/>
    <w:rsid w:val="6D3771E9"/>
    <w:rsid w:val="71171AF9"/>
    <w:rsid w:val="733A4288"/>
    <w:rsid w:val="75C15858"/>
    <w:rsid w:val="772501A2"/>
    <w:rsid w:val="7DB03C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0" w:semiHidden="0" w:name="toc 1"/>
    <w:lsdException w:qFormat="1" w:unhideWhenUsed="0" w:uiPriority="0"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iPriority="99"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semiHidden/>
    <w:unhideWhenUsed/>
    <w:qFormat/>
    <w:uiPriority w:val="99"/>
    <w:pPr>
      <w:spacing w:after="120"/>
    </w:pPr>
  </w:style>
  <w:style w:type="paragraph" w:styleId="4">
    <w:name w:val="toc 1"/>
    <w:basedOn w:val="1"/>
    <w:next w:val="1"/>
    <w:qFormat/>
    <w:uiPriority w:val="0"/>
    <w:rPr>
      <w:rFonts w:ascii="Times New Roman" w:hAnsi="Times New Roman" w:eastAsia="黑体"/>
      <w:sz w:val="28"/>
    </w:rPr>
  </w:style>
  <w:style w:type="paragraph" w:styleId="5">
    <w:name w:val="toc 2"/>
    <w:basedOn w:val="1"/>
    <w:next w:val="1"/>
    <w:qFormat/>
    <w:uiPriority w:val="0"/>
    <w:pPr>
      <w:tabs>
        <w:tab w:val="right" w:leader="dot" w:pos="8822"/>
      </w:tabs>
    </w:pPr>
    <w:rPr>
      <w:rFonts w:ascii="Times New Roman" w:hAnsi="Times New Roman" w:eastAsia="宋体"/>
      <w:sz w:val="28"/>
    </w:rPr>
  </w:style>
  <w:style w:type="paragraph" w:customStyle="1" w:styleId="8">
    <w:name w:val="样式1"/>
    <w:basedOn w:val="1"/>
    <w:qFormat/>
    <w:uiPriority w:val="0"/>
    <w:pPr>
      <w:numPr>
        <w:ilvl w:val="0"/>
        <w:numId w:val="1"/>
      </w:numPr>
      <w:spacing w:line="360" w:lineRule="auto"/>
      <w:ind w:left="425" w:hanging="425"/>
    </w:pPr>
    <w:rPr>
      <w:rFonts w:hint="eastAsia" w:ascii="仿宋" w:hAnsi="仿宋" w:eastAsia="仿宋" w:cs="Times New Roman"/>
      <w:b/>
      <w:sz w:val="24"/>
      <w:szCs w:val="24"/>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2025-02-20T02:08:00Z</dcterms:created>
  <dc:creator>NS4</dc:creator>
  <cp:lastModifiedBy>NS4</cp:lastModifiedBy>
  <dcterms:modified xsi:type="dcterms:W3CDTF">2026-01-06T02:17:44Z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