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51" w:lineRule="auto"/>
        <w:jc w:val="center"/>
        <w:rPr>
          <w:rFonts w:ascii="Times New Roman" w:hAnsi="Times New Roman" w:eastAsia="黑体" w:cs="Times New Roman"/>
          <w:snapToGrid/>
          <w:kern w:val="2"/>
          <w:sz w:val="36"/>
          <w:szCs w:val="24"/>
          <w:lang w:bidi="ar-SA"/>
        </w:rPr>
      </w:pPr>
      <w:r>
        <w:rPr>
          <w:rFonts w:ascii="Times New Roman" w:hAnsi="Times New Roman" w:eastAsia="黑体" w:cs="Times New Roman"/>
          <w:snapToGrid/>
          <w:kern w:val="2"/>
          <w:sz w:val="36"/>
          <w:szCs w:val="24"/>
          <w:lang w:bidi="ar-SA"/>
        </w:rPr>
        <w:t>市零售药店特殊药品登记报告系统2026年运维服务项目</w:t>
      </w:r>
    </w:p>
    <w:p>
      <w:pPr>
        <w:pStyle w:val="13"/>
        <w:widowControl/>
      </w:pPr>
      <w:r>
        <w:t>采购需求</w:t>
      </w:r>
    </w:p>
    <w:p>
      <w:pPr>
        <w:spacing w:line="306" w:lineRule="auto"/>
        <w:rPr>
          <w:rFonts w:ascii="Arial"/>
          <w:sz w:val="21"/>
        </w:rPr>
      </w:pPr>
    </w:p>
    <w:p>
      <w:pPr>
        <w:pStyle w:val="11"/>
      </w:pPr>
      <w:r>
        <w:t>说明：投标人在投标文件《采购需求响应、偏离说明表》中应对以下条款进行响应描述或偏离说明。</w:t>
      </w:r>
    </w:p>
    <w:p>
      <w:pPr>
        <w:pStyle w:val="2"/>
        <w:keepNext w:val="0"/>
        <w:keepLines w:val="0"/>
        <w:pageBreakBefore w:val="0"/>
        <w:widowControl/>
        <w:numPr>
          <w:ilvl w:val="0"/>
          <w:numId w:val="1"/>
        </w:numPr>
        <w:kinsoku/>
        <w:wordWrap/>
        <w:overflowPunct/>
        <w:topLinePunct w:val="0"/>
        <w:autoSpaceDE/>
        <w:autoSpaceDN/>
        <w:bidi w:val="0"/>
        <w:adjustRightInd w:val="0"/>
        <w:snapToGrid/>
        <w:spacing w:before="0" w:line="360" w:lineRule="auto"/>
        <w:ind w:left="0" w:leftChars="0" w:right="0" w:rightChars="0" w:firstLine="0" w:firstLineChars="0"/>
        <w:jc w:val="both"/>
        <w:textAlignment w:val="auto"/>
        <w:outlineLvl w:val="0"/>
        <w:rPr>
          <w:rFonts w:hint="eastAsia" w:ascii="黑体" w:hAnsi="黑体" w:eastAsia="黑体" w:cs="黑体"/>
          <w:b w:val="0"/>
        </w:rPr>
      </w:pPr>
      <w:r>
        <w:t>项目概况</w:t>
      </w:r>
    </w:p>
    <w:p>
      <w:pPr>
        <w:pStyle w:val="3"/>
        <w:keepNext w:val="0"/>
        <w:keepLines w:val="0"/>
        <w:pageBreakBefore w:val="0"/>
        <w:widowControl/>
        <w:numPr>
          <w:ilvl w:val="0"/>
          <w:numId w:val="2"/>
        </w:numPr>
        <w:kinsoku/>
        <w:wordWrap/>
        <w:overflowPunct/>
        <w:topLinePunct w:val="0"/>
        <w:autoSpaceDE/>
        <w:autoSpaceDN/>
        <w:bidi w:val="0"/>
        <w:adjustRightInd w:val="0"/>
        <w:snapToGrid/>
        <w:spacing w:before="0" w:line="240" w:lineRule="auto"/>
        <w:ind w:left="0" w:leftChars="0" w:right="0" w:rightChars="0" w:firstLine="0" w:firstLineChars="0"/>
        <w:jc w:val="both"/>
        <w:textAlignment w:val="auto"/>
        <w:outlineLvl w:val="1"/>
        <w:rPr>
          <w:b w:val="0"/>
        </w:rPr>
      </w:pPr>
      <w:r>
        <w:t>项目名称和预算金额（或最高限价）</w:t>
      </w:r>
    </w:p>
    <w:p>
      <w:pPr>
        <w:pStyle w:val="11"/>
        <w:spacing w:line="240" w:lineRule="auto"/>
      </w:pPr>
      <w:r>
        <w:t>项目名称：</w:t>
      </w:r>
      <w:bookmarkStart w:id="0" w:name="OLE_LINK1"/>
      <w:r>
        <w:t>市零售药店特殊药品登记报告系统2026年运维服务项目</w:t>
      </w:r>
      <w:bookmarkEnd w:id="0"/>
    </w:p>
    <w:p>
      <w:pPr>
        <w:pStyle w:val="11"/>
        <w:spacing w:line="240" w:lineRule="auto"/>
      </w:pPr>
      <w:r>
        <w:t>服务时间：2026年2月至2026年10月</w:t>
      </w:r>
    </w:p>
    <w:p>
      <w:pPr>
        <w:pStyle w:val="11"/>
        <w:spacing w:line="240" w:lineRule="auto"/>
      </w:pPr>
      <w:r>
        <w:t>预算金额（万元）：2.2 万元</w:t>
      </w:r>
    </w:p>
    <w:p>
      <w:pPr>
        <w:pStyle w:val="11"/>
        <w:spacing w:line="240" w:lineRule="auto"/>
      </w:pPr>
      <w:r>
        <w:t>最高限价（万元）：2.2 万元</w:t>
      </w:r>
    </w:p>
    <w:p>
      <w:pPr>
        <w:pStyle w:val="3"/>
        <w:keepNext w:val="0"/>
        <w:keepLines w:val="0"/>
        <w:pageBreakBefore w:val="0"/>
        <w:widowControl/>
        <w:numPr>
          <w:ilvl w:val="0"/>
          <w:numId w:val="2"/>
        </w:numPr>
        <w:kinsoku/>
        <w:wordWrap/>
        <w:overflowPunct/>
        <w:topLinePunct w:val="0"/>
        <w:autoSpaceDE/>
        <w:autoSpaceDN/>
        <w:bidi w:val="0"/>
        <w:adjustRightInd w:val="0"/>
        <w:snapToGrid/>
        <w:spacing w:before="0" w:line="300" w:lineRule="auto"/>
        <w:ind w:left="0" w:leftChars="0" w:right="0" w:rightChars="0" w:firstLine="0" w:firstLineChars="0"/>
        <w:jc w:val="both"/>
        <w:textAlignment w:val="auto"/>
        <w:outlineLvl w:val="1"/>
        <w:rPr>
          <w:b w:val="0"/>
        </w:rPr>
      </w:pPr>
      <w:r>
        <w:t>采购项目的功能或者目标</w:t>
      </w:r>
    </w:p>
    <w:p>
      <w:pPr>
        <w:pStyle w:val="11"/>
      </w:pPr>
      <w:r>
        <w:t>本次采购为市零售药店特殊药品登记报告系统运维服务，是为保障武汉该系统持续稳定运行，供应商应根据采购文件所提出的技术和服务要求，提供符合要求的运维服务。</w:t>
      </w:r>
    </w:p>
    <w:p>
      <w:pPr>
        <w:pStyle w:val="2"/>
        <w:keepNext w:val="0"/>
        <w:keepLines w:val="0"/>
        <w:pageBreakBefore w:val="0"/>
        <w:widowControl/>
        <w:numPr>
          <w:ilvl w:val="0"/>
          <w:numId w:val="1"/>
        </w:numPr>
        <w:kinsoku/>
        <w:wordWrap/>
        <w:overflowPunct/>
        <w:topLinePunct w:val="0"/>
        <w:autoSpaceDE/>
        <w:autoSpaceDN/>
        <w:bidi w:val="0"/>
        <w:adjustRightInd w:val="0"/>
        <w:snapToGrid/>
        <w:spacing w:before="0" w:line="240" w:lineRule="auto"/>
        <w:ind w:left="0" w:leftChars="0" w:right="0" w:rightChars="0" w:firstLine="0" w:firstLineChars="0"/>
        <w:jc w:val="both"/>
        <w:textAlignment w:val="auto"/>
        <w:outlineLvl w:val="0"/>
        <w:rPr>
          <w:rFonts w:hint="eastAsia"/>
        </w:rPr>
      </w:pPr>
      <w:r>
        <w:t>服务内容</w:t>
      </w:r>
    </w:p>
    <w:p>
      <w:pPr>
        <w:pStyle w:val="11"/>
      </w:pPr>
      <w:r>
        <w:t>武汉市市场监督管理局市零售药店特殊药品登记报告系统是市所有零售药店登记销售“含特殊药品复方制剂 ”药品的综合管理系统。系统分为药店登记子系统、后台查询子系统、市场局现场巡检子系统，子系统之间分工明确，又互相衔接，实现了全市零售药店对销售的“含特殊药品复方制剂 ”进行实时登记，方便了各级市场监督管理部门对全市销售的含特殊药品复方制剂进行全面了解和全方位监管。本项目为满足业务需求，保证系统持续稳定运行，按要求对系统功能进行升级调整，开展日常维护，满足日常工作需求。</w:t>
      </w:r>
    </w:p>
    <w:p>
      <w:pPr>
        <w:pStyle w:val="2"/>
        <w:keepNext w:val="0"/>
        <w:keepLines w:val="0"/>
        <w:pageBreakBefore w:val="0"/>
        <w:widowControl/>
        <w:numPr>
          <w:ilvl w:val="0"/>
          <w:numId w:val="1"/>
        </w:numPr>
        <w:kinsoku/>
        <w:wordWrap/>
        <w:overflowPunct/>
        <w:topLinePunct w:val="0"/>
        <w:autoSpaceDE/>
        <w:autoSpaceDN/>
        <w:bidi w:val="0"/>
        <w:adjustRightInd w:val="0"/>
        <w:snapToGrid/>
        <w:spacing w:before="0" w:line="360" w:lineRule="auto"/>
        <w:ind w:left="0" w:leftChars="0" w:right="0" w:rightChars="0" w:firstLine="0" w:firstLineChars="0"/>
        <w:jc w:val="both"/>
        <w:textAlignment w:val="auto"/>
        <w:outlineLvl w:val="0"/>
        <w:rPr>
          <w:rFonts w:hint="eastAsia"/>
        </w:rPr>
      </w:pPr>
      <w:r>
        <w:t>服务要求</w:t>
      </w:r>
    </w:p>
    <w:p>
      <w:pPr>
        <w:pStyle w:val="3"/>
        <w:keepNext w:val="0"/>
        <w:keepLines w:val="0"/>
        <w:pageBreakBefore w:val="0"/>
        <w:widowControl/>
        <w:numPr>
          <w:ilvl w:val="0"/>
          <w:numId w:val="3"/>
        </w:numPr>
        <w:kinsoku/>
        <w:wordWrap/>
        <w:overflowPunct/>
        <w:topLinePunct w:val="0"/>
        <w:autoSpaceDE/>
        <w:autoSpaceDN/>
        <w:bidi w:val="0"/>
        <w:adjustRightInd w:val="0"/>
        <w:snapToGrid/>
        <w:spacing w:before="0" w:line="300" w:lineRule="auto"/>
        <w:ind w:left="0" w:leftChars="0" w:right="0" w:rightChars="0" w:firstLine="0" w:firstLineChars="0"/>
        <w:jc w:val="both"/>
        <w:textAlignment w:val="auto"/>
        <w:outlineLvl w:val="1"/>
        <w:rPr>
          <w:b w:val="0"/>
        </w:rPr>
      </w:pPr>
      <w:r>
        <w:t>系统数据库运维</w:t>
      </w:r>
    </w:p>
    <w:p>
      <w:pPr>
        <w:pStyle w:val="11"/>
        <w:numPr>
          <w:ilvl w:val="0"/>
          <w:numId w:val="4"/>
        </w:numPr>
        <w:topLinePunct w:val="0"/>
        <w:ind w:left="0" w:leftChars="0" w:firstLine="480" w:firstLineChars="0"/>
        <w:rPr>
          <w:rFonts w:hint="eastAsia" w:ascii="宋体" w:hAnsi="宋体" w:eastAsia="宋体" w:cs="宋体"/>
          <w:b w:val="0"/>
        </w:rPr>
      </w:pPr>
      <w:r>
        <w:t>数据库使用支持。对特殊药品登记报告系统的数据库运维提供数据库使用支持，主要包括数据库账号管理、登录操作、配置管理等工作内容。</w:t>
      </w:r>
    </w:p>
    <w:p>
      <w:pPr>
        <w:pStyle w:val="11"/>
        <w:numPr>
          <w:ilvl w:val="0"/>
          <w:numId w:val="4"/>
        </w:numPr>
        <w:topLinePunct w:val="0"/>
        <w:ind w:left="0" w:leftChars="0" w:firstLine="480" w:firstLineChars="0"/>
        <w:rPr>
          <w:rFonts w:hint="eastAsia" w:ascii="宋体" w:hAnsi="宋体" w:eastAsia="宋体" w:cs="宋体"/>
          <w:b w:val="0"/>
        </w:rPr>
      </w:pPr>
      <w:r>
        <w:t>数据库启停维护。对特殊药品登记报告系统的数据库运维提供数据库启停维护，主要包括数据库启动、数据库关闭、其它运行管理等工作内容。</w:t>
      </w:r>
    </w:p>
    <w:p>
      <w:pPr>
        <w:pStyle w:val="11"/>
        <w:numPr>
          <w:ilvl w:val="0"/>
          <w:numId w:val="4"/>
        </w:numPr>
        <w:topLinePunct w:val="0"/>
        <w:ind w:left="0" w:leftChars="0" w:firstLine="480" w:firstLineChars="0"/>
      </w:pPr>
      <w:r>
        <w:rPr>
          <w:rFonts w:hint="eastAsia"/>
          <w:lang w:val="en-US" w:eastAsia="zh-CN"/>
        </w:rPr>
        <w:t>线上</w:t>
      </w:r>
      <w:r>
        <w:t>系统巡检维护。对特殊药品登记报告系统的数据库运维提供系统巡检维护，主要</w:t>
      </w:r>
      <w:r>
        <w:rPr>
          <w:rFonts w:hint="eastAsia"/>
          <w:lang w:val="en-US" w:eastAsia="zh-CN"/>
        </w:rPr>
        <w:t>包</w:t>
      </w:r>
      <w:r>
        <w:t>括数据库状态检查(数据库进程、端口、监听情况等)、数据库使用情况检查(数据库连接、表空间使用情况等)、数据库性能状态(磁盘 I0、索引等)检查等工作内容。</w:t>
      </w:r>
    </w:p>
    <w:p>
      <w:pPr>
        <w:pStyle w:val="11"/>
        <w:numPr>
          <w:ilvl w:val="0"/>
          <w:numId w:val="4"/>
        </w:numPr>
        <w:topLinePunct w:val="0"/>
        <w:ind w:left="0" w:leftChars="0" w:firstLine="480" w:firstLineChars="0"/>
        <w:rPr>
          <w:rFonts w:hint="eastAsia" w:ascii="宋体" w:hAnsi="宋体" w:eastAsia="宋体" w:cs="宋体"/>
          <w:b w:val="0"/>
        </w:rPr>
      </w:pPr>
      <w:r>
        <w:t>应急维护。对特殊药品登记报告系统的数据库运维提供应急维护，主要包括及时处置数据库故障,对数据库故障事件进行快速响应，进行故障原因排查、恢复数据库等工作内容。</w:t>
      </w:r>
    </w:p>
    <w:p>
      <w:pPr>
        <w:pStyle w:val="11"/>
        <w:numPr>
          <w:ilvl w:val="0"/>
          <w:numId w:val="4"/>
        </w:numPr>
        <w:topLinePunct w:val="0"/>
        <w:ind w:left="0" w:leftChars="0" w:firstLine="480" w:firstLineChars="0"/>
        <w:rPr>
          <w:rFonts w:hint="eastAsia" w:ascii="宋体" w:hAnsi="宋体" w:eastAsia="宋体" w:cs="宋体"/>
          <w:b w:val="0"/>
        </w:rPr>
      </w:pPr>
      <w:r>
        <w:t>数据库清理。对特殊药品登记报告系统的数据库的余数据进行定期清理，保证数据库正常运行。</w:t>
      </w:r>
    </w:p>
    <w:p>
      <w:pPr>
        <w:pStyle w:val="11"/>
        <w:numPr>
          <w:ilvl w:val="0"/>
          <w:numId w:val="4"/>
        </w:numPr>
        <w:topLinePunct w:val="0"/>
        <w:ind w:left="0" w:leftChars="0" w:firstLine="480" w:firstLineChars="0"/>
        <w:rPr>
          <w:rFonts w:hint="eastAsia" w:ascii="宋体" w:hAnsi="宋体" w:eastAsia="宋体" w:cs="宋体"/>
          <w:b w:val="0"/>
        </w:rPr>
      </w:pPr>
      <w:r>
        <w:t>药品数据维护。公司数据库维护人员每月定期对新上市的药品数据进行维护，在数据库新增药品基础数据，包括药品条码、名称、厂家、规格等信息，确保药店登记人员通过扫条形码可以自动获取到药品信息，避免手动输入增加工作量。</w:t>
      </w:r>
    </w:p>
    <w:p>
      <w:pPr>
        <w:pStyle w:val="11"/>
        <w:numPr>
          <w:ilvl w:val="0"/>
          <w:numId w:val="4"/>
        </w:numPr>
        <w:topLinePunct w:val="0"/>
        <w:ind w:left="0" w:leftChars="0" w:firstLine="480" w:firstLineChars="0"/>
        <w:rPr>
          <w:rFonts w:hint="eastAsia" w:ascii="宋体" w:hAnsi="宋体" w:eastAsia="宋体" w:cs="宋体"/>
          <w:b w:val="0"/>
        </w:rPr>
      </w:pPr>
      <w:r>
        <w:t>数据库备份。对特殊药品登记报告系统的数据库提供备份策略，定期检查备份文件。</w:t>
      </w:r>
    </w:p>
    <w:p>
      <w:pPr>
        <w:pStyle w:val="11"/>
        <w:numPr>
          <w:ilvl w:val="0"/>
          <w:numId w:val="4"/>
        </w:numPr>
        <w:topLinePunct w:val="0"/>
        <w:ind w:left="0" w:leftChars="0" w:firstLine="480" w:firstLineChars="0"/>
        <w:rPr>
          <w:rFonts w:hint="eastAsia" w:ascii="宋体" w:hAnsi="宋体" w:eastAsia="宋体" w:cs="宋体"/>
          <w:b w:val="0"/>
        </w:rPr>
      </w:pPr>
      <w:r>
        <w:t>数据归集及上传。支持按照甲方要求，对数据进行整合归集：如通过区块链或接口的交换方式，将所有数据上传至武汉市市场监督管理局数据中心集中管理和存储。</w:t>
      </w:r>
    </w:p>
    <w:p>
      <w:pPr>
        <w:pStyle w:val="3"/>
        <w:keepNext w:val="0"/>
        <w:keepLines w:val="0"/>
        <w:pageBreakBefore w:val="0"/>
        <w:widowControl/>
        <w:numPr>
          <w:ilvl w:val="0"/>
          <w:numId w:val="3"/>
        </w:numPr>
        <w:kinsoku/>
        <w:wordWrap/>
        <w:overflowPunct/>
        <w:topLinePunct w:val="0"/>
        <w:autoSpaceDE/>
        <w:autoSpaceDN/>
        <w:bidi w:val="0"/>
        <w:adjustRightInd w:val="0"/>
        <w:snapToGrid/>
        <w:spacing w:before="0" w:line="300" w:lineRule="auto"/>
        <w:ind w:left="0" w:leftChars="0" w:right="0" w:rightChars="0" w:firstLine="0" w:firstLineChars="0"/>
        <w:jc w:val="both"/>
        <w:textAlignment w:val="auto"/>
        <w:outlineLvl w:val="1"/>
        <w:rPr>
          <w:b w:val="0"/>
        </w:rPr>
      </w:pPr>
      <w:r>
        <w:t>特殊药品登记报告系统运维</w:t>
      </w:r>
    </w:p>
    <w:p>
      <w:pPr>
        <w:pStyle w:val="11"/>
        <w:numPr>
          <w:ilvl w:val="0"/>
          <w:numId w:val="5"/>
        </w:numPr>
        <w:topLinePunct w:val="0"/>
        <w:ind w:left="0" w:leftChars="0" w:firstLine="480" w:firstLineChars="0"/>
        <w:rPr>
          <w:b w:val="0"/>
        </w:rPr>
      </w:pPr>
      <w:r>
        <w:t>Web 后台系统</w:t>
      </w:r>
    </w:p>
    <w:p>
      <w:pPr>
        <w:pStyle w:val="11"/>
        <w:numPr>
          <w:ilvl w:val="0"/>
          <w:numId w:val="6"/>
        </w:numPr>
        <w:topLinePunct w:val="0"/>
        <w:ind w:left="0" w:leftChars="0" w:firstLine="480" w:firstLineChars="0"/>
        <w:rPr>
          <w:rFonts w:hint="eastAsia" w:ascii="宋体" w:hAnsi="宋体" w:eastAsia="宋体" w:cs="宋体"/>
          <w:b w:val="0"/>
        </w:rPr>
      </w:pPr>
      <w:r>
        <w:t>特殊药品上报：分为购药明细查询和上报登记查询两个模块，查询展示用户通过微信小程序上报的购药信息。</w:t>
      </w:r>
      <w:r>
        <w:rPr>
          <w:rFonts w:hint="eastAsia"/>
          <w:lang w:eastAsia="zh-CN"/>
        </w:rPr>
        <w:t xml:space="preserve"> </w:t>
      </w:r>
      <w:r>
        <w:t>数据维护：药店导入和药品导入两个模块，分别用来维护药品和药店信息，对现有数据的修改和新增数据的导入。</w:t>
      </w:r>
    </w:p>
    <w:p>
      <w:pPr>
        <w:pStyle w:val="11"/>
        <w:numPr>
          <w:ilvl w:val="0"/>
          <w:numId w:val="6"/>
        </w:numPr>
        <w:topLinePunct w:val="0"/>
        <w:ind w:left="0" w:leftChars="0" w:firstLine="480" w:firstLineChars="0"/>
        <w:rPr>
          <w:rFonts w:hint="eastAsia" w:ascii="宋体" w:hAnsi="宋体" w:eastAsia="宋体" w:cs="宋体"/>
          <w:b w:val="0"/>
        </w:rPr>
      </w:pPr>
      <w:r>
        <w:t>系统管理：用户管理模块，该模块是用来存储各个药店、区局、管理员账号信息。</w:t>
      </w:r>
    </w:p>
    <w:p>
      <w:pPr>
        <w:pStyle w:val="11"/>
        <w:numPr>
          <w:ilvl w:val="0"/>
          <w:numId w:val="5"/>
        </w:numPr>
        <w:topLinePunct w:val="0"/>
        <w:ind w:left="0" w:leftChars="0" w:firstLine="480" w:firstLineChars="0"/>
        <w:rPr>
          <w:rFonts w:hint="eastAsia" w:ascii="宋体" w:hAnsi="宋体" w:eastAsia="宋体" w:cs="宋体"/>
          <w:b w:val="0"/>
        </w:rPr>
      </w:pPr>
      <w:r>
        <w:t>小程序</w:t>
      </w:r>
    </w:p>
    <w:p>
      <w:pPr>
        <w:pStyle w:val="11"/>
      </w:pPr>
      <w:r>
        <w:t>药店端：</w:t>
      </w:r>
    </w:p>
    <w:p>
      <w:pPr>
        <w:pStyle w:val="11"/>
        <w:numPr>
          <w:ilvl w:val="0"/>
          <w:numId w:val="7"/>
        </w:numPr>
        <w:ind w:left="0" w:leftChars="0" w:firstLine="480" w:firstLineChars="0"/>
        <w:rPr>
          <w:rFonts w:hint="eastAsia" w:ascii="宋体" w:hAnsi="宋体" w:eastAsia="宋体" w:cs="宋体"/>
          <w:b w:val="0"/>
        </w:rPr>
      </w:pPr>
      <w:r>
        <w:t>店员管理：管理该药店下所有店员的信息</w:t>
      </w:r>
    </w:p>
    <w:p>
      <w:pPr>
        <w:pStyle w:val="11"/>
        <w:numPr>
          <w:ilvl w:val="0"/>
          <w:numId w:val="7"/>
        </w:numPr>
        <w:ind w:left="0" w:leftChars="0" w:firstLine="480" w:firstLineChars="0"/>
        <w:rPr>
          <w:rFonts w:hint="eastAsia" w:ascii="宋体" w:hAnsi="宋体" w:eastAsia="宋体" w:cs="宋体"/>
          <w:b w:val="0"/>
        </w:rPr>
      </w:pPr>
      <w:r>
        <w:t>特药身份证购药登记：药店通过扫描身份证号上传购药人和购药信息</w:t>
      </w:r>
    </w:p>
    <w:p>
      <w:pPr>
        <w:pStyle w:val="11"/>
        <w:numPr>
          <w:ilvl w:val="0"/>
          <w:numId w:val="7"/>
        </w:numPr>
        <w:ind w:left="0" w:leftChars="0" w:firstLine="480" w:firstLineChars="0"/>
        <w:rPr>
          <w:rFonts w:hint="eastAsia" w:ascii="宋体" w:hAnsi="宋体" w:eastAsia="宋体" w:cs="宋体"/>
          <w:b w:val="0"/>
        </w:rPr>
      </w:pPr>
      <w:r>
        <w:t>特药社保卡购药登记：药店通过扫描社保卡上传购药人和购药信息</w:t>
      </w:r>
    </w:p>
    <w:p>
      <w:pPr>
        <w:pStyle w:val="11"/>
        <w:numPr>
          <w:ilvl w:val="0"/>
          <w:numId w:val="7"/>
        </w:numPr>
        <w:ind w:left="0" w:leftChars="0" w:firstLine="480" w:firstLineChars="0"/>
        <w:rPr>
          <w:rFonts w:hint="eastAsia" w:ascii="宋体" w:hAnsi="宋体" w:eastAsia="宋体" w:cs="宋体"/>
          <w:b w:val="0"/>
        </w:rPr>
      </w:pPr>
      <w:r>
        <w:t>特药上报详情：查询该药店下上报的特药购买记录信息区局端：</w:t>
      </w:r>
    </w:p>
    <w:p>
      <w:pPr>
        <w:pStyle w:val="11"/>
      </w:pPr>
      <w:r>
        <w:t>特药现场巡查：</w:t>
      </w:r>
    </w:p>
    <w:p>
      <w:pPr>
        <w:pStyle w:val="11"/>
      </w:pPr>
      <w:r>
        <w:t xml:space="preserve">现场查询指定药店的特殊药品上报记录，并根据实际情况现场处置。 </w:t>
      </w:r>
    </w:p>
    <w:p>
      <w:pPr>
        <w:pStyle w:val="11"/>
        <w:numPr>
          <w:ilvl w:val="0"/>
          <w:numId w:val="5"/>
        </w:numPr>
        <w:topLinePunct w:val="0"/>
        <w:ind w:left="0" w:leftChars="0" w:firstLine="480" w:firstLineChars="0"/>
        <w:rPr>
          <w:rFonts w:hint="eastAsia" w:ascii="宋体" w:hAnsi="宋体" w:eastAsia="宋体" w:cs="宋体"/>
          <w:b w:val="0"/>
        </w:rPr>
      </w:pPr>
      <w:r>
        <w:t>系统运行维护。对特殊药品登记报告系统运维提供系统运行维护，包括运行状态(进程、端 口、访问情况等)、系统的可用性(磁盘、CPU、内存等)、系统功能完整性、系统接口状态等工作内容。</w:t>
      </w:r>
    </w:p>
    <w:p>
      <w:pPr>
        <w:pStyle w:val="11"/>
        <w:numPr>
          <w:ilvl w:val="0"/>
          <w:numId w:val="5"/>
        </w:numPr>
        <w:topLinePunct w:val="0"/>
        <w:ind w:left="0" w:leftChars="0" w:firstLine="480" w:firstLineChars="0"/>
        <w:rPr>
          <w:rFonts w:hint="eastAsia" w:ascii="宋体" w:hAnsi="宋体" w:eastAsia="宋体" w:cs="宋体"/>
          <w:b w:val="0"/>
        </w:rPr>
      </w:pPr>
      <w:r>
        <w:t>应用系统故障处理和恢复。对特殊药品登记报告系统提供应用系统故障处置和恢复，主要包括及时处置系统故障，对系统故障事件进行快速响应，进行故障原因排查，恢复系统等工作内容。</w:t>
      </w:r>
    </w:p>
    <w:p>
      <w:pPr>
        <w:pStyle w:val="11"/>
        <w:numPr>
          <w:ilvl w:val="0"/>
          <w:numId w:val="5"/>
        </w:numPr>
        <w:topLinePunct w:val="0"/>
        <w:ind w:left="0" w:leftChars="0" w:firstLine="480" w:firstLineChars="0"/>
        <w:rPr>
          <w:rFonts w:hint="eastAsia" w:ascii="宋体" w:hAnsi="宋体" w:eastAsia="宋体" w:cs="宋体"/>
          <w:b w:val="0"/>
        </w:rPr>
      </w:pPr>
      <w:r>
        <w:t>应急维护。对武汉市特殊药品登记报告系统提供应急维护，主要包括对业务系统在运行过程中，遇到突发情况第一时间应急响应和受理，对业务系统故障进行恢复处理，形成故障报告等工作内容。</w:t>
      </w:r>
    </w:p>
    <w:p>
      <w:pPr>
        <w:pStyle w:val="11"/>
        <w:numPr>
          <w:ilvl w:val="0"/>
          <w:numId w:val="5"/>
        </w:numPr>
        <w:topLinePunct w:val="0"/>
        <w:ind w:left="0" w:leftChars="0" w:firstLine="480" w:firstLineChars="0"/>
        <w:rPr>
          <w:rFonts w:hint="eastAsia" w:ascii="宋体" w:hAnsi="宋体" w:eastAsia="宋体" w:cs="宋体"/>
          <w:b w:val="0"/>
        </w:rPr>
      </w:pPr>
      <w:r>
        <w:t>系统安全加固。对武汉市特殊药品登记报告系统提供系统安全加固，主要包括及时、准确掌握信息安全事件动态和安全策略变更情况，主动识别系统的安全风险，并采取措施予以规避，对系统漏洞补丁进行加固等工作内容。</w:t>
      </w:r>
    </w:p>
    <w:p>
      <w:pPr>
        <w:pStyle w:val="11"/>
        <w:numPr>
          <w:ilvl w:val="0"/>
          <w:numId w:val="5"/>
        </w:numPr>
        <w:topLinePunct w:val="0"/>
        <w:ind w:left="0" w:leftChars="0" w:firstLine="480" w:firstLineChars="0"/>
      </w:pPr>
      <w:r>
        <w:t>重大节假日保障。当遇到重大活动需要提供临时保障时，维护团队须在需要保障的前</w:t>
      </w:r>
      <w:r>
        <w:rPr>
          <w:rFonts w:hint="eastAsia"/>
          <w:lang w:val="en-US" w:eastAsia="zh-CN"/>
        </w:rPr>
        <w:t>一</w:t>
      </w:r>
      <w:r>
        <w:t>天进驻现场，并对所有系统进行临时性检查，排除隐患，以做到万无一失。</w:t>
      </w:r>
    </w:p>
    <w:p>
      <w:pPr>
        <w:pStyle w:val="11"/>
        <w:numPr>
          <w:ilvl w:val="0"/>
          <w:numId w:val="5"/>
        </w:numPr>
        <w:topLinePunct w:val="0"/>
        <w:ind w:left="0" w:leftChars="0" w:firstLine="480" w:firstLineChars="0"/>
        <w:rPr>
          <w:rFonts w:hint="eastAsia" w:ascii="宋体" w:hAnsi="宋体" w:eastAsia="宋体" w:cs="宋体"/>
          <w:b w:val="0"/>
        </w:rPr>
      </w:pPr>
      <w:r>
        <w:t>临时数据统计。协助用户完成临时统计分析工作。</w:t>
      </w:r>
    </w:p>
    <w:p>
      <w:pPr>
        <w:pStyle w:val="11"/>
        <w:numPr>
          <w:ilvl w:val="0"/>
          <w:numId w:val="5"/>
        </w:numPr>
        <w:topLinePunct w:val="0"/>
        <w:ind w:left="0" w:leftChars="0" w:firstLine="480" w:firstLineChars="0"/>
        <w:rPr>
          <w:rFonts w:hint="eastAsia" w:ascii="宋体" w:hAnsi="宋体" w:eastAsia="宋体" w:cs="宋体"/>
          <w:b w:val="0"/>
        </w:rPr>
      </w:pPr>
      <w:r>
        <w:t>系统中间件及数据接口维护。负责系统使用的中间件身份证识别、社保卡识别、数据传输接口等的维护工作，保障数据识别准确、数据传输高效。</w:t>
      </w:r>
    </w:p>
    <w:p>
      <w:pPr>
        <w:pStyle w:val="11"/>
        <w:numPr>
          <w:ilvl w:val="0"/>
          <w:numId w:val="5"/>
        </w:numPr>
        <w:topLinePunct w:val="0"/>
        <w:ind w:left="0" w:leftChars="0" w:firstLine="480" w:firstLineChars="0"/>
        <w:rPr>
          <w:rFonts w:hint="eastAsia" w:ascii="宋体" w:hAnsi="宋体" w:eastAsia="宋体" w:cs="宋体"/>
          <w:b w:val="0"/>
        </w:rPr>
      </w:pPr>
      <w:r>
        <w:t>线上系统培训。系统中新功能或改造后的功能上线后，维护团队对用户进行线上培训，帮助用户熟悉系统功能，掌握系统功能的使用。</w:t>
      </w:r>
    </w:p>
    <w:p>
      <w:pPr>
        <w:pStyle w:val="3"/>
        <w:keepNext w:val="0"/>
        <w:keepLines w:val="0"/>
        <w:pageBreakBefore w:val="0"/>
        <w:widowControl/>
        <w:numPr>
          <w:ilvl w:val="0"/>
          <w:numId w:val="3"/>
        </w:numPr>
        <w:kinsoku/>
        <w:wordWrap/>
        <w:overflowPunct/>
        <w:topLinePunct w:val="0"/>
        <w:autoSpaceDE/>
        <w:autoSpaceDN/>
        <w:bidi w:val="0"/>
        <w:adjustRightInd w:val="0"/>
        <w:snapToGrid/>
        <w:spacing w:before="0" w:line="300" w:lineRule="auto"/>
        <w:ind w:left="0" w:leftChars="0" w:right="0" w:rightChars="0" w:firstLine="0" w:firstLineChars="0"/>
        <w:jc w:val="both"/>
        <w:textAlignment w:val="auto"/>
        <w:outlineLvl w:val="1"/>
        <w:rPr>
          <w:b w:val="0"/>
        </w:rPr>
      </w:pPr>
      <w:r>
        <w:t>全市零售药店系统服务</w:t>
      </w:r>
    </w:p>
    <w:p>
      <w:pPr>
        <w:pStyle w:val="11"/>
        <w:numPr>
          <w:ilvl w:val="0"/>
          <w:numId w:val="8"/>
        </w:numPr>
        <w:topLinePunct w:val="0"/>
        <w:ind w:left="0" w:leftChars="0" w:firstLine="480" w:firstLineChars="0"/>
        <w:rPr>
          <w:rFonts w:hint="eastAsia" w:ascii="宋体" w:hAnsi="宋体" w:eastAsia="宋体" w:cs="宋体"/>
          <w:b w:val="0"/>
        </w:rPr>
      </w:pPr>
      <w:r>
        <w:t>负责建立 QQ 群、微信群、邮箱等线上渠道，5*8 小时服务于全市 6400 多家零售药店。负责全市的药店新增、账号发放、密码找回、登记指导、系统操作培训等工作。</w:t>
      </w:r>
    </w:p>
    <w:p>
      <w:pPr>
        <w:pStyle w:val="11"/>
        <w:numPr>
          <w:ilvl w:val="0"/>
          <w:numId w:val="8"/>
        </w:numPr>
        <w:topLinePunct w:val="0"/>
        <w:ind w:left="0" w:leftChars="0" w:firstLine="480" w:firstLineChars="0"/>
        <w:rPr>
          <w:rFonts w:hint="eastAsia" w:ascii="宋体" w:hAnsi="宋体" w:eastAsia="宋体" w:cs="宋体"/>
          <w:b w:val="0"/>
        </w:rPr>
      </w:pPr>
      <w:r>
        <w:t>负责全市药店的地址更改、区域调动、行政区划维护、药店状态变更等服务工作。</w:t>
      </w:r>
    </w:p>
    <w:p>
      <w:pPr>
        <w:pStyle w:val="3"/>
        <w:keepNext w:val="0"/>
        <w:keepLines w:val="0"/>
        <w:pageBreakBefore w:val="0"/>
        <w:widowControl/>
        <w:numPr>
          <w:ilvl w:val="0"/>
          <w:numId w:val="3"/>
        </w:numPr>
        <w:kinsoku/>
        <w:wordWrap/>
        <w:overflowPunct/>
        <w:topLinePunct w:val="0"/>
        <w:autoSpaceDE/>
        <w:autoSpaceDN/>
        <w:bidi w:val="0"/>
        <w:adjustRightInd w:val="0"/>
        <w:snapToGrid/>
        <w:spacing w:before="0" w:line="300" w:lineRule="auto"/>
        <w:ind w:left="0" w:leftChars="0" w:right="0" w:rightChars="0" w:firstLine="0" w:firstLineChars="0"/>
        <w:jc w:val="both"/>
        <w:textAlignment w:val="auto"/>
        <w:outlineLvl w:val="1"/>
        <w:rPr>
          <w:b w:val="0"/>
        </w:rPr>
      </w:pPr>
      <w:r>
        <w:t>系统服务器运维</w:t>
      </w:r>
    </w:p>
    <w:p>
      <w:pPr>
        <w:pStyle w:val="11"/>
        <w:numPr>
          <w:ilvl w:val="0"/>
          <w:numId w:val="9"/>
        </w:numPr>
        <w:topLinePunct w:val="0"/>
        <w:ind w:left="0" w:leftChars="0" w:firstLine="480" w:firstLineChars="0"/>
        <w:rPr>
          <w:rFonts w:hint="eastAsia" w:ascii="宋体" w:hAnsi="宋体" w:eastAsia="宋体" w:cs="宋体"/>
          <w:b w:val="0"/>
        </w:rPr>
      </w:pPr>
      <w:r>
        <w:t>负责服务器配置管理，保障服务器的稳定运行。</w:t>
      </w:r>
    </w:p>
    <w:p>
      <w:pPr>
        <w:pStyle w:val="11"/>
        <w:numPr>
          <w:ilvl w:val="0"/>
          <w:numId w:val="9"/>
        </w:numPr>
        <w:topLinePunct w:val="0"/>
        <w:ind w:left="0" w:leftChars="0" w:firstLine="480" w:firstLineChars="0"/>
        <w:rPr>
          <w:rFonts w:hint="eastAsia" w:ascii="宋体" w:hAnsi="宋体" w:eastAsia="宋体" w:cs="宋体"/>
          <w:b w:val="0"/>
        </w:rPr>
      </w:pPr>
      <w:r>
        <w:t>负责监控网络状态、及时排除各种异常，优化配置软硬件资源。</w:t>
      </w:r>
    </w:p>
    <w:p>
      <w:pPr>
        <w:pStyle w:val="11"/>
        <w:numPr>
          <w:ilvl w:val="0"/>
          <w:numId w:val="9"/>
        </w:numPr>
        <w:topLinePunct w:val="0"/>
        <w:ind w:left="0" w:leftChars="0" w:firstLine="480" w:firstLineChars="0"/>
        <w:rPr>
          <w:rFonts w:hint="eastAsia" w:ascii="宋体" w:hAnsi="宋体" w:eastAsia="宋体" w:cs="宋体"/>
          <w:b w:val="0"/>
        </w:rPr>
      </w:pPr>
      <w:r>
        <w:t>负责服务器的安全工作，定期进行安全漏洞扫描分析和入侵检测并提出解决方案。</w:t>
      </w:r>
    </w:p>
    <w:p>
      <w:pPr>
        <w:pStyle w:val="11"/>
        <w:numPr>
          <w:ilvl w:val="0"/>
          <w:numId w:val="9"/>
        </w:numPr>
        <w:topLinePunct w:val="0"/>
        <w:ind w:left="0" w:leftChars="0" w:firstLine="480" w:firstLineChars="0"/>
        <w:rPr>
          <w:rFonts w:hint="eastAsia" w:ascii="宋体" w:hAnsi="宋体" w:eastAsia="宋体" w:cs="宋体"/>
          <w:b w:val="0"/>
        </w:rPr>
      </w:pPr>
      <w:r>
        <w:t>负责编制汇总故障、问题，定期提交汇总报告。</w:t>
      </w:r>
    </w:p>
    <w:p>
      <w:pPr>
        <w:pStyle w:val="11"/>
        <w:numPr>
          <w:ilvl w:val="0"/>
          <w:numId w:val="9"/>
        </w:numPr>
        <w:topLinePunct w:val="0"/>
        <w:ind w:left="0" w:leftChars="0" w:firstLine="480" w:firstLineChars="0"/>
        <w:rPr>
          <w:rFonts w:hint="eastAsia" w:ascii="宋体" w:hAnsi="宋体" w:eastAsia="宋体" w:cs="宋体"/>
          <w:b w:val="0"/>
        </w:rPr>
      </w:pPr>
      <w:r>
        <w:t>负责服务器集群部署，优化负载及容灾。</w:t>
      </w:r>
    </w:p>
    <w:p>
      <w:pPr>
        <w:pStyle w:val="11"/>
        <w:numPr>
          <w:ilvl w:val="0"/>
          <w:numId w:val="9"/>
        </w:numPr>
        <w:topLinePunct w:val="0"/>
        <w:ind w:left="0" w:leftChars="0" w:firstLine="480" w:firstLineChars="0"/>
        <w:rPr>
          <w:rFonts w:hint="eastAsia" w:ascii="宋体" w:hAnsi="宋体" w:eastAsia="宋体" w:cs="宋体"/>
          <w:b w:val="0"/>
        </w:rPr>
      </w:pPr>
      <w:r>
        <w:t>负责网络监控和应急反应，确保网络、系统和服务器有 7*24 小时的持续运作能力。</w:t>
      </w:r>
    </w:p>
    <w:p>
      <w:pPr>
        <w:pStyle w:val="3"/>
        <w:widowControl/>
        <w:numPr>
          <w:ilvl w:val="0"/>
          <w:numId w:val="3"/>
        </w:numPr>
        <w:ind w:left="0" w:leftChars="0" w:firstLine="0" w:firstLineChars="0"/>
        <w:rPr>
          <w:b w:val="0"/>
        </w:rPr>
      </w:pPr>
      <w:r>
        <w:t>系统建设标准要求的响应</w:t>
      </w:r>
    </w:p>
    <w:p>
      <w:pPr>
        <w:pStyle w:val="11"/>
      </w:pPr>
      <w:r>
        <w:t>响应甲方平台整合及数据归集要求，并保持功能及性能稳定，包括通过区块链或接 口等甲方规定方式，将所有数据归集至武汉市市场监督管理局数据中台集中管理、存储以及</w:t>
      </w:r>
      <w:r>
        <w:rPr>
          <w:rFonts w:hint="eastAsia"/>
          <w:lang w:val="en-US" w:eastAsia="zh-CN"/>
        </w:rPr>
        <w:t>确保</w:t>
      </w:r>
      <w:r>
        <w:t>甲方整体框架标准要求下的系统整合等。</w:t>
      </w:r>
    </w:p>
    <w:p>
      <w:pPr>
        <w:pStyle w:val="3"/>
        <w:keepNext w:val="0"/>
        <w:keepLines w:val="0"/>
        <w:pageBreakBefore w:val="0"/>
        <w:widowControl/>
        <w:numPr>
          <w:ilvl w:val="0"/>
          <w:numId w:val="3"/>
        </w:numPr>
        <w:kinsoku/>
        <w:wordWrap/>
        <w:overflowPunct/>
        <w:topLinePunct w:val="0"/>
        <w:autoSpaceDE/>
        <w:autoSpaceDN/>
        <w:bidi w:val="0"/>
        <w:adjustRightInd w:val="0"/>
        <w:snapToGrid/>
        <w:spacing w:before="0" w:line="300" w:lineRule="auto"/>
        <w:ind w:left="0" w:leftChars="0" w:right="0" w:rightChars="0" w:firstLine="0" w:firstLineChars="0"/>
        <w:jc w:val="both"/>
        <w:textAlignment w:val="auto"/>
        <w:outlineLvl w:val="1"/>
        <w:rPr>
          <w:b w:val="0"/>
        </w:rPr>
      </w:pPr>
      <w:r>
        <w:t>服务方式和标准</w:t>
      </w:r>
    </w:p>
    <w:p>
      <w:pPr>
        <w:pStyle w:val="11"/>
        <w:numPr>
          <w:ilvl w:val="0"/>
          <w:numId w:val="10"/>
        </w:numPr>
        <w:topLinePunct w:val="0"/>
        <w:ind w:left="0" w:leftChars="0" w:firstLine="480" w:firstLineChars="0"/>
        <w:rPr>
          <w:b w:val="0"/>
        </w:rPr>
      </w:pPr>
      <w:r>
        <w:t>日常技术支持，包括 QQ 群技术支持、微信群技术支持和电话技术支持服务（5*8小时）。</w:t>
      </w:r>
    </w:p>
    <w:p>
      <w:pPr>
        <w:pStyle w:val="11"/>
        <w:numPr>
          <w:ilvl w:val="0"/>
          <w:numId w:val="10"/>
        </w:numPr>
        <w:topLinePunct w:val="0"/>
        <w:ind w:left="0" w:leftChars="0" w:firstLine="480" w:firstLineChars="0"/>
        <w:rPr>
          <w:b w:val="0"/>
        </w:rPr>
      </w:pPr>
      <w:r>
        <w:t>7*24 小时的应急响应支持服务，及时对故障进行处理。</w:t>
      </w:r>
      <w:r>
        <w:rPr>
          <w:rFonts w:hint="eastAsia"/>
        </w:rPr>
        <w:t>提供 7*24 小时的应急响应支持服务，制定符合实际情况的应急服务方案，主要包括：应急处理流程、应急预案。在发生确切的应急事件时，服务供应商实施人员应及时采取行动限制事件扩散和影响的范围，限制潜在的损失与破坏服务基础上，实施人员协助客户检查所有受影响的系统，在准确判断安全事件原因的基础上，提出基于安全事件整体安全解决方案，排除系统安全风险并协助追查事件来源、提出解决方案、协助后续处置</w:t>
      </w:r>
    </w:p>
    <w:p>
      <w:pPr>
        <w:pStyle w:val="11"/>
        <w:numPr>
          <w:ilvl w:val="0"/>
          <w:numId w:val="10"/>
        </w:numPr>
        <w:topLinePunct w:val="0"/>
        <w:ind w:left="0" w:leftChars="0" w:firstLine="480" w:firstLineChars="0"/>
        <w:rPr>
          <w:rFonts w:hint="eastAsia" w:ascii="黑体" w:hAnsi="黑体" w:eastAsia="黑体" w:cs="黑体"/>
          <w:b w:val="0"/>
        </w:rPr>
      </w:pPr>
      <w:r>
        <w:t>每周对系统运行情况进行巡检，每月提交服务月报，服务期满提交一次总提服务报告。根据运维工作需要提供远程运维方式和现场运维方式相结合。</w:t>
      </w:r>
    </w:p>
    <w:p>
      <w:pPr>
        <w:pStyle w:val="2"/>
        <w:keepNext w:val="0"/>
        <w:keepLines w:val="0"/>
        <w:pageBreakBefore w:val="0"/>
        <w:widowControl/>
        <w:numPr>
          <w:ilvl w:val="0"/>
          <w:numId w:val="1"/>
        </w:numPr>
        <w:kinsoku/>
        <w:wordWrap/>
        <w:overflowPunct/>
        <w:topLinePunct w:val="0"/>
        <w:autoSpaceDE/>
        <w:autoSpaceDN/>
        <w:bidi w:val="0"/>
        <w:adjustRightInd w:val="0"/>
        <w:snapToGrid/>
        <w:spacing w:before="0" w:line="300" w:lineRule="auto"/>
        <w:ind w:left="0" w:leftChars="0" w:right="0" w:rightChars="0" w:firstLine="0" w:firstLineChars="0"/>
        <w:jc w:val="both"/>
        <w:textAlignment w:val="auto"/>
        <w:outlineLvl w:val="0"/>
        <w:rPr>
          <w:rFonts w:hint="eastAsia"/>
        </w:rPr>
      </w:pPr>
      <w:r>
        <w:t>商务要求</w:t>
      </w:r>
    </w:p>
    <w:p>
      <w:pPr>
        <w:pStyle w:val="3"/>
        <w:keepNext w:val="0"/>
        <w:keepLines w:val="0"/>
        <w:pageBreakBefore w:val="0"/>
        <w:widowControl/>
        <w:numPr>
          <w:ilvl w:val="0"/>
          <w:numId w:val="11"/>
        </w:numPr>
        <w:kinsoku/>
        <w:wordWrap/>
        <w:overflowPunct/>
        <w:topLinePunct w:val="0"/>
        <w:autoSpaceDE/>
        <w:autoSpaceDN/>
        <w:bidi w:val="0"/>
        <w:adjustRightInd w:val="0"/>
        <w:snapToGrid/>
        <w:spacing w:before="0" w:line="300" w:lineRule="auto"/>
        <w:ind w:left="0" w:leftChars="0" w:right="0" w:rightChars="0" w:firstLine="0" w:firstLineChars="0"/>
        <w:jc w:val="both"/>
        <w:textAlignment w:val="auto"/>
        <w:outlineLvl w:val="1"/>
        <w:rPr>
          <w:rFonts w:hint="eastAsia" w:ascii="黑体" w:hAnsi="黑体" w:eastAsia="黑体" w:cs="黑体"/>
          <w:b w:val="0"/>
        </w:rPr>
      </w:pPr>
      <w:r>
        <w:t>服务期限</w:t>
      </w:r>
    </w:p>
    <w:p>
      <w:pPr>
        <w:pStyle w:val="11"/>
      </w:pPr>
      <w:r>
        <w:t>运维服务期： 2026年2月至2026年10月。</w:t>
      </w:r>
    </w:p>
    <w:p>
      <w:pPr>
        <w:pStyle w:val="3"/>
        <w:keepNext w:val="0"/>
        <w:keepLines w:val="0"/>
        <w:pageBreakBefore w:val="0"/>
        <w:widowControl/>
        <w:numPr>
          <w:ilvl w:val="0"/>
          <w:numId w:val="11"/>
        </w:numPr>
        <w:kinsoku/>
        <w:wordWrap/>
        <w:overflowPunct/>
        <w:topLinePunct w:val="0"/>
        <w:autoSpaceDE/>
        <w:autoSpaceDN/>
        <w:bidi w:val="0"/>
        <w:adjustRightInd w:val="0"/>
        <w:snapToGrid/>
        <w:spacing w:before="0" w:line="300" w:lineRule="auto"/>
        <w:ind w:left="0" w:leftChars="0" w:right="0" w:rightChars="0" w:firstLine="0" w:firstLineChars="0"/>
        <w:jc w:val="both"/>
        <w:textAlignment w:val="auto"/>
        <w:outlineLvl w:val="1"/>
        <w:rPr>
          <w:rFonts w:hint="eastAsia" w:ascii="黑体" w:hAnsi="黑体" w:eastAsia="黑体" w:cs="黑体"/>
          <w:b w:val="0"/>
        </w:rPr>
      </w:pPr>
      <w:r>
        <w:t>付款方式</w:t>
      </w:r>
    </w:p>
    <w:p>
      <w:pPr>
        <w:pStyle w:val="11"/>
      </w:pPr>
      <w:r>
        <w:t xml:space="preserve">签订合同后，采购人自收到供应商出具的首付款发票起 10 </w:t>
      </w:r>
      <w:r>
        <w:rPr>
          <w:rFonts w:hint="eastAsia"/>
          <w:lang w:eastAsia="zh-CN"/>
        </w:rPr>
        <w:t>个</w:t>
      </w:r>
      <w:r>
        <w:rPr>
          <w:rFonts w:hint="eastAsia"/>
          <w:lang w:val="en-US" w:eastAsia="zh-CN"/>
        </w:rPr>
        <w:t>工作日内</w:t>
      </w:r>
      <w:r>
        <w:t>向供应商支付合同总金额的40%，运维期满后，</w:t>
      </w:r>
      <w:r>
        <w:rPr>
          <w:rFonts w:hint="eastAsia"/>
          <w:lang w:val="en-US" w:eastAsia="zh-CN"/>
        </w:rPr>
        <w:t>经验收合格后，</w:t>
      </w:r>
      <w:r>
        <w:t xml:space="preserve">采购人在收到供应商出具的尾款发票起 10 </w:t>
      </w:r>
      <w:r>
        <w:rPr>
          <w:rFonts w:hint="eastAsia"/>
          <w:lang w:val="en-US" w:eastAsia="zh-CN"/>
        </w:rPr>
        <w:t>个工作日内</w:t>
      </w:r>
      <w:r>
        <w:t>向供应商支付合同总金额的 60%。</w:t>
      </w:r>
    </w:p>
    <w:p>
      <w:pPr>
        <w:pStyle w:val="3"/>
        <w:widowControl/>
        <w:numPr>
          <w:ilvl w:val="0"/>
          <w:numId w:val="11"/>
        </w:numPr>
        <w:topLinePunct w:val="0"/>
        <w:ind w:left="0" w:leftChars="0" w:firstLine="0" w:firstLineChars="0"/>
        <w:rPr>
          <w:rFonts w:hint="eastAsia" w:ascii="黑体" w:hAnsi="黑体" w:eastAsia="黑体" w:cs="黑体"/>
          <w:b w:val="0"/>
        </w:rPr>
      </w:pPr>
      <w:r>
        <w:t>项目验收</w:t>
      </w:r>
    </w:p>
    <w:p>
      <w:pPr>
        <w:pStyle w:val="11"/>
      </w:pPr>
      <w:r>
        <w:t>供应商和采购人在完成本项目运维服务工作后半个月内，应及时组织对本项目进行验收。供应商应将运维服务过程中各阶段的文档汇集成册交付采购人，以便采购人组织验收。</w:t>
      </w:r>
    </w:p>
    <w:p>
      <w:pPr>
        <w:pStyle w:val="3"/>
        <w:widowControl/>
        <w:numPr>
          <w:ilvl w:val="0"/>
          <w:numId w:val="11"/>
        </w:numPr>
        <w:topLinePunct w:val="0"/>
        <w:ind w:left="0" w:leftChars="0" w:firstLine="0" w:firstLineChars="0"/>
        <w:rPr>
          <w:rFonts w:hint="eastAsia" w:ascii="黑体" w:hAnsi="黑体" w:eastAsia="黑体" w:cs="黑体"/>
          <w:b w:val="0"/>
        </w:rPr>
      </w:pPr>
      <w:r>
        <w:t>其他要求</w:t>
      </w:r>
    </w:p>
    <w:p>
      <w:pPr>
        <w:pStyle w:val="11"/>
        <w:numPr>
          <w:ilvl w:val="0"/>
          <w:numId w:val="12"/>
        </w:numPr>
        <w:ind w:left="0" w:leftChars="0" w:firstLine="480" w:firstLineChars="0"/>
        <w:rPr>
          <w:b w:val="0"/>
        </w:rPr>
      </w:pPr>
      <w:r>
        <w:t>投标人应承担过类似项目业绩。</w:t>
      </w:r>
    </w:p>
    <w:p>
      <w:pPr>
        <w:pStyle w:val="11"/>
        <w:numPr>
          <w:ilvl w:val="0"/>
          <w:numId w:val="12"/>
        </w:numPr>
        <w:ind w:left="0" w:leftChars="0" w:firstLine="480" w:firstLineChars="0"/>
        <w:rPr>
          <w:b w:val="0"/>
        </w:rPr>
      </w:pPr>
      <w:r>
        <w:t>投标人应具有有效期内的：在线医药服务平台相关软件著作权证书、药品登记报告系统相关软件著作权证书</w:t>
      </w:r>
    </w:p>
    <w:p>
      <w:pPr>
        <w:pStyle w:val="11"/>
        <w:numPr>
          <w:ilvl w:val="0"/>
          <w:numId w:val="12"/>
        </w:numPr>
        <w:ind w:left="0" w:leftChars="0" w:firstLine="480" w:firstLineChars="0"/>
        <w:rPr>
          <w:b w:val="0"/>
        </w:rPr>
      </w:pPr>
      <w:r>
        <w:t>运维人员应为本科及以上学历且是计算机相关专业毕业。</w:t>
      </w:r>
    </w:p>
    <w:p>
      <w:pPr>
        <w:pStyle w:val="11"/>
        <w:numPr>
          <w:ilvl w:val="0"/>
          <w:numId w:val="12"/>
        </w:numPr>
        <w:ind w:left="0" w:leftChars="0" w:firstLine="480" w:firstLineChars="0"/>
        <w:rPr>
          <w:b w:val="0"/>
        </w:rPr>
      </w:pPr>
      <w:r>
        <w:t>投标人应提供项目实施方案，方案包含但不限于：</w:t>
      </w:r>
    </w:p>
    <w:p>
      <w:pPr>
        <w:pStyle w:val="11"/>
        <w:numPr>
          <w:ilvl w:val="0"/>
          <w:numId w:val="13"/>
        </w:numPr>
        <w:topLinePunct w:val="0"/>
        <w:ind w:left="0" w:leftChars="0" w:firstLine="480" w:firstLineChars="0"/>
        <w:rPr>
          <w:rFonts w:hint="eastAsia" w:ascii="宋体" w:hAnsi="宋体" w:eastAsia="宋体" w:cs="宋体"/>
          <w:b w:val="0"/>
        </w:rPr>
      </w:pPr>
      <w:r>
        <w:t>对项目实施方案制定总体思路；</w:t>
      </w:r>
    </w:p>
    <w:p>
      <w:pPr>
        <w:pStyle w:val="11"/>
        <w:numPr>
          <w:ilvl w:val="0"/>
          <w:numId w:val="13"/>
        </w:numPr>
        <w:topLinePunct w:val="0"/>
        <w:ind w:left="0" w:leftChars="0" w:firstLine="480" w:firstLineChars="0"/>
        <w:rPr>
          <w:rFonts w:hint="eastAsia" w:ascii="宋体" w:hAnsi="宋体" w:eastAsia="宋体" w:cs="宋体"/>
          <w:b w:val="0"/>
        </w:rPr>
      </w:pPr>
      <w:r>
        <w:t>本项目实施方案制定相应的工作措施、工作方法、工作手段、工作流程；</w:t>
      </w:r>
    </w:p>
    <w:p>
      <w:pPr>
        <w:pStyle w:val="11"/>
        <w:numPr>
          <w:ilvl w:val="0"/>
          <w:numId w:val="13"/>
        </w:numPr>
        <w:topLinePunct w:val="0"/>
        <w:ind w:left="0" w:leftChars="0" w:firstLine="480" w:firstLineChars="0"/>
        <w:rPr>
          <w:rFonts w:hint="eastAsia" w:ascii="宋体" w:hAnsi="宋体" w:eastAsia="宋体" w:cs="宋体"/>
          <w:b w:val="0"/>
        </w:rPr>
      </w:pPr>
      <w:r>
        <w:t>对本项目实施方案制定技术方案。</w:t>
      </w:r>
    </w:p>
    <w:p>
      <w:pPr>
        <w:pStyle w:val="11"/>
        <w:numPr>
          <w:ilvl w:val="0"/>
          <w:numId w:val="12"/>
        </w:numPr>
        <w:ind w:left="0" w:leftChars="0" w:firstLine="480" w:firstLineChars="0"/>
        <w:rPr>
          <w:b w:val="0"/>
        </w:rPr>
      </w:pPr>
      <w:r>
        <w:t>投标人应提供项目质量保证措施方案评价包含但不限于：</w:t>
      </w:r>
    </w:p>
    <w:p>
      <w:pPr>
        <w:pStyle w:val="11"/>
        <w:numPr>
          <w:ilvl w:val="0"/>
          <w:numId w:val="14"/>
        </w:numPr>
        <w:topLinePunct w:val="0"/>
        <w:ind w:left="0" w:leftChars="0" w:firstLine="480" w:firstLineChars="0"/>
        <w:rPr>
          <w:rFonts w:hint="eastAsia" w:ascii="宋体" w:hAnsi="宋体" w:eastAsia="宋体" w:cs="宋体"/>
          <w:b w:val="0"/>
        </w:rPr>
      </w:pPr>
      <w:r>
        <w:t>投标人具备完善的项目管理体系；</w:t>
      </w:r>
    </w:p>
    <w:p>
      <w:pPr>
        <w:pStyle w:val="11"/>
        <w:numPr>
          <w:ilvl w:val="0"/>
          <w:numId w:val="14"/>
        </w:numPr>
        <w:topLinePunct w:val="0"/>
        <w:ind w:left="0" w:leftChars="0" w:firstLine="480" w:firstLineChars="0"/>
        <w:rPr>
          <w:rFonts w:hint="eastAsia" w:ascii="宋体" w:hAnsi="宋体" w:eastAsia="宋体" w:cs="宋体"/>
          <w:b w:val="0"/>
        </w:rPr>
      </w:pPr>
      <w:r>
        <w:t>对质量保证措施的具体规划和方针；</w:t>
      </w:r>
    </w:p>
    <w:p>
      <w:pPr>
        <w:pStyle w:val="11"/>
        <w:numPr>
          <w:ilvl w:val="0"/>
          <w:numId w:val="14"/>
        </w:numPr>
        <w:topLinePunct w:val="0"/>
        <w:ind w:left="0" w:leftChars="0" w:firstLine="480" w:firstLineChars="0"/>
        <w:rPr>
          <w:rFonts w:hint="eastAsia" w:ascii="宋体" w:hAnsi="宋体" w:eastAsia="宋体" w:cs="宋体"/>
          <w:b w:val="0"/>
        </w:rPr>
      </w:pPr>
      <w:r>
        <w:t>为本项目设置控制措施和具体实现流程；</w:t>
      </w:r>
    </w:p>
    <w:p>
      <w:pPr>
        <w:pStyle w:val="11"/>
        <w:numPr>
          <w:ilvl w:val="0"/>
          <w:numId w:val="12"/>
        </w:numPr>
        <w:ind w:left="0" w:leftChars="0" w:firstLine="480" w:firstLineChars="0"/>
        <w:rPr>
          <w:b w:val="0"/>
        </w:rPr>
      </w:pPr>
      <w:r>
        <w:t>投标人应提供售后服务方案包含但不限于：</w:t>
      </w:r>
    </w:p>
    <w:p>
      <w:pPr>
        <w:pStyle w:val="11"/>
        <w:numPr>
          <w:ilvl w:val="0"/>
          <w:numId w:val="15"/>
        </w:numPr>
        <w:topLinePunct w:val="0"/>
        <w:ind w:left="0" w:leftChars="0" w:firstLine="480" w:firstLineChars="0"/>
        <w:rPr>
          <w:rFonts w:hint="eastAsia" w:ascii="宋体" w:hAnsi="宋体" w:eastAsia="宋体" w:cs="宋体"/>
          <w:b w:val="0"/>
        </w:rPr>
      </w:pPr>
      <w:r>
        <w:t>提供对项目现状的理解和系统的分析；</w:t>
      </w:r>
    </w:p>
    <w:p>
      <w:pPr>
        <w:pStyle w:val="11"/>
        <w:numPr>
          <w:ilvl w:val="0"/>
          <w:numId w:val="15"/>
        </w:numPr>
        <w:topLinePunct w:val="0"/>
        <w:ind w:left="0" w:leftChars="0" w:firstLine="480" w:firstLineChars="0"/>
        <w:rPr>
          <w:rFonts w:hint="eastAsia" w:ascii="宋体" w:hAnsi="宋体" w:eastAsia="宋体" w:cs="宋体"/>
          <w:b w:val="0"/>
        </w:rPr>
      </w:pPr>
      <w:r>
        <w:t>针对本项目提供售后服务内容；</w:t>
      </w:r>
    </w:p>
    <w:p>
      <w:pPr>
        <w:pStyle w:val="11"/>
        <w:numPr>
          <w:ilvl w:val="0"/>
          <w:numId w:val="15"/>
        </w:numPr>
        <w:topLinePunct w:val="0"/>
        <w:ind w:left="0" w:leftChars="0" w:firstLine="480" w:firstLineChars="0"/>
        <w:rPr>
          <w:rFonts w:hint="eastAsia" w:ascii="宋体" w:hAnsi="宋体" w:eastAsia="宋体" w:cs="宋体"/>
          <w:b w:val="0"/>
        </w:rPr>
      </w:pPr>
      <w:r>
        <w:t>针对本项目的服务计划；</w:t>
      </w:r>
      <w:bookmarkStart w:id="1" w:name="_GoBack"/>
      <w:bookmarkEnd w:id="1"/>
    </w:p>
    <w:p>
      <w:pPr>
        <w:pStyle w:val="11"/>
        <w:numPr>
          <w:ilvl w:val="0"/>
          <w:numId w:val="12"/>
        </w:numPr>
        <w:ind w:left="0" w:leftChars="0" w:firstLine="480" w:firstLineChars="0"/>
        <w:rPr>
          <w:b w:val="0"/>
        </w:rPr>
      </w:pPr>
      <w:r>
        <w:t>投标人应提供培训方案评价包含但不限于：</w:t>
      </w:r>
    </w:p>
    <w:p>
      <w:pPr>
        <w:pStyle w:val="11"/>
        <w:numPr>
          <w:ilvl w:val="0"/>
          <w:numId w:val="16"/>
        </w:numPr>
        <w:topLinePunct w:val="0"/>
        <w:ind w:left="0" w:leftChars="0" w:firstLine="480" w:firstLineChars="0"/>
        <w:rPr>
          <w:rFonts w:hint="eastAsia" w:ascii="宋体" w:hAnsi="宋体" w:eastAsia="宋体" w:cs="宋体"/>
          <w:b w:val="0"/>
        </w:rPr>
      </w:pPr>
      <w:r>
        <w:t>设置培训目标和方法；</w:t>
      </w:r>
    </w:p>
    <w:p>
      <w:pPr>
        <w:pStyle w:val="11"/>
        <w:numPr>
          <w:ilvl w:val="0"/>
          <w:numId w:val="16"/>
        </w:numPr>
        <w:topLinePunct w:val="0"/>
        <w:ind w:left="0" w:leftChars="0" w:firstLine="480" w:firstLineChars="0"/>
        <w:rPr>
          <w:rFonts w:hint="eastAsia" w:ascii="宋体" w:hAnsi="宋体" w:eastAsia="宋体" w:cs="宋体"/>
          <w:b w:val="0"/>
        </w:rPr>
      </w:pPr>
      <w:r>
        <w:t>本项目培训方案制定相应的培训内容、培训手段、培训流程；</w:t>
      </w:r>
    </w:p>
    <w:p>
      <w:pPr>
        <w:pStyle w:val="11"/>
        <w:numPr>
          <w:ilvl w:val="0"/>
          <w:numId w:val="12"/>
        </w:numPr>
        <w:ind w:left="0" w:leftChars="0" w:firstLine="480" w:firstLineChars="0"/>
        <w:rPr>
          <w:b w:val="0"/>
        </w:rPr>
      </w:pPr>
      <w:r>
        <w:t xml:space="preserve">投标人应提供应急预案处置评价包含但不限于： </w:t>
      </w:r>
    </w:p>
    <w:p>
      <w:pPr>
        <w:pStyle w:val="11"/>
        <w:numPr>
          <w:ilvl w:val="0"/>
          <w:numId w:val="0"/>
        </w:numPr>
        <w:ind w:left="480" w:leftChars="0"/>
        <w:rPr>
          <w:b w:val="0"/>
        </w:rPr>
      </w:pPr>
      <w:r>
        <w:t>（1）提供应急响应理念、风险评估和预防措施；</w:t>
      </w:r>
    </w:p>
    <w:p>
      <w:pPr>
        <w:pStyle w:val="11"/>
      </w:pPr>
      <w:r>
        <w:t>（2）设定预警机制和恢复流程；</w:t>
      </w:r>
    </w:p>
    <w:sectPr>
      <w:headerReference r:id="rId3" w:type="default"/>
      <w:footerReference r:id="rId4" w:type="default"/>
      <w:pgSz w:w="11906" w:h="16839"/>
      <w:pgMar w:top="1531" w:right="1417" w:bottom="1531" w:left="1417" w:header="0" w:footer="850" w:gutter="0"/>
      <w:paperSrc/>
      <w:pgNumType w:fmt="numberInDash"/>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auto"/>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rPr>
                              <w:rFonts w:hint="eastAsia" w:eastAsia="宋体"/>
                              <w:sz w:val="18"/>
                              <w:lang w:eastAsia="zh-CN"/>
                            </w:rPr>
                            <w:t>- 1 -</w:t>
                          </w:r>
                          <w:r>
                            <w:rPr>
                              <w:rFonts w:hint="eastAsia" w:eastAsia="宋体"/>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eastAsia="宋体"/>
                        <w:sz w:val="18"/>
                        <w:lang w:eastAsia="zh-CN"/>
                      </w:rPr>
                      <w:fldChar w:fldCharType="begin"/>
                    </w:r>
                    <w:r>
                      <w:rPr>
                        <w:rFonts w:hint="eastAsia" w:eastAsia="宋体"/>
                        <w:sz w:val="18"/>
                        <w:lang w:eastAsia="zh-CN"/>
                      </w:rPr>
                      <w:instrText xml:space="preserve"> PAGE  \* MERGEFORMAT </w:instrText>
                    </w:r>
                    <w:r>
                      <w:rPr>
                        <w:rFonts w:hint="eastAsia" w:eastAsia="宋体"/>
                        <w:sz w:val="18"/>
                        <w:lang w:eastAsia="zh-CN"/>
                      </w:rPr>
                      <w:fldChar w:fldCharType="separate"/>
                    </w:r>
                    <w:r>
                      <w:rPr>
                        <w:rFonts w:hint="eastAsia" w:eastAsia="宋体"/>
                        <w:sz w:val="18"/>
                        <w:lang w:eastAsia="zh-CN"/>
                      </w:rPr>
                      <w:t>- 1 -</w:t>
                    </w:r>
                    <w:r>
                      <w:rPr>
                        <w:rFonts w:hint="eastAsia" w:eastAsia="宋体"/>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3248B53"/>
    <w:multiLevelType w:val="singleLevel"/>
    <w:tmpl w:val="93248B53"/>
    <w:lvl w:ilvl="0" w:tentative="0">
      <w:start w:val="1"/>
      <w:numFmt w:val="chineseCounting"/>
      <w:suff w:val="nothing"/>
      <w:lvlText w:val="（%1）"/>
      <w:lvlJc w:val="left"/>
      <w:pPr>
        <w:ind w:left="0" w:firstLine="0"/>
      </w:pPr>
      <w:rPr>
        <w:rFonts w:hint="eastAsia"/>
      </w:rPr>
    </w:lvl>
  </w:abstractNum>
  <w:abstractNum w:abstractNumId="1">
    <w:nsid w:val="9655B58B"/>
    <w:multiLevelType w:val="singleLevel"/>
    <w:tmpl w:val="9655B58B"/>
    <w:lvl w:ilvl="0" w:tentative="0">
      <w:start w:val="1"/>
      <w:numFmt w:val="decimal"/>
      <w:suff w:val="space"/>
      <w:lvlText w:val="1.%1"/>
      <w:lvlJc w:val="left"/>
      <w:pPr>
        <w:ind w:left="0" w:firstLine="0"/>
      </w:pPr>
      <w:rPr>
        <w:rFonts w:hint="default"/>
      </w:rPr>
    </w:lvl>
  </w:abstractNum>
  <w:abstractNum w:abstractNumId="2">
    <w:nsid w:val="9A658471"/>
    <w:multiLevelType w:val="singleLevel"/>
    <w:tmpl w:val="9A658471"/>
    <w:lvl w:ilvl="0" w:tentative="0">
      <w:start w:val="1"/>
      <w:numFmt w:val="decimal"/>
      <w:suff w:val="nothing"/>
      <w:lvlText w:val="（%1）"/>
      <w:lvlJc w:val="left"/>
      <w:pPr>
        <w:ind w:left="0" w:firstLine="480"/>
      </w:pPr>
      <w:rPr>
        <w:rFonts w:hint="default"/>
      </w:rPr>
    </w:lvl>
  </w:abstractNum>
  <w:abstractNum w:abstractNumId="3">
    <w:nsid w:val="A27E2261"/>
    <w:multiLevelType w:val="singleLevel"/>
    <w:tmpl w:val="A27E2261"/>
    <w:lvl w:ilvl="0" w:tentative="0">
      <w:start w:val="1"/>
      <w:numFmt w:val="decimal"/>
      <w:suff w:val="nothing"/>
      <w:lvlText w:val="（%1）"/>
      <w:lvlJc w:val="left"/>
      <w:pPr>
        <w:ind w:left="0" w:firstLine="480"/>
      </w:pPr>
      <w:rPr>
        <w:rFonts w:hint="default"/>
      </w:rPr>
    </w:lvl>
  </w:abstractNum>
  <w:abstractNum w:abstractNumId="4">
    <w:nsid w:val="ABB0E5E1"/>
    <w:multiLevelType w:val="singleLevel"/>
    <w:tmpl w:val="ABB0E5E1"/>
    <w:lvl w:ilvl="0" w:tentative="0">
      <w:start w:val="1"/>
      <w:numFmt w:val="decimal"/>
      <w:lvlText w:val="(%1)"/>
      <w:lvlJc w:val="left"/>
      <w:pPr>
        <w:ind w:left="425" w:hanging="425"/>
      </w:pPr>
      <w:rPr>
        <w:rFonts w:hint="default"/>
      </w:rPr>
    </w:lvl>
  </w:abstractNum>
  <w:abstractNum w:abstractNumId="5">
    <w:nsid w:val="B254ADBF"/>
    <w:multiLevelType w:val="singleLevel"/>
    <w:tmpl w:val="B254ADBF"/>
    <w:lvl w:ilvl="0" w:tentative="0">
      <w:start w:val="1"/>
      <w:numFmt w:val="decimal"/>
      <w:suff w:val="nothing"/>
      <w:lvlText w:val="（%1）"/>
      <w:lvlJc w:val="left"/>
      <w:pPr>
        <w:ind w:left="0" w:firstLine="480"/>
      </w:pPr>
      <w:rPr>
        <w:rFonts w:hint="default"/>
      </w:rPr>
    </w:lvl>
  </w:abstractNum>
  <w:abstractNum w:abstractNumId="6">
    <w:nsid w:val="B3B3BA04"/>
    <w:multiLevelType w:val="singleLevel"/>
    <w:tmpl w:val="B3B3BA04"/>
    <w:lvl w:ilvl="0" w:tentative="0">
      <w:start w:val="1"/>
      <w:numFmt w:val="decimal"/>
      <w:suff w:val="nothing"/>
      <w:lvlText w:val="（%1）"/>
      <w:lvlJc w:val="left"/>
      <w:pPr>
        <w:ind w:left="0" w:firstLine="480"/>
      </w:pPr>
      <w:rPr>
        <w:rFonts w:hint="default"/>
      </w:rPr>
    </w:lvl>
  </w:abstractNum>
  <w:abstractNum w:abstractNumId="7">
    <w:nsid w:val="B7714840"/>
    <w:multiLevelType w:val="singleLevel"/>
    <w:tmpl w:val="B7714840"/>
    <w:lvl w:ilvl="0" w:tentative="0">
      <w:start w:val="1"/>
      <w:numFmt w:val="decimal"/>
      <w:suff w:val="space"/>
      <w:lvlText w:val="%1."/>
      <w:lvlJc w:val="left"/>
      <w:pPr>
        <w:ind w:left="0" w:firstLine="0"/>
      </w:pPr>
      <w:rPr>
        <w:rFonts w:hint="default"/>
      </w:rPr>
    </w:lvl>
  </w:abstractNum>
  <w:abstractNum w:abstractNumId="8">
    <w:nsid w:val="C846EA53"/>
    <w:multiLevelType w:val="singleLevel"/>
    <w:tmpl w:val="C846EA53"/>
    <w:lvl w:ilvl="0" w:tentative="0">
      <w:start w:val="1"/>
      <w:numFmt w:val="decimal"/>
      <w:suff w:val="space"/>
      <w:lvlText w:val="%1."/>
      <w:lvlJc w:val="left"/>
      <w:pPr>
        <w:ind w:left="0" w:firstLine="480"/>
      </w:pPr>
      <w:rPr>
        <w:rFonts w:hint="default"/>
      </w:rPr>
    </w:lvl>
  </w:abstractNum>
  <w:abstractNum w:abstractNumId="9">
    <w:nsid w:val="D8A777B0"/>
    <w:multiLevelType w:val="singleLevel"/>
    <w:tmpl w:val="D8A777B0"/>
    <w:lvl w:ilvl="0" w:tentative="0">
      <w:start w:val="1"/>
      <w:numFmt w:val="decimal"/>
      <w:suff w:val="nothing"/>
      <w:lvlText w:val="（%1）"/>
      <w:lvlJc w:val="left"/>
      <w:pPr>
        <w:ind w:left="0" w:firstLine="480"/>
      </w:pPr>
      <w:rPr>
        <w:rFonts w:hint="default"/>
      </w:rPr>
    </w:lvl>
  </w:abstractNum>
  <w:abstractNum w:abstractNumId="10">
    <w:nsid w:val="E31F5104"/>
    <w:multiLevelType w:val="singleLevel"/>
    <w:tmpl w:val="E31F5104"/>
    <w:lvl w:ilvl="0" w:tentative="0">
      <w:start w:val="1"/>
      <w:numFmt w:val="decimal"/>
      <w:suff w:val="nothing"/>
      <w:lvlText w:val="（%1）"/>
      <w:lvlJc w:val="left"/>
      <w:pPr>
        <w:ind w:left="0" w:firstLine="480"/>
      </w:pPr>
      <w:rPr>
        <w:rFonts w:hint="default"/>
      </w:rPr>
    </w:lvl>
  </w:abstractNum>
  <w:abstractNum w:abstractNumId="11">
    <w:nsid w:val="1158504D"/>
    <w:multiLevelType w:val="singleLevel"/>
    <w:tmpl w:val="1158504D"/>
    <w:lvl w:ilvl="0" w:tentative="0">
      <w:start w:val="1"/>
      <w:numFmt w:val="upperLetter"/>
      <w:suff w:val="nothing"/>
      <w:lvlText w:val="（%1）"/>
      <w:lvlJc w:val="left"/>
      <w:pPr>
        <w:ind w:left="0" w:firstLine="480"/>
      </w:pPr>
      <w:rPr>
        <w:rFonts w:hint="default"/>
      </w:rPr>
    </w:lvl>
  </w:abstractNum>
  <w:abstractNum w:abstractNumId="12">
    <w:nsid w:val="337AD3BA"/>
    <w:multiLevelType w:val="singleLevel"/>
    <w:tmpl w:val="337AD3BA"/>
    <w:lvl w:ilvl="0" w:tentative="0">
      <w:start w:val="1"/>
      <w:numFmt w:val="decimal"/>
      <w:suff w:val="nothing"/>
      <w:lvlText w:val="（%1）"/>
      <w:lvlJc w:val="left"/>
      <w:pPr>
        <w:ind w:left="0" w:firstLine="480"/>
      </w:pPr>
      <w:rPr>
        <w:rFonts w:hint="default"/>
      </w:rPr>
    </w:lvl>
  </w:abstractNum>
  <w:abstractNum w:abstractNumId="13">
    <w:nsid w:val="35C83C95"/>
    <w:multiLevelType w:val="singleLevel"/>
    <w:tmpl w:val="35C83C95"/>
    <w:lvl w:ilvl="0" w:tentative="0">
      <w:start w:val="1"/>
      <w:numFmt w:val="decimal"/>
      <w:lvlText w:val="(%1)"/>
      <w:lvlJc w:val="left"/>
      <w:pPr>
        <w:ind w:left="425" w:hanging="425"/>
      </w:pPr>
      <w:rPr>
        <w:rFonts w:hint="default"/>
      </w:rPr>
    </w:lvl>
  </w:abstractNum>
  <w:abstractNum w:abstractNumId="14">
    <w:nsid w:val="5EE0C6AD"/>
    <w:multiLevelType w:val="singleLevel"/>
    <w:tmpl w:val="5EE0C6AD"/>
    <w:lvl w:ilvl="0" w:tentative="0">
      <w:start w:val="1"/>
      <w:numFmt w:val="chineseCounting"/>
      <w:suff w:val="nothing"/>
      <w:lvlText w:val="%1、"/>
      <w:lvlJc w:val="left"/>
      <w:pPr>
        <w:ind w:left="0" w:firstLine="0"/>
      </w:pPr>
      <w:rPr>
        <w:rFonts w:hint="eastAsia"/>
      </w:rPr>
    </w:lvl>
  </w:abstractNum>
  <w:abstractNum w:abstractNumId="15">
    <w:nsid w:val="7C3ACB0A"/>
    <w:multiLevelType w:val="singleLevel"/>
    <w:tmpl w:val="7C3ACB0A"/>
    <w:lvl w:ilvl="0" w:tentative="0">
      <w:start w:val="1"/>
      <w:numFmt w:val="decimal"/>
      <w:suff w:val="nothing"/>
      <w:lvlText w:val="（%1）"/>
      <w:lvlJc w:val="left"/>
      <w:pPr>
        <w:ind w:left="0" w:firstLine="480"/>
      </w:pPr>
      <w:rPr>
        <w:rFonts w:hint="default"/>
      </w:rPr>
    </w:lvl>
  </w:abstractNum>
  <w:num w:numId="1">
    <w:abstractNumId w:val="14"/>
  </w:num>
  <w:num w:numId="2">
    <w:abstractNumId w:val="1"/>
  </w:num>
  <w:num w:numId="3">
    <w:abstractNumId w:val="7"/>
  </w:num>
  <w:num w:numId="4">
    <w:abstractNumId w:val="3"/>
  </w:num>
  <w:num w:numId="5">
    <w:abstractNumId w:val="11"/>
  </w:num>
  <w:num w:numId="6">
    <w:abstractNumId w:val="13"/>
  </w:num>
  <w:num w:numId="7">
    <w:abstractNumId w:val="4"/>
  </w:num>
  <w:num w:numId="8">
    <w:abstractNumId w:val="9"/>
  </w:num>
  <w:num w:numId="9">
    <w:abstractNumId w:val="6"/>
  </w:num>
  <w:num w:numId="10">
    <w:abstractNumId w:val="2"/>
  </w:num>
  <w:num w:numId="11">
    <w:abstractNumId w:val="0"/>
  </w:num>
  <w:num w:numId="12">
    <w:abstractNumId w:val="8"/>
  </w:num>
  <w:num w:numId="13">
    <w:abstractNumId w:val="10"/>
  </w:num>
  <w:num w:numId="14">
    <w:abstractNumId w:val="15"/>
  </w:num>
  <w:num w:numId="15">
    <w:abstractNumId w:val="1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documentProtection w:enforcement="0"/>
  <w:characterSpacingControl w:val="doNotCompress"/>
  <w:compat>
    <w:spaceForUL/>
    <w:ulTrailSpace/>
    <w:useFELayout/>
    <w:compatSetting w:name="compatibilityMode" w:uri="http://schemas.microsoft.com/office/word" w:val="14"/>
  </w:compat>
  <w:rsids>
    <w:rsidRoot w:val="00000000"/>
    <w:rsid w:val="00864746"/>
    <w:rsid w:val="01C00EE0"/>
    <w:rsid w:val="01CA3F1A"/>
    <w:rsid w:val="12136F47"/>
    <w:rsid w:val="1743234C"/>
    <w:rsid w:val="22CD62A8"/>
    <w:rsid w:val="27B04BAD"/>
    <w:rsid w:val="27D31672"/>
    <w:rsid w:val="2CBB3389"/>
    <w:rsid w:val="34967B08"/>
    <w:rsid w:val="37C404E8"/>
    <w:rsid w:val="46876D34"/>
    <w:rsid w:val="4C320620"/>
    <w:rsid w:val="4FBA7A09"/>
    <w:rsid w:val="54FB26D5"/>
    <w:rsid w:val="561B5AD6"/>
    <w:rsid w:val="6ECE6246"/>
    <w:rsid w:val="754A5315"/>
    <w:rsid w:val="76796366"/>
    <w:rsid w:val="7F6D27E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Arial" w:hAnsi="Arial" w:eastAsia="Arial" w:cs="Arial"/>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next w:val="1"/>
    <w:qFormat/>
    <w:uiPriority w:val="0"/>
    <w:pPr>
      <w:widowControl w:val="0"/>
      <w:adjustRightInd w:val="0"/>
      <w:spacing w:before="320" w:line="300" w:lineRule="auto"/>
      <w:jc w:val="both"/>
      <w:outlineLvl w:val="0"/>
    </w:pPr>
    <w:rPr>
      <w:rFonts w:ascii="Times New Roman" w:hAnsi="Times New Roman" w:eastAsia="黑体" w:cs="Times New Roman"/>
      <w:color w:val="000000"/>
      <w:kern w:val="44"/>
      <w:sz w:val="32"/>
      <w:szCs w:val="44"/>
      <w:lang w:bidi="ar-SA"/>
    </w:rPr>
  </w:style>
  <w:style w:type="paragraph" w:styleId="3">
    <w:name w:val="heading 2"/>
    <w:next w:val="1"/>
    <w:unhideWhenUsed/>
    <w:qFormat/>
    <w:uiPriority w:val="0"/>
    <w:pPr>
      <w:widowControl w:val="0"/>
      <w:adjustRightInd w:val="0"/>
      <w:spacing w:before="280" w:line="300" w:lineRule="auto"/>
      <w:jc w:val="both"/>
      <w:outlineLvl w:val="1"/>
    </w:pPr>
    <w:rPr>
      <w:rFonts w:ascii="Times New Roman" w:hAnsi="Times New Roman" w:eastAsia="黑体" w:cs="Times New Roman"/>
      <w:kern w:val="2"/>
      <w:sz w:val="30"/>
      <w:szCs w:val="32"/>
      <w:lang w:bidi="ar-SA"/>
    </w:rPr>
  </w:style>
  <w:style w:type="paragraph" w:styleId="4">
    <w:name w:val="heading 3"/>
    <w:next w:val="1"/>
    <w:unhideWhenUsed/>
    <w:qFormat/>
    <w:uiPriority w:val="0"/>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bidi="ar-SA"/>
    </w:rPr>
  </w:style>
  <w:style w:type="paragraph" w:styleId="5">
    <w:name w:val="heading 4"/>
    <w:next w:val="1"/>
    <w:unhideWhenUsed/>
    <w:qFormat/>
    <w:uiPriority w:val="0"/>
    <w:pPr>
      <w:keepNext/>
      <w:keepLines/>
      <w:widowControl w:val="0"/>
      <w:adjustRightInd w:val="0"/>
      <w:spacing w:before="200" w:line="300" w:lineRule="auto"/>
      <w:jc w:val="both"/>
      <w:outlineLvl w:val="3"/>
    </w:pPr>
    <w:rPr>
      <w:rFonts w:ascii="Times New Roman" w:hAnsi="Times New Roman" w:eastAsia="黑体" w:cs="Times New Roman"/>
      <w:bCs/>
      <w:kern w:val="2"/>
      <w:sz w:val="28"/>
      <w:szCs w:val="28"/>
      <w:lang w:bidi="ar-SA"/>
    </w:rPr>
  </w:style>
  <w:style w:type="paragraph" w:styleId="6">
    <w:name w:val="heading 5"/>
    <w:next w:val="1"/>
    <w:unhideWhenUsed/>
    <w:qFormat/>
    <w:uiPriority w:val="0"/>
    <w:pPr>
      <w:keepNext/>
      <w:keepLines/>
      <w:widowControl w:val="0"/>
      <w:adjustRightInd w:val="0"/>
      <w:spacing w:before="160" w:line="300" w:lineRule="auto"/>
      <w:jc w:val="both"/>
      <w:outlineLvl w:val="4"/>
    </w:pPr>
    <w:rPr>
      <w:rFonts w:ascii="Times New Roman" w:hAnsi="Times New Roman" w:eastAsia="黑体" w:cs="Times New Roman"/>
      <w:bCs/>
      <w:kern w:val="2"/>
      <w:sz w:val="28"/>
      <w:szCs w:val="28"/>
      <w:lang w:bidi="ar-SA"/>
    </w:rPr>
  </w:style>
  <w:style w:type="paragraph" w:styleId="7">
    <w:name w:val="heading 6"/>
    <w:next w:val="1"/>
    <w:unhideWhenUsed/>
    <w:qFormat/>
    <w:uiPriority w:val="0"/>
    <w:pPr>
      <w:keepNext/>
      <w:keepLines/>
      <w:widowControl w:val="0"/>
      <w:adjustRightInd w:val="0"/>
      <w:spacing w:before="120" w:line="300" w:lineRule="auto"/>
      <w:jc w:val="both"/>
      <w:outlineLvl w:val="5"/>
    </w:pPr>
    <w:rPr>
      <w:rFonts w:ascii="Times New Roman" w:hAnsi="Times New Roman" w:eastAsia="黑体" w:cs="Times New Roman"/>
      <w:bCs/>
      <w:kern w:val="2"/>
      <w:sz w:val="28"/>
      <w:szCs w:val="24"/>
      <w:lang w:bidi="ar-SA"/>
    </w:rPr>
  </w:style>
  <w:style w:type="paragraph" w:styleId="8">
    <w:name w:val="heading 7"/>
    <w:next w:val="1"/>
    <w:unhideWhenUsed/>
    <w:qFormat/>
    <w:uiPriority w:val="0"/>
    <w:pPr>
      <w:keepNext/>
      <w:keepLines/>
      <w:widowControl w:val="0"/>
      <w:adjustRightInd w:val="0"/>
      <w:spacing w:before="120" w:line="300" w:lineRule="auto"/>
      <w:jc w:val="both"/>
      <w:outlineLvl w:val="6"/>
    </w:pPr>
    <w:rPr>
      <w:rFonts w:ascii="Times New Roman" w:hAnsi="Times New Roman" w:eastAsia="黑体" w:cs="Times New Roman"/>
      <w:bCs/>
      <w:kern w:val="2"/>
      <w:sz w:val="24"/>
      <w:szCs w:val="24"/>
      <w:lang w:bidi="ar-SA"/>
    </w:rPr>
  </w:style>
  <w:style w:type="paragraph" w:styleId="9">
    <w:name w:val="heading 8"/>
    <w:next w:val="1"/>
    <w:unhideWhenUsed/>
    <w:qFormat/>
    <w:uiPriority w:val="0"/>
    <w:pPr>
      <w:keepNext/>
      <w:keepLines/>
      <w:widowControl w:val="0"/>
      <w:adjustRightInd w:val="0"/>
      <w:spacing w:before="120" w:line="300" w:lineRule="auto"/>
      <w:jc w:val="both"/>
      <w:outlineLvl w:val="7"/>
    </w:pPr>
    <w:rPr>
      <w:rFonts w:ascii="Times New Roman" w:hAnsi="Times New Roman" w:eastAsia="黑体" w:cs="Times New Roman"/>
      <w:kern w:val="2"/>
      <w:sz w:val="24"/>
      <w:szCs w:val="24"/>
      <w:lang w:bidi="ar-SA"/>
    </w:rPr>
  </w:style>
  <w:style w:type="paragraph" w:styleId="10">
    <w:name w:val="heading 9"/>
    <w:next w:val="1"/>
    <w:unhideWhenUsed/>
    <w:qFormat/>
    <w:uiPriority w:val="0"/>
    <w:pPr>
      <w:keepNext/>
      <w:keepLines/>
      <w:widowControl w:val="0"/>
      <w:adjustRightInd w:val="0"/>
      <w:spacing w:before="120" w:line="300" w:lineRule="auto"/>
      <w:jc w:val="both"/>
      <w:outlineLvl w:val="8"/>
    </w:pPr>
    <w:rPr>
      <w:rFonts w:ascii="Times New Roman" w:hAnsi="Times New Roman" w:eastAsia="黑体" w:cs="Times New Roman"/>
      <w:kern w:val="2"/>
      <w:sz w:val="21"/>
      <w:szCs w:val="21"/>
      <w:lang w:bidi="ar-SA"/>
    </w:rPr>
  </w:style>
  <w:style w:type="character" w:default="1" w:styleId="14">
    <w:name w:val="Default Paragraph Font"/>
    <w:semiHidden/>
    <w:qFormat/>
    <w:uiPriority w:val="0"/>
  </w:style>
  <w:style w:type="table" w:default="1" w:styleId="15">
    <w:name w:val="Normal Table"/>
    <w:semiHidden/>
    <w:qFormat/>
    <w:uiPriority w:val="0"/>
    <w:tblPr>
      <w:tblLayout w:type="fixed"/>
      <w:tblCellMar>
        <w:top w:w="0" w:type="dxa"/>
        <w:left w:w="108" w:type="dxa"/>
        <w:bottom w:w="0" w:type="dxa"/>
        <w:right w:w="108" w:type="dxa"/>
      </w:tblCellMar>
    </w:tblPr>
  </w:style>
  <w:style w:type="paragraph" w:styleId="11">
    <w:name w:val="Body Text"/>
    <w:semiHidden/>
    <w:qFormat/>
    <w:uiPriority w:val="0"/>
    <w:pPr>
      <w:widowControl w:val="0"/>
      <w:adjustRightInd w:val="0"/>
      <w:spacing w:before="100" w:after="100" w:afterLines="0" w:afterAutospacing="0" w:line="300" w:lineRule="auto"/>
      <w:ind w:firstLine="1044" w:firstLineChars="200"/>
      <w:jc w:val="both"/>
    </w:pPr>
    <w:rPr>
      <w:rFonts w:ascii="Times New Roman" w:hAnsi="Times New Roman" w:eastAsia="宋体" w:cs="Times New Roman"/>
      <w:kern w:val="2"/>
      <w:sz w:val="24"/>
      <w:szCs w:val="24"/>
      <w:lang w:bidi="ar-SA"/>
    </w:rPr>
  </w:style>
  <w:style w:type="paragraph" w:styleId="12">
    <w:name w:val="Subtitle"/>
    <w:qFormat/>
    <w:uiPriority w:val="0"/>
    <w:pPr>
      <w:widowControl w:val="0"/>
      <w:adjustRightInd w:val="0"/>
      <w:spacing w:before="100" w:after="100" w:line="240" w:lineRule="auto"/>
      <w:jc w:val="center"/>
      <w:outlineLvl w:val="9"/>
    </w:pPr>
    <w:rPr>
      <w:rFonts w:ascii="Times New Roman" w:hAnsi="Times New Roman" w:eastAsia="黑体" w:cs="Times New Roman"/>
      <w:kern w:val="28"/>
      <w:sz w:val="32"/>
      <w:szCs w:val="24"/>
      <w:lang w:bidi="ar-SA"/>
    </w:rPr>
  </w:style>
  <w:style w:type="paragraph" w:styleId="13">
    <w:name w:val="Title"/>
    <w:qFormat/>
    <w:uiPriority w:val="0"/>
    <w:pPr>
      <w:widowControl w:val="0"/>
      <w:adjustRightInd w:val="0"/>
      <w:spacing w:before="100" w:beforeAutospacing="0" w:after="100" w:afterAutospacing="0" w:line="240" w:lineRule="auto"/>
      <w:jc w:val="center"/>
      <w:outlineLvl w:val="9"/>
    </w:pPr>
    <w:rPr>
      <w:rFonts w:ascii="Times New Roman" w:hAnsi="Times New Roman" w:eastAsia="黑体" w:cs="Times New Roman"/>
      <w:kern w:val="2"/>
      <w:sz w:val="36"/>
      <w:szCs w:val="24"/>
      <w:lang w:bidi="ar-SA"/>
    </w:rPr>
  </w:style>
  <w:style w:type="table" w:customStyle="1" w:styleId="16">
    <w:name w:val="Table Normal"/>
    <w:unhideWhenUsed/>
    <w:qFormat/>
    <w:uiPriority w:val="0"/>
    <w:tblPr>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Pages>
  <Words>3231</Words>
  <Characters>3274</Characters>
  <ScaleCrop>false</ScaleCrop>
  <LinksUpToDate>false</LinksUpToDate>
  <CharactersWithSpaces>3304</CharactersWithSpaces>
  <Application>WPS Office_10.8.0.6206_F1E327BC-269C-435d-A152-05C5408002CA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2024-12-10T16:05:00Z</dcterms:created>
  <dc:creator>502-2</dc:creator>
  <cp:lastModifiedBy>陈祥华</cp:lastModifiedBy>
  <dcterms:modified xsi:type="dcterms:W3CDTF">2026-02-06T07:14:51Z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2026-02-02T09:41:28Z</vt:filetime>
  </property>
  <property fmtid="{D5CDD505-2E9C-101B-9397-08002B2CF9AE}" pid="4" name="KSOTemplateDocerSaveRecord">
    <vt:lpwstr>eyJoZGlkIjoiOWRiNWE4ZTU5MDU3MzMzY2FhNGM4NmQ4NTNjNDU4NjAiLCJ1c2VySWQiOiIyMTQ1OTcwNjYifQ==</vt:lpwstr>
  </property>
  <property fmtid="{D5CDD505-2E9C-101B-9397-08002B2CF9AE}" pid="5" name="KSOProductBuildVer">
    <vt:lpwstr>2052-10.8.0.6206</vt:lpwstr>
  </property>
  <property fmtid="{D5CDD505-2E9C-101B-9397-08002B2CF9AE}" pid="6" name="ICV">
    <vt:lpwstr>21A95A8619194AB0AD0EA825731DBE73_13</vt:lpwstr>
  </property>
</Properties>
</file>